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53" w:type="dxa"/>
        <w:tblInd w:w="-137"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6"/>
        <w:gridCol w:w="1960"/>
        <w:gridCol w:w="2239"/>
        <w:gridCol w:w="1977"/>
        <w:gridCol w:w="822"/>
        <w:gridCol w:w="3214"/>
        <w:gridCol w:w="9"/>
        <w:gridCol w:w="126"/>
      </w:tblGrid>
      <w:tr w:rsidR="00B50649" w14:paraId="21A66AB4" w14:textId="77777777" w:rsidTr="00140A20">
        <w:trPr>
          <w:gridAfter w:val="1"/>
          <w:wAfter w:w="128" w:type="dxa"/>
          <w:trHeight w:hRule="exact" w:val="2420"/>
        </w:trPr>
        <w:tc>
          <w:tcPr>
            <w:tcW w:w="6255" w:type="dxa"/>
            <w:gridSpan w:val="4"/>
            <w:tcBorders>
              <w:top w:val="single" w:sz="4" w:space="0" w:color="auto"/>
              <w:bottom w:val="single" w:sz="4" w:space="0" w:color="auto"/>
            </w:tcBorders>
          </w:tcPr>
          <w:p w14:paraId="1036B433" w14:textId="77777777" w:rsidR="00E01E8F" w:rsidRPr="00E01E8F" w:rsidRDefault="00E01E8F" w:rsidP="00E01E8F">
            <w:pPr>
              <w:pStyle w:val="IATitle"/>
              <w:rPr>
                <w:b/>
              </w:rPr>
            </w:pPr>
            <w:r w:rsidRPr="00E01E8F">
              <w:rPr>
                <w:b/>
              </w:rPr>
              <w:t xml:space="preserve">Title: </w:t>
            </w:r>
            <w:r w:rsidRPr="00E01E8F">
              <w:rPr>
                <w:bCs/>
              </w:rPr>
              <w:t>Credit limit of the fourth carbon budget</w:t>
            </w:r>
            <w:r w:rsidRPr="00E01E8F">
              <w:rPr>
                <w:b/>
              </w:rPr>
              <w:t xml:space="preserve">         </w:t>
            </w:r>
          </w:p>
          <w:p w14:paraId="1DABB45D" w14:textId="4ABA0BD3" w:rsidR="00E01E8F" w:rsidRPr="00E01E8F" w:rsidRDefault="00E01E8F" w:rsidP="00E01E8F">
            <w:pPr>
              <w:pStyle w:val="IATitle"/>
              <w:rPr>
                <w:b/>
              </w:rPr>
            </w:pPr>
            <w:r w:rsidRPr="00E01E8F">
              <w:rPr>
                <w:b/>
              </w:rPr>
              <w:t>IA No:</w:t>
            </w:r>
            <w:r w:rsidR="00BA5E54">
              <w:t>BEIS018(F)-21-CG</w:t>
            </w:r>
            <w:r w:rsidRPr="00E01E8F">
              <w:rPr>
                <w:b/>
              </w:rPr>
              <w:t xml:space="preserve">   </w:t>
            </w:r>
          </w:p>
          <w:p w14:paraId="4528B5D0" w14:textId="4CD882EB" w:rsidR="00E01E8F" w:rsidRPr="00E01E8F" w:rsidRDefault="00E01E8F" w:rsidP="00E01E8F">
            <w:pPr>
              <w:pStyle w:val="IATitle"/>
              <w:rPr>
                <w:b/>
              </w:rPr>
            </w:pPr>
            <w:r w:rsidRPr="00E01E8F">
              <w:rPr>
                <w:b/>
              </w:rPr>
              <w:t xml:space="preserve">Lead department or agency: </w:t>
            </w:r>
            <w:r w:rsidRPr="00E01E8F">
              <w:rPr>
                <w:bCs/>
              </w:rPr>
              <w:t>Department for Business, Energy and Industrial Strategy</w:t>
            </w:r>
            <w:r w:rsidRPr="00E01E8F">
              <w:rPr>
                <w:b/>
              </w:rPr>
              <w:t xml:space="preserve">               </w:t>
            </w:r>
          </w:p>
          <w:p w14:paraId="1B73DE6C" w14:textId="45D3BAF0" w:rsidR="00B93466" w:rsidRDefault="00E01E8F" w:rsidP="00E01E8F">
            <w:pPr>
              <w:pStyle w:val="IATableLabel"/>
              <w:spacing w:after="0"/>
            </w:pPr>
            <w:r w:rsidRPr="00E01E8F">
              <w:t xml:space="preserve">Other departments or agencies: </w:t>
            </w:r>
            <w:r w:rsidRPr="00E01E8F">
              <w:rPr>
                <w:b w:val="0"/>
                <w:bCs/>
              </w:rPr>
              <w:t xml:space="preserve">NA  </w:t>
            </w:r>
            <w:bookmarkStart w:id="0" w:name="IAOtherDepts"/>
            <w:r w:rsidR="000239A7">
              <w:fldChar w:fldCharType="begin">
                <w:ffData>
                  <w:name w:val="IAOtherDepts"/>
                  <w:enabled/>
                  <w:calcOnExit w:val="0"/>
                  <w:textInput>
                    <w:maxLength w:val="200"/>
                  </w:textInput>
                </w:ffData>
              </w:fldChar>
            </w:r>
            <w:r w:rsidR="000239A7">
              <w:instrText xml:space="preserve"> FORMTEXT </w:instrText>
            </w:r>
            <w:r w:rsidR="000239A7">
              <w:fldChar w:fldCharType="separate"/>
            </w:r>
            <w:r w:rsidR="000239A7">
              <w:rPr>
                <w:noProof/>
              </w:rPr>
              <w:t> </w:t>
            </w:r>
            <w:r w:rsidR="000239A7">
              <w:rPr>
                <w:noProof/>
              </w:rPr>
              <w:t> </w:t>
            </w:r>
            <w:r w:rsidR="000239A7">
              <w:rPr>
                <w:noProof/>
              </w:rPr>
              <w:t> </w:t>
            </w:r>
            <w:r w:rsidR="000239A7">
              <w:rPr>
                <w:noProof/>
              </w:rPr>
              <w:t> </w:t>
            </w:r>
            <w:r w:rsidR="000239A7">
              <w:rPr>
                <w:noProof/>
              </w:rPr>
              <w:t> </w:t>
            </w:r>
            <w:r w:rsidR="000239A7">
              <w:fldChar w:fldCharType="end"/>
            </w:r>
            <w:bookmarkEnd w:id="0"/>
          </w:p>
        </w:tc>
        <w:tc>
          <w:tcPr>
            <w:tcW w:w="4098" w:type="dxa"/>
            <w:gridSpan w:val="3"/>
            <w:tcBorders>
              <w:top w:val="single" w:sz="4" w:space="0" w:color="auto"/>
              <w:bottom w:val="single" w:sz="4" w:space="0" w:color="auto"/>
            </w:tcBorders>
          </w:tcPr>
          <w:tbl>
            <w:tblPr>
              <w:tblW w:w="4088" w:type="dxa"/>
              <w:tblInd w:w="5" w:type="dxa"/>
              <w:tblBorders>
                <w:insideH w:val="single" w:sz="4" w:space="0" w:color="333333"/>
                <w:insideV w:val="single" w:sz="4" w:space="0" w:color="333333"/>
              </w:tblBorders>
              <w:tblLayout w:type="fixed"/>
              <w:tblCellMar>
                <w:left w:w="0" w:type="dxa"/>
                <w:right w:w="0" w:type="dxa"/>
              </w:tblCellMar>
              <w:tblLook w:val="01E0" w:firstRow="1" w:lastRow="1" w:firstColumn="1" w:lastColumn="1" w:noHBand="0" w:noVBand="0"/>
            </w:tblPr>
            <w:tblGrid>
              <w:gridCol w:w="4088"/>
            </w:tblGrid>
            <w:tr w:rsidR="00B50649" w:rsidRPr="00383295" w14:paraId="798A3A5B" w14:textId="77777777" w:rsidTr="007E190E">
              <w:trPr>
                <w:trHeight w:hRule="exact" w:val="539"/>
              </w:trPr>
              <w:tc>
                <w:tcPr>
                  <w:tcW w:w="4088" w:type="dxa"/>
                  <w:tcBorders>
                    <w:bottom w:val="single" w:sz="4" w:space="0" w:color="333333"/>
                  </w:tcBorders>
                  <w:shd w:val="clear" w:color="auto" w:fill="333333"/>
                  <w:vAlign w:val="center"/>
                </w:tcPr>
                <w:p w14:paraId="47288BDB" w14:textId="77777777" w:rsidR="00B50649" w:rsidRPr="00383295" w:rsidRDefault="00B50649" w:rsidP="00E90731">
                  <w:pPr>
                    <w:pStyle w:val="Title"/>
                  </w:pPr>
                  <w:bookmarkStart w:id="1" w:name="_Toc67067463"/>
                  <w:r w:rsidRPr="00383295">
                    <w:t>Impact Assessment (IA)</w:t>
                  </w:r>
                  <w:bookmarkEnd w:id="1"/>
                </w:p>
              </w:tc>
            </w:tr>
            <w:tr w:rsidR="00B50649" w:rsidRPr="00966271" w14:paraId="254D3FBF" w14:textId="77777777" w:rsidTr="007E190E">
              <w:tc>
                <w:tcPr>
                  <w:tcW w:w="4088" w:type="dxa"/>
                  <w:tcBorders>
                    <w:top w:val="single" w:sz="4" w:space="0" w:color="333333"/>
                    <w:bottom w:val="single" w:sz="4" w:space="0" w:color="333333"/>
                  </w:tcBorders>
                </w:tcPr>
                <w:p w14:paraId="46EDA12E" w14:textId="37921626" w:rsidR="001F69E9" w:rsidRPr="00631B4C" w:rsidRDefault="00B50649" w:rsidP="00C46EA7">
                  <w:pPr>
                    <w:pStyle w:val="IATableLabel"/>
                  </w:pPr>
                  <w:r w:rsidRPr="00631B4C">
                    <w:t>Date:</w:t>
                  </w:r>
                  <w:r w:rsidR="0071686F">
                    <w:t xml:space="preserve"> </w:t>
                  </w:r>
                  <w:r w:rsidR="00C24ED8">
                    <w:rPr>
                      <w:rStyle w:val="IADateChar"/>
                      <w:sz w:val="20"/>
                    </w:rPr>
                    <w:fldChar w:fldCharType="begin">
                      <w:ffData>
                        <w:name w:val="IADate"/>
                        <w:enabled/>
                        <w:calcOnExit w:val="0"/>
                        <w:textInput>
                          <w:type w:val="date"/>
                          <w:default w:val="01/01/2020"/>
                          <w:format w:val="DD/MM/YYYY"/>
                        </w:textInput>
                      </w:ffData>
                    </w:fldChar>
                  </w:r>
                  <w:bookmarkStart w:id="2" w:name="IADate"/>
                  <w:r w:rsidR="00C24ED8">
                    <w:rPr>
                      <w:rStyle w:val="IADateChar"/>
                      <w:sz w:val="20"/>
                    </w:rPr>
                    <w:instrText xml:space="preserve"> FORMTEXT </w:instrText>
                  </w:r>
                  <w:r w:rsidR="00C24ED8">
                    <w:rPr>
                      <w:rStyle w:val="IADateChar"/>
                      <w:sz w:val="20"/>
                    </w:rPr>
                  </w:r>
                  <w:r w:rsidR="00C24ED8">
                    <w:rPr>
                      <w:rStyle w:val="IADateChar"/>
                      <w:sz w:val="20"/>
                    </w:rPr>
                    <w:fldChar w:fldCharType="separate"/>
                  </w:r>
                  <w:r w:rsidR="00C24ED8">
                    <w:rPr>
                      <w:rStyle w:val="IADateChar"/>
                      <w:noProof/>
                      <w:sz w:val="20"/>
                    </w:rPr>
                    <w:t>01/01/2020</w:t>
                  </w:r>
                  <w:r w:rsidR="00C24ED8">
                    <w:rPr>
                      <w:rStyle w:val="IADateChar"/>
                      <w:sz w:val="20"/>
                    </w:rPr>
                    <w:fldChar w:fldCharType="end"/>
                  </w:r>
                  <w:bookmarkEnd w:id="2"/>
                </w:p>
              </w:tc>
            </w:tr>
            <w:tr w:rsidR="00B50649" w:rsidRPr="00966271" w14:paraId="73099175" w14:textId="77777777" w:rsidTr="007E190E">
              <w:tc>
                <w:tcPr>
                  <w:tcW w:w="4088" w:type="dxa"/>
                  <w:tcBorders>
                    <w:top w:val="single" w:sz="4" w:space="0" w:color="333333"/>
                    <w:bottom w:val="single" w:sz="4" w:space="0" w:color="333333"/>
                  </w:tcBorders>
                </w:tcPr>
                <w:p w14:paraId="1F935AA8" w14:textId="12CF1806" w:rsidR="00B50649" w:rsidRPr="007F0ED9" w:rsidRDefault="00941D69" w:rsidP="00E90731">
                  <w:pPr>
                    <w:pStyle w:val="IATableLabel"/>
                  </w:pPr>
                  <w:bookmarkStart w:id="3" w:name="Stage"/>
                  <w:r w:rsidRPr="007F0ED9">
                    <w:t xml:space="preserve">Stage: </w:t>
                  </w:r>
                  <w:r w:rsidRPr="007E190E">
                    <w:rPr>
                      <w:rStyle w:val="IAStageChar"/>
                      <w:sz w:val="20"/>
                    </w:rPr>
                    <w:fldChar w:fldCharType="begin"/>
                  </w:r>
                  <w:r w:rsidRPr="007E190E">
                    <w:rPr>
                      <w:rStyle w:val="IAStageChar"/>
                      <w:sz w:val="20"/>
                    </w:rPr>
                    <w:instrText xml:space="preserve"> DOCPROPERTY  Stage </w:instrText>
                  </w:r>
                  <w:r w:rsidRPr="007E190E">
                    <w:rPr>
                      <w:rStyle w:val="IAStageChar"/>
                      <w:sz w:val="20"/>
                    </w:rPr>
                    <w:fldChar w:fldCharType="separate"/>
                  </w:r>
                  <w:r w:rsidR="00F1431D">
                    <w:rPr>
                      <w:rStyle w:val="IAStageChar"/>
                      <w:sz w:val="20"/>
                    </w:rPr>
                    <w:t>Development/Options</w:t>
                  </w:r>
                  <w:r w:rsidRPr="007E190E">
                    <w:rPr>
                      <w:rStyle w:val="IAStageChar"/>
                      <w:sz w:val="20"/>
                    </w:rPr>
                    <w:fldChar w:fldCharType="end"/>
                  </w:r>
                  <w:bookmarkEnd w:id="3"/>
                </w:p>
              </w:tc>
            </w:tr>
            <w:tr w:rsidR="00B50649" w:rsidRPr="00966271" w14:paraId="0AA6C47A" w14:textId="77777777" w:rsidTr="007E190E">
              <w:tc>
                <w:tcPr>
                  <w:tcW w:w="4088" w:type="dxa"/>
                  <w:tcBorders>
                    <w:top w:val="single" w:sz="4" w:space="0" w:color="333333"/>
                    <w:bottom w:val="single" w:sz="4" w:space="0" w:color="333333"/>
                  </w:tcBorders>
                </w:tcPr>
                <w:p w14:paraId="511E18B5" w14:textId="77777777" w:rsidR="00B50649" w:rsidRPr="007F0ED9" w:rsidRDefault="0071686F" w:rsidP="00E90731">
                  <w:pPr>
                    <w:pStyle w:val="IATableLabel"/>
                  </w:pPr>
                  <w:r w:rsidRPr="007F0ED9">
                    <w:t xml:space="preserve">Source </w:t>
                  </w:r>
                  <w:r w:rsidR="006A56C1" w:rsidRPr="007F0ED9">
                    <w:t xml:space="preserve">of </w:t>
                  </w:r>
                  <w:r w:rsidRPr="007F0ED9">
                    <w:t>intervention:</w:t>
                  </w:r>
                  <w:r w:rsidR="00B50649" w:rsidRPr="007F0ED9">
                    <w:t xml:space="preserve"> </w:t>
                  </w:r>
                  <w:bookmarkStart w:id="4" w:name="IAInterSource"/>
                  <w:r w:rsidR="00290335" w:rsidRPr="007E190E">
                    <w:rPr>
                      <w:rStyle w:val="IASOIChar"/>
                      <w:sz w:val="20"/>
                    </w:rPr>
                    <w:fldChar w:fldCharType="begin">
                      <w:ffData>
                        <w:name w:val="IAInterSource"/>
                        <w:enabled/>
                        <w:calcOnExit w:val="0"/>
                        <w:ddList>
                          <w:listEntry w:val="Domestic"/>
                          <w:listEntry w:val="EU"/>
                          <w:listEntry w:val="International"/>
                        </w:ddList>
                      </w:ffData>
                    </w:fldChar>
                  </w:r>
                  <w:r w:rsidR="00290335" w:rsidRPr="007E190E">
                    <w:rPr>
                      <w:rStyle w:val="IASOIChar"/>
                      <w:sz w:val="20"/>
                    </w:rPr>
                    <w:instrText xml:space="preserve"> FORMDROPDOWN </w:instrText>
                  </w:r>
                  <w:r w:rsidR="00F26ECE">
                    <w:rPr>
                      <w:rStyle w:val="IASOIChar"/>
                      <w:sz w:val="20"/>
                    </w:rPr>
                  </w:r>
                  <w:r w:rsidR="00F26ECE">
                    <w:rPr>
                      <w:rStyle w:val="IASOIChar"/>
                      <w:sz w:val="20"/>
                    </w:rPr>
                    <w:fldChar w:fldCharType="separate"/>
                  </w:r>
                  <w:r w:rsidR="00290335" w:rsidRPr="007E190E">
                    <w:rPr>
                      <w:rStyle w:val="IASOIChar"/>
                      <w:sz w:val="20"/>
                    </w:rPr>
                    <w:fldChar w:fldCharType="end"/>
                  </w:r>
                  <w:bookmarkEnd w:id="4"/>
                </w:p>
              </w:tc>
            </w:tr>
            <w:tr w:rsidR="00052F44" w:rsidRPr="007E190E" w14:paraId="498B71AA" w14:textId="77777777" w:rsidTr="007E190E">
              <w:tc>
                <w:tcPr>
                  <w:tcW w:w="4088" w:type="dxa"/>
                  <w:tcBorders>
                    <w:top w:val="single" w:sz="4" w:space="0" w:color="333333"/>
                    <w:bottom w:val="single" w:sz="4" w:space="0" w:color="333333"/>
                  </w:tcBorders>
                </w:tcPr>
                <w:p w14:paraId="3ACC454D" w14:textId="1BAF8B6B" w:rsidR="00052F44" w:rsidRPr="007E190E" w:rsidRDefault="00052F44" w:rsidP="00E90731">
                  <w:pPr>
                    <w:pStyle w:val="IATableLabel"/>
                    <w:rPr>
                      <w:b w:val="0"/>
                    </w:rPr>
                  </w:pPr>
                  <w:r w:rsidRPr="007F0ED9">
                    <w:t xml:space="preserve">Type of measure: </w:t>
                  </w:r>
                  <w:r w:rsidR="00F16BD5">
                    <w:rPr>
                      <w:rStyle w:val="IATOMChar"/>
                      <w:sz w:val="20"/>
                    </w:rPr>
                    <w:fldChar w:fldCharType="begin">
                      <w:ffData>
                        <w:name w:val="IAMeasureType"/>
                        <w:enabled/>
                        <w:calcOnExit w:val="0"/>
                        <w:ddList>
                          <w:listEntry w:val="Primary legislation"/>
                          <w:listEntry w:val="Secondary legislation"/>
                          <w:listEntry w:val="Other"/>
                        </w:ddList>
                      </w:ffData>
                    </w:fldChar>
                  </w:r>
                  <w:bookmarkStart w:id="5" w:name="IAMeasureType"/>
                  <w:r w:rsidR="00F16BD5">
                    <w:rPr>
                      <w:rStyle w:val="IATOMChar"/>
                      <w:sz w:val="20"/>
                    </w:rPr>
                    <w:instrText xml:space="preserve"> FORMDROPDOWN </w:instrText>
                  </w:r>
                  <w:r w:rsidR="00F26ECE">
                    <w:rPr>
                      <w:rStyle w:val="IATOMChar"/>
                      <w:sz w:val="20"/>
                    </w:rPr>
                  </w:r>
                  <w:r w:rsidR="00F26ECE">
                    <w:rPr>
                      <w:rStyle w:val="IATOMChar"/>
                      <w:sz w:val="20"/>
                    </w:rPr>
                    <w:fldChar w:fldCharType="separate"/>
                  </w:r>
                  <w:r w:rsidR="00F16BD5">
                    <w:rPr>
                      <w:rStyle w:val="IATOMChar"/>
                      <w:sz w:val="20"/>
                    </w:rPr>
                    <w:fldChar w:fldCharType="end"/>
                  </w:r>
                  <w:bookmarkEnd w:id="5"/>
                </w:p>
              </w:tc>
            </w:tr>
            <w:tr w:rsidR="00B50649" w:rsidRPr="007E190E" w14:paraId="293374C8" w14:textId="77777777" w:rsidTr="007E190E">
              <w:trPr>
                <w:trHeight w:val="1115"/>
              </w:trPr>
              <w:tc>
                <w:tcPr>
                  <w:tcW w:w="4088" w:type="dxa"/>
                  <w:tcBorders>
                    <w:top w:val="single" w:sz="4" w:space="0" w:color="333333"/>
                    <w:bottom w:val="single" w:sz="4" w:space="0" w:color="333333"/>
                  </w:tcBorders>
                </w:tcPr>
                <w:p w14:paraId="059466AB" w14:textId="5975A3CC" w:rsidR="00023080" w:rsidRPr="000F004E" w:rsidRDefault="00773719" w:rsidP="007E190E">
                  <w:pPr>
                    <w:ind w:left="113" w:right="113"/>
                  </w:pPr>
                  <w:r w:rsidRPr="007E190E">
                    <w:rPr>
                      <w:rStyle w:val="IATableLabelCharChar"/>
                      <w:sz w:val="20"/>
                      <w:szCs w:val="20"/>
                    </w:rPr>
                    <w:t>Contact for enquiries:</w:t>
                  </w:r>
                  <w:r w:rsidR="00140A20">
                    <w:rPr>
                      <w:rStyle w:val="IATableLabelCharChar"/>
                      <w:sz w:val="20"/>
                      <w:szCs w:val="20"/>
                    </w:rPr>
                    <w:t xml:space="preserve"> </w:t>
                  </w:r>
                  <w:r w:rsidR="008E0D1A" w:rsidRPr="008E0D1A">
                    <w:rPr>
                      <w:rStyle w:val="IATableLabelCharChar"/>
                      <w:sz w:val="20"/>
                      <w:szCs w:val="20"/>
                    </w:rPr>
                    <w:t>carbonbudgets@beis.gov.uk</w:t>
                  </w:r>
                  <w:r w:rsidRPr="00D337D1">
                    <w:t xml:space="preserve"> </w:t>
                  </w:r>
                  <w:bookmarkStart w:id="6" w:name="IAEnquiryContacts"/>
                  <w:r w:rsidRPr="007E190E">
                    <w:rPr>
                      <w:rStyle w:val="IACOEChar"/>
                      <w:b w:val="0"/>
                      <w:sz w:val="20"/>
                    </w:rPr>
                    <w:fldChar w:fldCharType="begin">
                      <w:ffData>
                        <w:name w:val="IAEnquiryContacts"/>
                        <w:enabled/>
                        <w:calcOnExit w:val="0"/>
                        <w:textInput>
                          <w:maxLength w:val="200"/>
                        </w:textInput>
                      </w:ffData>
                    </w:fldChar>
                  </w:r>
                  <w:r w:rsidRPr="007E190E">
                    <w:rPr>
                      <w:rStyle w:val="IACOEChar"/>
                      <w:b w:val="0"/>
                      <w:sz w:val="20"/>
                    </w:rPr>
                    <w:instrText xml:space="preserve"> FORMTEXT </w:instrText>
                  </w:r>
                  <w:r w:rsidRPr="007E190E">
                    <w:rPr>
                      <w:rStyle w:val="IACOEChar"/>
                      <w:b w:val="0"/>
                      <w:sz w:val="20"/>
                    </w:rPr>
                  </w:r>
                  <w:r w:rsidRPr="007E190E">
                    <w:rPr>
                      <w:rStyle w:val="IACOEChar"/>
                      <w:b w:val="0"/>
                      <w:sz w:val="20"/>
                    </w:rPr>
                    <w:fldChar w:fldCharType="separate"/>
                  </w:r>
                  <w:r w:rsidRPr="007E190E">
                    <w:rPr>
                      <w:rStyle w:val="IACOEChar"/>
                      <w:b w:val="0"/>
                      <w:sz w:val="20"/>
                    </w:rPr>
                    <w:t> </w:t>
                  </w:r>
                  <w:r w:rsidRPr="007E190E">
                    <w:rPr>
                      <w:rStyle w:val="IACOEChar"/>
                      <w:b w:val="0"/>
                      <w:sz w:val="20"/>
                    </w:rPr>
                    <w:t> </w:t>
                  </w:r>
                  <w:r w:rsidRPr="007E190E">
                    <w:rPr>
                      <w:rStyle w:val="IACOEChar"/>
                      <w:b w:val="0"/>
                      <w:sz w:val="20"/>
                    </w:rPr>
                    <w:t> </w:t>
                  </w:r>
                  <w:r w:rsidRPr="007E190E">
                    <w:rPr>
                      <w:rStyle w:val="IACOEChar"/>
                      <w:b w:val="0"/>
                      <w:sz w:val="20"/>
                    </w:rPr>
                    <w:t> </w:t>
                  </w:r>
                  <w:r w:rsidRPr="007E190E">
                    <w:rPr>
                      <w:rStyle w:val="IACOEChar"/>
                      <w:b w:val="0"/>
                      <w:sz w:val="20"/>
                    </w:rPr>
                    <w:t> </w:t>
                  </w:r>
                  <w:r w:rsidRPr="007E190E">
                    <w:rPr>
                      <w:rStyle w:val="IACOEChar"/>
                      <w:b w:val="0"/>
                      <w:sz w:val="20"/>
                    </w:rPr>
                    <w:fldChar w:fldCharType="end"/>
                  </w:r>
                  <w:bookmarkEnd w:id="6"/>
                </w:p>
              </w:tc>
            </w:tr>
            <w:tr w:rsidR="000C1D45" w:rsidRPr="007E190E" w14:paraId="32CB0703" w14:textId="77777777" w:rsidTr="007E190E">
              <w:trPr>
                <w:trHeight w:val="1115"/>
              </w:trPr>
              <w:tc>
                <w:tcPr>
                  <w:tcW w:w="4088" w:type="dxa"/>
                  <w:tcBorders>
                    <w:top w:val="single" w:sz="4" w:space="0" w:color="333333"/>
                    <w:bottom w:val="single" w:sz="4" w:space="0" w:color="333333"/>
                  </w:tcBorders>
                </w:tcPr>
                <w:p w14:paraId="3613DB26" w14:textId="77777777" w:rsidR="000C1D45" w:rsidRPr="007E190E" w:rsidRDefault="000C1D45" w:rsidP="00A32793">
                  <w:pPr>
                    <w:pStyle w:val="IATableLines"/>
                    <w:rPr>
                      <w:b/>
                      <w:color w:val="000000"/>
                      <w:sz w:val="20"/>
                    </w:rPr>
                  </w:pPr>
                </w:p>
              </w:tc>
            </w:tr>
            <w:tr w:rsidR="000C1D45" w:rsidRPr="007E190E" w14:paraId="6802EA12" w14:textId="77777777" w:rsidTr="007E190E">
              <w:trPr>
                <w:trHeight w:val="1115"/>
              </w:trPr>
              <w:tc>
                <w:tcPr>
                  <w:tcW w:w="4088" w:type="dxa"/>
                  <w:tcBorders>
                    <w:top w:val="single" w:sz="4" w:space="0" w:color="333333"/>
                    <w:bottom w:val="single" w:sz="4" w:space="0" w:color="333333"/>
                  </w:tcBorders>
                </w:tcPr>
                <w:p w14:paraId="31D8DF7F" w14:textId="77777777" w:rsidR="000C1D45" w:rsidRPr="007E190E" w:rsidRDefault="000C1D45" w:rsidP="00A32793">
                  <w:pPr>
                    <w:pStyle w:val="IATableLines"/>
                    <w:rPr>
                      <w:b/>
                      <w:color w:val="000000"/>
                      <w:sz w:val="20"/>
                    </w:rPr>
                  </w:pPr>
                </w:p>
              </w:tc>
            </w:tr>
            <w:tr w:rsidR="000C1D45" w:rsidRPr="007E190E" w14:paraId="266107BB" w14:textId="77777777" w:rsidTr="007E190E">
              <w:trPr>
                <w:trHeight w:val="1115"/>
              </w:trPr>
              <w:tc>
                <w:tcPr>
                  <w:tcW w:w="4088" w:type="dxa"/>
                  <w:tcBorders>
                    <w:top w:val="single" w:sz="4" w:space="0" w:color="333333"/>
                    <w:bottom w:val="single" w:sz="4" w:space="0" w:color="333333"/>
                  </w:tcBorders>
                </w:tcPr>
                <w:p w14:paraId="52DA93B2" w14:textId="77777777" w:rsidR="000C1D45" w:rsidRPr="007E190E" w:rsidRDefault="000C1D45" w:rsidP="00A32793">
                  <w:pPr>
                    <w:pStyle w:val="IATableLines"/>
                    <w:rPr>
                      <w:b/>
                      <w:color w:val="000000"/>
                      <w:sz w:val="20"/>
                    </w:rPr>
                  </w:pPr>
                </w:p>
              </w:tc>
            </w:tr>
            <w:tr w:rsidR="000C1D45" w:rsidRPr="007E190E" w14:paraId="03CB09E5" w14:textId="77777777" w:rsidTr="007E190E">
              <w:trPr>
                <w:trHeight w:val="1115"/>
              </w:trPr>
              <w:tc>
                <w:tcPr>
                  <w:tcW w:w="4088" w:type="dxa"/>
                  <w:tcBorders>
                    <w:top w:val="single" w:sz="4" w:space="0" w:color="333333"/>
                    <w:bottom w:val="single" w:sz="4" w:space="0" w:color="333333"/>
                  </w:tcBorders>
                </w:tcPr>
                <w:p w14:paraId="73725245" w14:textId="77777777" w:rsidR="000C1D45" w:rsidRPr="007E190E" w:rsidRDefault="000C1D45" w:rsidP="00A32793">
                  <w:pPr>
                    <w:pStyle w:val="IATableLines"/>
                    <w:rPr>
                      <w:b/>
                      <w:color w:val="000000"/>
                      <w:sz w:val="20"/>
                    </w:rPr>
                  </w:pPr>
                </w:p>
              </w:tc>
            </w:tr>
            <w:tr w:rsidR="000C1D45" w:rsidRPr="007E190E" w14:paraId="0D8E6F09" w14:textId="77777777" w:rsidTr="007E190E">
              <w:trPr>
                <w:trHeight w:val="1115"/>
              </w:trPr>
              <w:tc>
                <w:tcPr>
                  <w:tcW w:w="4088" w:type="dxa"/>
                  <w:tcBorders>
                    <w:top w:val="single" w:sz="4" w:space="0" w:color="333333"/>
                    <w:bottom w:val="single" w:sz="4" w:space="0" w:color="333333"/>
                  </w:tcBorders>
                </w:tcPr>
                <w:p w14:paraId="1F474E2A" w14:textId="77777777" w:rsidR="000C1D45" w:rsidRPr="007E190E" w:rsidRDefault="000C1D45" w:rsidP="00A32793">
                  <w:pPr>
                    <w:pStyle w:val="IATableLines"/>
                    <w:rPr>
                      <w:b/>
                      <w:color w:val="000000"/>
                      <w:sz w:val="20"/>
                    </w:rPr>
                  </w:pPr>
                </w:p>
              </w:tc>
            </w:tr>
            <w:tr w:rsidR="000C1D45" w:rsidRPr="007E190E" w14:paraId="25F3101C" w14:textId="77777777" w:rsidTr="007E190E">
              <w:trPr>
                <w:trHeight w:val="1115"/>
              </w:trPr>
              <w:tc>
                <w:tcPr>
                  <w:tcW w:w="4088" w:type="dxa"/>
                  <w:tcBorders>
                    <w:top w:val="single" w:sz="4" w:space="0" w:color="333333"/>
                  </w:tcBorders>
                </w:tcPr>
                <w:p w14:paraId="2C467494" w14:textId="77777777" w:rsidR="000C1D45" w:rsidRPr="007E190E" w:rsidRDefault="000C1D45" w:rsidP="00A32793">
                  <w:pPr>
                    <w:pStyle w:val="IATableLines"/>
                    <w:rPr>
                      <w:b/>
                      <w:color w:val="000000"/>
                      <w:sz w:val="20"/>
                    </w:rPr>
                  </w:pPr>
                </w:p>
              </w:tc>
            </w:tr>
          </w:tbl>
          <w:p w14:paraId="78BDBA71" w14:textId="77777777" w:rsidR="00B50649" w:rsidRPr="007E190E" w:rsidRDefault="00B50649">
            <w:pPr>
              <w:rPr>
                <w:rFonts w:eastAsia="SimSun"/>
              </w:rPr>
            </w:pPr>
          </w:p>
        </w:tc>
      </w:tr>
      <w:tr w:rsidR="000C1D45" w:rsidRPr="007E190E" w14:paraId="3360621A" w14:textId="77777777" w:rsidTr="00950571">
        <w:trPr>
          <w:gridAfter w:val="1"/>
          <w:wAfter w:w="128" w:type="dxa"/>
          <w:trHeight w:hRule="exact" w:val="410"/>
        </w:trPr>
        <w:tc>
          <w:tcPr>
            <w:tcW w:w="6255" w:type="dxa"/>
            <w:gridSpan w:val="4"/>
            <w:tcBorders>
              <w:top w:val="single" w:sz="4" w:space="0" w:color="auto"/>
              <w:left w:val="nil"/>
              <w:bottom w:val="single" w:sz="4" w:space="0" w:color="auto"/>
            </w:tcBorders>
          </w:tcPr>
          <w:p w14:paraId="0858335E" w14:textId="77777777" w:rsidR="000C1D45" w:rsidRPr="007E190E" w:rsidRDefault="000C1D45" w:rsidP="007E190E">
            <w:pPr>
              <w:pStyle w:val="Heading1"/>
              <w:spacing w:before="60"/>
              <w:rPr>
                <w:rFonts w:eastAsia="SimSun"/>
                <w:sz w:val="28"/>
                <w:szCs w:val="28"/>
              </w:rPr>
            </w:pPr>
            <w:bookmarkStart w:id="7" w:name="_Toc67067464"/>
            <w:r w:rsidRPr="007E190E">
              <w:rPr>
                <w:rFonts w:eastAsia="SimSun"/>
                <w:sz w:val="28"/>
                <w:szCs w:val="28"/>
              </w:rPr>
              <w:t>Summary: Intervention and Options</w:t>
            </w:r>
            <w:bookmarkEnd w:id="7"/>
            <w:r w:rsidRPr="007E190E">
              <w:rPr>
                <w:rFonts w:eastAsia="SimSun"/>
                <w:sz w:val="28"/>
                <w:szCs w:val="28"/>
              </w:rPr>
              <w:t xml:space="preserve"> </w:t>
            </w:r>
          </w:p>
          <w:p w14:paraId="3AB74490" w14:textId="77777777" w:rsidR="000C1D45" w:rsidRPr="007E190E" w:rsidRDefault="000C1D45" w:rsidP="007E190E">
            <w:pPr>
              <w:pStyle w:val="IAHeadLabel0"/>
              <w:spacing w:before="50"/>
              <w:ind w:left="113"/>
              <w:rPr>
                <w:sz w:val="28"/>
                <w:szCs w:val="28"/>
              </w:rPr>
            </w:pPr>
          </w:p>
        </w:tc>
        <w:tc>
          <w:tcPr>
            <w:tcW w:w="4098" w:type="dxa"/>
            <w:gridSpan w:val="3"/>
            <w:tcBorders>
              <w:top w:val="single" w:sz="4" w:space="0" w:color="auto"/>
              <w:bottom w:val="single" w:sz="4" w:space="0" w:color="auto"/>
            </w:tcBorders>
            <w:shd w:val="clear" w:color="auto" w:fill="E0E0E0"/>
            <w:vAlign w:val="center"/>
          </w:tcPr>
          <w:p w14:paraId="23CE109F" w14:textId="52AA3DAF" w:rsidR="000C1D45" w:rsidRPr="007E190E" w:rsidRDefault="000C1D45" w:rsidP="00307737">
            <w:pPr>
              <w:pStyle w:val="Title"/>
              <w:rPr>
                <w:rFonts w:eastAsia="SimSun"/>
                <w:b/>
                <w:color w:val="auto"/>
                <w:sz w:val="24"/>
                <w:szCs w:val="24"/>
              </w:rPr>
            </w:pPr>
            <w:bookmarkStart w:id="8" w:name="_Toc67067465"/>
            <w:r w:rsidRPr="007E190E">
              <w:rPr>
                <w:rFonts w:eastAsia="SimSun"/>
                <w:b/>
                <w:color w:val="auto"/>
                <w:sz w:val="24"/>
                <w:szCs w:val="24"/>
              </w:rPr>
              <w:t>RPC</w:t>
            </w:r>
            <w:r w:rsidR="00EC6B93" w:rsidRPr="007E190E">
              <w:rPr>
                <w:rFonts w:eastAsia="SimSun"/>
                <w:b/>
                <w:color w:val="auto"/>
                <w:sz w:val="24"/>
                <w:szCs w:val="24"/>
              </w:rPr>
              <w:t xml:space="preserve"> Opinion</w:t>
            </w:r>
            <w:bookmarkEnd w:id="8"/>
            <w:r w:rsidR="000C4E23">
              <w:rPr>
                <w:rStyle w:val="IARPCChar"/>
              </w:rPr>
              <w:t>: N/A</w:t>
            </w:r>
          </w:p>
        </w:tc>
      </w:tr>
      <w:tr w:rsidR="00372A69" w:rsidRPr="007E190E" w14:paraId="0A460EEB" w14:textId="77777777" w:rsidTr="00950571">
        <w:trPr>
          <w:gridAfter w:val="1"/>
          <w:wAfter w:w="128" w:type="dxa"/>
          <w:trHeight w:hRule="exact" w:val="90"/>
        </w:trPr>
        <w:tc>
          <w:tcPr>
            <w:tcW w:w="10353" w:type="dxa"/>
            <w:gridSpan w:val="7"/>
            <w:tcBorders>
              <w:top w:val="single" w:sz="4" w:space="0" w:color="auto"/>
              <w:left w:val="nil"/>
              <w:bottom w:val="nil"/>
            </w:tcBorders>
          </w:tcPr>
          <w:p w14:paraId="13A05E15" w14:textId="77777777" w:rsidR="00372A69" w:rsidRPr="007E190E" w:rsidRDefault="00372A69" w:rsidP="00372A69">
            <w:pPr>
              <w:rPr>
                <w:rFonts w:eastAsia="SimSun"/>
              </w:rPr>
            </w:pPr>
          </w:p>
        </w:tc>
      </w:tr>
      <w:tr w:rsidR="00372A69" w:rsidRPr="000E02BE" w14:paraId="544F0F01" w14:textId="77777777" w:rsidTr="00950571">
        <w:tblPrEx>
          <w:tblBorders>
            <w:insideV w:val="none" w:sz="0" w:space="0" w:color="auto"/>
          </w:tblBorders>
        </w:tblPrEx>
        <w:trPr>
          <w:gridAfter w:val="2"/>
          <w:wAfter w:w="9" w:type="dxa"/>
          <w:trHeight w:hRule="exact" w:val="312"/>
        </w:trPr>
        <w:tc>
          <w:tcPr>
            <w:tcW w:w="10344" w:type="dxa"/>
            <w:gridSpan w:val="6"/>
            <w:tcBorders>
              <w:top w:val="single" w:sz="4" w:space="0" w:color="auto"/>
              <w:bottom w:val="nil"/>
            </w:tcBorders>
            <w:shd w:val="clear" w:color="auto" w:fill="E0E0E0"/>
          </w:tcPr>
          <w:p w14:paraId="3CB70531" w14:textId="572D23E1" w:rsidR="00372A69" w:rsidRPr="000E02BE" w:rsidRDefault="00372A69" w:rsidP="006A0557">
            <w:pPr>
              <w:pStyle w:val="IATableLabel"/>
              <w:ind w:left="0"/>
              <w:jc w:val="center"/>
            </w:pPr>
            <w:bookmarkStart w:id="9" w:name="CostText"/>
            <w:r>
              <w:t>Cost of Preferred (or more likely) Optio</w:t>
            </w:r>
            <w:r w:rsidR="00F06858">
              <w:t>n</w:t>
            </w:r>
            <w:bookmarkEnd w:id="9"/>
            <w:r w:rsidR="00310BBC">
              <w:t xml:space="preserve"> </w:t>
            </w:r>
            <w:r w:rsidR="00310BBC" w:rsidRPr="00310BBC">
              <w:rPr>
                <w:b w:val="0"/>
              </w:rPr>
              <w:t>(in 201</w:t>
            </w:r>
            <w:r w:rsidR="00D64409">
              <w:rPr>
                <w:b w:val="0"/>
              </w:rPr>
              <w:t>9</w:t>
            </w:r>
            <w:r w:rsidR="00310BBC" w:rsidRPr="00310BBC">
              <w:rPr>
                <w:b w:val="0"/>
              </w:rPr>
              <w:t xml:space="preserve"> prices)</w:t>
            </w:r>
          </w:p>
        </w:tc>
      </w:tr>
      <w:tr w:rsidR="00DE39C4" w:rsidRPr="000E02BE" w14:paraId="03DC0428" w14:textId="77777777" w:rsidTr="00950571">
        <w:tblPrEx>
          <w:tblBorders>
            <w:insideV w:val="none" w:sz="0" w:space="0" w:color="auto"/>
          </w:tblBorders>
        </w:tblPrEx>
        <w:trPr>
          <w:gridBefore w:val="1"/>
          <w:gridAfter w:val="1"/>
          <w:wAfter w:w="9" w:type="dxa"/>
          <w:trHeight w:hRule="exact" w:val="571"/>
        </w:trPr>
        <w:tc>
          <w:tcPr>
            <w:tcW w:w="1985" w:type="dxa"/>
            <w:tcBorders>
              <w:top w:val="single" w:sz="4" w:space="0" w:color="auto"/>
              <w:bottom w:val="nil"/>
              <w:right w:val="single" w:sz="4" w:space="0" w:color="auto"/>
            </w:tcBorders>
            <w:shd w:val="clear" w:color="auto" w:fill="E0E0E0"/>
            <w:vAlign w:val="center"/>
          </w:tcPr>
          <w:p w14:paraId="77FF69E8" w14:textId="77777777" w:rsidR="00DE39C4" w:rsidRPr="000E02BE" w:rsidRDefault="00DE39C4" w:rsidP="006A0557">
            <w:pPr>
              <w:pStyle w:val="IATableLabel"/>
              <w:spacing w:before="0" w:after="0"/>
            </w:pPr>
            <w:r>
              <w:t>Total Net Present Social Value</w:t>
            </w:r>
          </w:p>
        </w:tc>
        <w:tc>
          <w:tcPr>
            <w:tcW w:w="2268" w:type="dxa"/>
            <w:tcBorders>
              <w:top w:val="single" w:sz="4" w:space="0" w:color="auto"/>
              <w:bottom w:val="nil"/>
              <w:right w:val="single" w:sz="4" w:space="0" w:color="auto"/>
            </w:tcBorders>
            <w:shd w:val="clear" w:color="auto" w:fill="E0E0E0"/>
            <w:vAlign w:val="center"/>
          </w:tcPr>
          <w:p w14:paraId="1C8EF39A" w14:textId="77777777" w:rsidR="00DE39C4" w:rsidRPr="000E02BE" w:rsidRDefault="00DE39C4" w:rsidP="006A0557">
            <w:pPr>
              <w:pStyle w:val="IATableLabel"/>
              <w:spacing w:before="0" w:after="0"/>
            </w:pPr>
            <w:r>
              <w:t>Business Net Present Value</w:t>
            </w:r>
          </w:p>
        </w:tc>
        <w:tc>
          <w:tcPr>
            <w:tcW w:w="2835" w:type="dxa"/>
            <w:gridSpan w:val="2"/>
            <w:tcBorders>
              <w:top w:val="single" w:sz="4" w:space="0" w:color="auto"/>
              <w:bottom w:val="nil"/>
              <w:right w:val="single" w:sz="4" w:space="0" w:color="auto"/>
            </w:tcBorders>
            <w:shd w:val="clear" w:color="auto" w:fill="E0E0E0"/>
            <w:vAlign w:val="center"/>
          </w:tcPr>
          <w:p w14:paraId="33241A69" w14:textId="178D4C49" w:rsidR="00DE39C4" w:rsidRPr="000E02BE" w:rsidRDefault="00DE39C4" w:rsidP="006C6483">
            <w:pPr>
              <w:pStyle w:val="IATableLabel"/>
              <w:spacing w:before="0" w:after="0"/>
            </w:pPr>
            <w:r>
              <w:t xml:space="preserve">Net cost to business per year </w:t>
            </w:r>
          </w:p>
        </w:tc>
        <w:tc>
          <w:tcPr>
            <w:tcW w:w="3256" w:type="dxa"/>
            <w:gridSpan w:val="2"/>
            <w:tcBorders>
              <w:top w:val="single" w:sz="4" w:space="0" w:color="auto"/>
              <w:left w:val="single" w:sz="4" w:space="0" w:color="auto"/>
            </w:tcBorders>
            <w:shd w:val="clear" w:color="auto" w:fill="E0E0E0"/>
            <w:vAlign w:val="center"/>
          </w:tcPr>
          <w:p w14:paraId="0B160238" w14:textId="77777777" w:rsidR="00DE39C4" w:rsidRDefault="00DE39C4" w:rsidP="00000766">
            <w:pPr>
              <w:pStyle w:val="IATableLabel"/>
              <w:spacing w:before="0" w:after="0"/>
            </w:pPr>
            <w:r>
              <w:t>Business Impact Target Status</w:t>
            </w:r>
          </w:p>
          <w:bookmarkStart w:id="10" w:name="IAPrefMQ"/>
          <w:p w14:paraId="665FCA2D" w14:textId="77777777" w:rsidR="00DE39C4" w:rsidRPr="000E02BE" w:rsidRDefault="00DE39C4" w:rsidP="008369A3">
            <w:pPr>
              <w:pStyle w:val="IAIOPrefMQ"/>
            </w:pPr>
            <w:r>
              <w:fldChar w:fldCharType="begin">
                <w:ffData>
                  <w:name w:val="IAPrefMQ"/>
                  <w:enabled/>
                  <w:calcOnExit w:val="0"/>
                  <w:ddList>
                    <w:listEntry w:val="Qualifying provision"/>
                    <w:listEntry w:val="Non qualifying provision"/>
                    <w:listEntry w:val="Not a regulatory provision"/>
                  </w:ddList>
                </w:ffData>
              </w:fldChar>
            </w:r>
            <w:r>
              <w:instrText xml:space="preserve"> FORMDROPDOWN </w:instrText>
            </w:r>
            <w:r w:rsidR="00F26ECE">
              <w:fldChar w:fldCharType="separate"/>
            </w:r>
            <w:r>
              <w:fldChar w:fldCharType="end"/>
            </w:r>
            <w:bookmarkEnd w:id="10"/>
          </w:p>
        </w:tc>
      </w:tr>
      <w:bookmarkStart w:id="11" w:name="IATNPV"/>
      <w:tr w:rsidR="00DE39C4" w:rsidRPr="0061761A" w14:paraId="557E95FF" w14:textId="77777777" w:rsidTr="4B013D14">
        <w:tblPrEx>
          <w:tblBorders>
            <w:insideV w:val="none" w:sz="0" w:space="0" w:color="auto"/>
          </w:tblBorders>
        </w:tblPrEx>
        <w:trPr>
          <w:gridBefore w:val="1"/>
          <w:gridAfter w:val="1"/>
          <w:wAfter w:w="9" w:type="dxa"/>
          <w:trHeight w:hRule="exact" w:val="340"/>
        </w:trPr>
        <w:tc>
          <w:tcPr>
            <w:tcW w:w="1985" w:type="dxa"/>
            <w:tcBorders>
              <w:top w:val="nil"/>
              <w:bottom w:val="single" w:sz="4" w:space="0" w:color="auto"/>
              <w:right w:val="single" w:sz="4" w:space="0" w:color="auto"/>
            </w:tcBorders>
            <w:shd w:val="clear" w:color="auto" w:fill="E0E0E0"/>
            <w:vAlign w:val="center"/>
          </w:tcPr>
          <w:p w14:paraId="2A9823E9" w14:textId="3413FACE" w:rsidR="00DE39C4" w:rsidRPr="000E02BE" w:rsidRDefault="00DE39C4" w:rsidP="008369A3">
            <w:pPr>
              <w:pStyle w:val="IAIIOTNPV"/>
            </w:pPr>
            <w:r>
              <w:fldChar w:fldCharType="begin">
                <w:ffData>
                  <w:name w:val="IATNPV"/>
                  <w:enabled/>
                  <w:calcOnExit w:val="0"/>
                  <w:textInput>
                    <w:default w:val="£m"/>
                    <w:maxLength w:val="9"/>
                  </w:textInput>
                </w:ffData>
              </w:fldChar>
            </w:r>
            <w:r>
              <w:instrText xml:space="preserve"> FORMTEXT </w:instrText>
            </w:r>
            <w:r>
              <w:fldChar w:fldCharType="separate"/>
            </w:r>
            <w:r>
              <w:rPr>
                <w:noProof/>
              </w:rPr>
              <w:t>£m</w:t>
            </w:r>
            <w:r>
              <w:fldChar w:fldCharType="end"/>
            </w:r>
            <w:bookmarkEnd w:id="11"/>
          </w:p>
        </w:tc>
        <w:bookmarkStart w:id="12" w:name="IABNPV"/>
        <w:tc>
          <w:tcPr>
            <w:tcW w:w="2268" w:type="dxa"/>
            <w:tcBorders>
              <w:top w:val="nil"/>
              <w:bottom w:val="single" w:sz="4" w:space="0" w:color="auto"/>
              <w:right w:val="single" w:sz="4" w:space="0" w:color="auto"/>
            </w:tcBorders>
            <w:shd w:val="clear" w:color="auto" w:fill="E0E0E0"/>
            <w:vAlign w:val="center"/>
          </w:tcPr>
          <w:p w14:paraId="29A67005" w14:textId="77777777" w:rsidR="00DE39C4" w:rsidRPr="000E02BE" w:rsidRDefault="00DE39C4" w:rsidP="008369A3">
            <w:pPr>
              <w:pStyle w:val="IAIOBNPV"/>
            </w:pPr>
            <w:r>
              <w:fldChar w:fldCharType="begin">
                <w:ffData>
                  <w:name w:val="IABNPV"/>
                  <w:enabled/>
                  <w:calcOnExit w:val="0"/>
                  <w:textInput>
                    <w:default w:val="£m"/>
                    <w:maxLength w:val="9"/>
                  </w:textInput>
                </w:ffData>
              </w:fldChar>
            </w:r>
            <w:r>
              <w:instrText xml:space="preserve"> FORMTEXT </w:instrText>
            </w:r>
            <w:r>
              <w:fldChar w:fldCharType="separate"/>
            </w:r>
            <w:r>
              <w:rPr>
                <w:noProof/>
              </w:rPr>
              <w:t>£m</w:t>
            </w:r>
            <w:r>
              <w:fldChar w:fldCharType="end"/>
            </w:r>
            <w:bookmarkEnd w:id="12"/>
          </w:p>
        </w:tc>
        <w:bookmarkStart w:id="13" w:name="IANCTBPY"/>
        <w:tc>
          <w:tcPr>
            <w:tcW w:w="2835" w:type="dxa"/>
            <w:gridSpan w:val="2"/>
            <w:tcBorders>
              <w:top w:val="nil"/>
              <w:bottom w:val="single" w:sz="4" w:space="0" w:color="auto"/>
              <w:right w:val="single" w:sz="4" w:space="0" w:color="auto"/>
            </w:tcBorders>
            <w:shd w:val="clear" w:color="auto" w:fill="E0E0E0"/>
            <w:vAlign w:val="center"/>
          </w:tcPr>
          <w:p w14:paraId="71244981" w14:textId="77777777" w:rsidR="00DE39C4" w:rsidRPr="000E02BE" w:rsidRDefault="00DE39C4" w:rsidP="008369A3">
            <w:pPr>
              <w:pStyle w:val="IAIONCTBPY"/>
            </w:pPr>
            <w:r>
              <w:fldChar w:fldCharType="begin">
                <w:ffData>
                  <w:name w:val="IANCTBPY"/>
                  <w:enabled/>
                  <w:calcOnExit w:val="0"/>
                  <w:textInput>
                    <w:default w:val="£m"/>
                    <w:maxLength w:val="9"/>
                  </w:textInput>
                </w:ffData>
              </w:fldChar>
            </w:r>
            <w:r>
              <w:instrText xml:space="preserve"> FORMTEXT </w:instrText>
            </w:r>
            <w:r>
              <w:fldChar w:fldCharType="separate"/>
            </w:r>
            <w:r>
              <w:rPr>
                <w:noProof/>
              </w:rPr>
              <w:t>£m</w:t>
            </w:r>
            <w:r>
              <w:fldChar w:fldCharType="end"/>
            </w:r>
            <w:bookmarkEnd w:id="13"/>
          </w:p>
        </w:tc>
        <w:tc>
          <w:tcPr>
            <w:tcW w:w="3256" w:type="dxa"/>
            <w:gridSpan w:val="2"/>
            <w:vAlign w:val="center"/>
          </w:tcPr>
          <w:p w14:paraId="1824C3F7" w14:textId="77777777" w:rsidR="00DE39C4" w:rsidRPr="000E02BE" w:rsidRDefault="00DE39C4" w:rsidP="008369A3">
            <w:pPr>
              <w:pStyle w:val="IAIOPrefMQ"/>
            </w:pPr>
          </w:p>
        </w:tc>
      </w:tr>
      <w:tr w:rsidR="007208D9" w:rsidRPr="00826F71" w14:paraId="696EFFCC" w14:textId="77777777" w:rsidTr="0062683C">
        <w:trPr>
          <w:gridBefore w:val="1"/>
          <w:trHeight w:hRule="exact" w:val="2099"/>
        </w:trPr>
        <w:tc>
          <w:tcPr>
            <w:tcW w:w="10344" w:type="dxa"/>
            <w:gridSpan w:val="7"/>
            <w:tcBorders>
              <w:top w:val="single" w:sz="4" w:space="0" w:color="auto"/>
              <w:left w:val="single" w:sz="4" w:space="0" w:color="auto"/>
              <w:bottom w:val="single" w:sz="4" w:space="0" w:color="auto"/>
              <w:right w:val="single" w:sz="4" w:space="0" w:color="auto"/>
            </w:tcBorders>
          </w:tcPr>
          <w:p w14:paraId="744D4B79" w14:textId="24E47C3D" w:rsidR="007208D9" w:rsidRPr="00EA0B74" w:rsidRDefault="00686F5E" w:rsidP="008369A3">
            <w:pPr>
              <w:pStyle w:val="IAIOQ1"/>
            </w:pPr>
            <w:bookmarkStart w:id="14" w:name="Summary1"/>
            <w:r>
              <w:t>What is the problem under consideration? Why is government</w:t>
            </w:r>
            <w:r w:rsidR="00D64409">
              <w:t xml:space="preserve"> action or</w:t>
            </w:r>
            <w:r>
              <w:t xml:space="preserve"> intervention necessary?</w:t>
            </w:r>
            <w:bookmarkEnd w:id="14"/>
          </w:p>
          <w:p w14:paraId="54555A1D" w14:textId="59D992F6" w:rsidR="00E75380" w:rsidRPr="00C120C0" w:rsidRDefault="00542A43" w:rsidP="0007695E">
            <w:pPr>
              <w:pStyle w:val="IATableLines"/>
            </w:pPr>
            <w:r w:rsidRPr="00542A43">
              <w:t xml:space="preserve">The </w:t>
            </w:r>
            <w:r>
              <w:t xml:space="preserve">Climate Change </w:t>
            </w:r>
            <w:r w:rsidRPr="00542A43">
              <w:t xml:space="preserve">Act </w:t>
            </w:r>
            <w:r w:rsidR="005C7CEB">
              <w:t xml:space="preserve">2008 </w:t>
            </w:r>
            <w:r w:rsidRPr="00542A43">
              <w:t xml:space="preserve">established a legal framework to cut </w:t>
            </w:r>
            <w:r w:rsidR="00DE095E">
              <w:t>greenhouse gas</w:t>
            </w:r>
            <w:r w:rsidRPr="00542A43">
              <w:t xml:space="preserve"> emissions in the UK. It requires the Government to set a series of five-year cumulative limits on net emissions, known as “carbon budgets</w:t>
            </w:r>
            <w:r w:rsidR="0AC9A830">
              <w:t>”</w:t>
            </w:r>
            <w:r w:rsidR="03F182C7">
              <w:t xml:space="preserve"> leading up to 2050</w:t>
            </w:r>
            <w:r w:rsidR="0AC9A830">
              <w:t>.</w:t>
            </w:r>
            <w:r w:rsidRPr="00542A43">
              <w:t xml:space="preserve"> The </w:t>
            </w:r>
            <w:r w:rsidR="005C7CEB">
              <w:t>fourth</w:t>
            </w:r>
            <w:r w:rsidRPr="00542A43">
              <w:t xml:space="preserve"> carbon budget covers the period 20</w:t>
            </w:r>
            <w:r w:rsidR="005C7CEB">
              <w:t>23</w:t>
            </w:r>
            <w:r w:rsidRPr="00542A43">
              <w:t>-202</w:t>
            </w:r>
            <w:r w:rsidR="005C7CEB">
              <w:t>7</w:t>
            </w:r>
            <w:r w:rsidRPr="00542A43">
              <w:t xml:space="preserve">. The Act also places a statutory duty on the Government to set a limit on the quantity of international carbon units (“credits”) that can be used to meet a </w:t>
            </w:r>
            <w:r w:rsidRPr="00A10AAB">
              <w:t>carbon budget</w:t>
            </w:r>
            <w:r w:rsidR="00D52AA5">
              <w:t>. This limit must be set</w:t>
            </w:r>
            <w:r w:rsidR="00504359" w:rsidRPr="00A10AAB">
              <w:t xml:space="preserve"> </w:t>
            </w:r>
            <w:r w:rsidR="00F53DFF" w:rsidRPr="00C5128D">
              <w:t>18 months</w:t>
            </w:r>
            <w:r w:rsidR="00504359" w:rsidRPr="00A10AAB">
              <w:t xml:space="preserve"> ahead</w:t>
            </w:r>
            <w:r w:rsidR="00504359">
              <w:t xml:space="preserve"> of the start of a budget period</w:t>
            </w:r>
            <w:r w:rsidRPr="00542A43">
              <w:t xml:space="preserve">. </w:t>
            </w:r>
            <w:r w:rsidR="0080732A">
              <w:t xml:space="preserve">The policy decision set out here concerns </w:t>
            </w:r>
            <w:r w:rsidR="00106C0C">
              <w:t>only the</w:t>
            </w:r>
            <w:r w:rsidR="0080732A">
              <w:t xml:space="preserve"> limit on credits over the fourth carbon budget period, and neither commits the UK to purchasing credits nor </w:t>
            </w:r>
            <w:r w:rsidR="00106C0C">
              <w:t>assesses the suitability of doing so.</w:t>
            </w:r>
          </w:p>
        </w:tc>
      </w:tr>
    </w:tbl>
    <w:p w14:paraId="62581936" w14:textId="77777777" w:rsidR="007208D9" w:rsidRDefault="007208D9" w:rsidP="007208D9">
      <w:pPr>
        <w:pStyle w:val="IASpacer"/>
      </w:pPr>
    </w:p>
    <w:tbl>
      <w:tblPr>
        <w:tblW w:w="5067" w:type="pct"/>
        <w:tblInd w:w="-137"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1E0" w:firstRow="1" w:lastRow="1" w:firstColumn="1" w:lastColumn="1" w:noHBand="0" w:noVBand="0"/>
      </w:tblPr>
      <w:tblGrid>
        <w:gridCol w:w="10332"/>
      </w:tblGrid>
      <w:tr w:rsidR="007208D9" w:rsidRPr="00826F71" w14:paraId="07B34A21" w14:textId="77777777" w:rsidTr="00D64409">
        <w:trPr>
          <w:trHeight w:hRule="exact" w:val="2313"/>
        </w:trPr>
        <w:tc>
          <w:tcPr>
            <w:tcW w:w="10352" w:type="dxa"/>
            <w:tcBorders>
              <w:top w:val="single" w:sz="4" w:space="0" w:color="auto"/>
              <w:bottom w:val="single" w:sz="4" w:space="0" w:color="auto"/>
            </w:tcBorders>
          </w:tcPr>
          <w:p w14:paraId="197141E5" w14:textId="77777777" w:rsidR="00D64409" w:rsidRPr="00EA0B74" w:rsidRDefault="00D64409" w:rsidP="00D64409">
            <w:pPr>
              <w:pStyle w:val="IAIOQ2"/>
            </w:pPr>
            <w:bookmarkStart w:id="15" w:name="Summary2"/>
            <w:r>
              <w:t>What are the policy objectives of the action or intervention and the intended effects?</w:t>
            </w:r>
            <w:bookmarkEnd w:id="15"/>
          </w:p>
          <w:p w14:paraId="79FD5BAF" w14:textId="24E57402" w:rsidR="00E75380" w:rsidRPr="00C120C0" w:rsidRDefault="00106C0C" w:rsidP="00621C4A">
            <w:pPr>
              <w:pStyle w:val="IATableLines"/>
            </w:pPr>
            <w:r w:rsidRPr="00542A43">
              <w:t xml:space="preserve">Credits </w:t>
            </w:r>
            <w:r>
              <w:t>can</w:t>
            </w:r>
            <w:r w:rsidRPr="00542A43">
              <w:t xml:space="preserve"> manage uncertainty in historic and future emissions</w:t>
            </w:r>
            <w:r>
              <w:t xml:space="preserve">, </w:t>
            </w:r>
            <w:r w:rsidR="00FF5032">
              <w:t xml:space="preserve">given that </w:t>
            </w:r>
            <w:r w:rsidR="00864CE4">
              <w:t xml:space="preserve">evolution in scientific knowledge </w:t>
            </w:r>
            <w:r w:rsidR="00A012E8">
              <w:t>may alter</w:t>
            </w:r>
            <w:r w:rsidR="00864CE4">
              <w:t xml:space="preserve"> the measured quantum of </w:t>
            </w:r>
            <w:r w:rsidR="00A012E8">
              <w:t>greenhouse gas emissions by which performance against a carbon budget is assessed</w:t>
            </w:r>
            <w:r w:rsidR="00E30E47">
              <w:t xml:space="preserve">, and that the </w:t>
            </w:r>
            <w:r w:rsidR="006B4713">
              <w:t>g</w:t>
            </w:r>
            <w:r w:rsidR="00E30E47">
              <w:t xml:space="preserve">overnment must plan abatement several years in advance based on projections. </w:t>
            </w:r>
            <w:r w:rsidR="00FB6FDC">
              <w:t xml:space="preserve">Were the government required to find additional </w:t>
            </w:r>
            <w:r w:rsidR="00621C4A">
              <w:t xml:space="preserve">domestic </w:t>
            </w:r>
            <w:r w:rsidR="00FB6FDC">
              <w:t xml:space="preserve">abatement above that planned over </w:t>
            </w:r>
            <w:r w:rsidR="00B921A7">
              <w:t>the fourth carbon</w:t>
            </w:r>
            <w:r w:rsidR="00B72DC4">
              <w:t xml:space="preserve"> at short notice, this may significantly increase the costs of meeting carbon budgets. T</w:t>
            </w:r>
            <w:r w:rsidR="002D1DCD">
              <w:t xml:space="preserve">he level of the credit limit provides </w:t>
            </w:r>
            <w:r w:rsidR="00D57864">
              <w:t xml:space="preserve">the </w:t>
            </w:r>
            <w:r w:rsidR="00C35ED6">
              <w:t>extent to which</w:t>
            </w:r>
            <w:r w:rsidR="00FB6FDC">
              <w:t xml:space="preserve"> abatement </w:t>
            </w:r>
            <w:r w:rsidR="00D57864">
              <w:t xml:space="preserve">in other countries can be </w:t>
            </w:r>
            <w:r w:rsidR="00C35ED6">
              <w:t>procured in place of abatement in the UK where more cost effective or otherwise beneficial</w:t>
            </w:r>
            <w:r w:rsidR="00621C4A">
              <w:t>.</w:t>
            </w:r>
          </w:p>
        </w:tc>
      </w:tr>
    </w:tbl>
    <w:p w14:paraId="042F89B7" w14:textId="77777777" w:rsidR="007208D9" w:rsidRPr="00826F71" w:rsidRDefault="007208D9" w:rsidP="007208D9">
      <w:pPr>
        <w:pStyle w:val="IASpacer"/>
      </w:pPr>
    </w:p>
    <w:tbl>
      <w:tblPr>
        <w:tblW w:w="5067" w:type="pct"/>
        <w:tblInd w:w="-137"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1E0" w:firstRow="1" w:lastRow="1" w:firstColumn="1" w:lastColumn="1" w:noHBand="0" w:noVBand="0"/>
      </w:tblPr>
      <w:tblGrid>
        <w:gridCol w:w="10332"/>
      </w:tblGrid>
      <w:tr w:rsidR="00686F5E" w:rsidRPr="00826F71" w14:paraId="2AF63F02" w14:textId="77777777" w:rsidTr="00950571">
        <w:trPr>
          <w:trHeight w:hRule="exact" w:val="2862"/>
        </w:trPr>
        <w:tc>
          <w:tcPr>
            <w:tcW w:w="10352" w:type="dxa"/>
            <w:tcBorders>
              <w:top w:val="single" w:sz="4" w:space="0" w:color="auto"/>
              <w:bottom w:val="single" w:sz="4" w:space="0" w:color="auto"/>
            </w:tcBorders>
          </w:tcPr>
          <w:p w14:paraId="66483402" w14:textId="77777777" w:rsidR="00D64409" w:rsidRDefault="00D64409" w:rsidP="00D64409">
            <w:pPr>
              <w:pStyle w:val="IAIOQ3"/>
            </w:pPr>
            <w:bookmarkStart w:id="16" w:name="IAIOQ3"/>
            <w:bookmarkStart w:id="17" w:name="Summary3"/>
            <w:r>
              <w:t>What policy options have been considered, including any alternatives to regulation? Please justify preferred option (further details in Evidence Base)</w:t>
            </w:r>
            <w:bookmarkStart w:id="18" w:name="IAIOA3"/>
            <w:bookmarkEnd w:id="16"/>
          </w:p>
          <w:p w14:paraId="0B3A0DF5" w14:textId="2F54C598" w:rsidR="0072042A" w:rsidRDefault="0072042A" w:rsidP="0072042A">
            <w:pPr>
              <w:pStyle w:val="IATableLines"/>
            </w:pPr>
            <w:r>
              <w:t xml:space="preserve">There is no alternative </w:t>
            </w:r>
            <w:r w:rsidR="001E778C">
              <w:t xml:space="preserve">under the Act </w:t>
            </w:r>
            <w:r w:rsidR="00EB3574">
              <w:t>to</w:t>
            </w:r>
            <w:r>
              <w:t xml:space="preserve"> setting </w:t>
            </w:r>
            <w:r w:rsidR="00EB3574">
              <w:t>a</w:t>
            </w:r>
            <w:r>
              <w:t xml:space="preserve"> credit limit. Three options </w:t>
            </w:r>
            <w:r w:rsidR="00292840">
              <w:t>are</w:t>
            </w:r>
            <w:r>
              <w:t xml:space="preserve"> considered:</w:t>
            </w:r>
          </w:p>
          <w:p w14:paraId="4D363829" w14:textId="622D21A6" w:rsidR="0072042A" w:rsidRDefault="0072042A" w:rsidP="00400E9F">
            <w:pPr>
              <w:pStyle w:val="IATableLines"/>
              <w:numPr>
                <w:ilvl w:val="0"/>
                <w:numId w:val="19"/>
              </w:numPr>
            </w:pPr>
            <w:r>
              <w:t xml:space="preserve">Option 1: </w:t>
            </w:r>
            <w:r w:rsidR="00D03CDD">
              <w:t xml:space="preserve">Low flexibility - </w:t>
            </w:r>
            <w:r>
              <w:t>0 M</w:t>
            </w:r>
            <w:r w:rsidR="00045901">
              <w:t xml:space="preserve">illion Tonnes of </w:t>
            </w:r>
            <w:r>
              <w:t>CO2</w:t>
            </w:r>
            <w:r w:rsidR="00045901">
              <w:t>-</w:t>
            </w:r>
            <w:r>
              <w:t>e</w:t>
            </w:r>
            <w:r w:rsidR="00045901">
              <w:t>quivalent</w:t>
            </w:r>
            <w:r>
              <w:t xml:space="preserve"> (0% of the </w:t>
            </w:r>
            <w:r w:rsidR="00734ECD">
              <w:t>fourth</w:t>
            </w:r>
            <w:r>
              <w:t xml:space="preserve"> carbon budget)</w:t>
            </w:r>
            <w:r w:rsidR="00CB7E48">
              <w:t>.</w:t>
            </w:r>
          </w:p>
          <w:p w14:paraId="51B27E3C" w14:textId="11A0349D" w:rsidR="00400E9F" w:rsidRDefault="0072042A" w:rsidP="00400E9F">
            <w:pPr>
              <w:pStyle w:val="IATableLines"/>
              <w:numPr>
                <w:ilvl w:val="0"/>
                <w:numId w:val="19"/>
              </w:numPr>
            </w:pPr>
            <w:r>
              <w:t xml:space="preserve">Option 2: </w:t>
            </w:r>
            <w:r w:rsidR="00D03CDD">
              <w:t xml:space="preserve">Moderate flexibility - </w:t>
            </w:r>
            <w:r w:rsidR="008060D0" w:rsidRPr="00C5128D">
              <w:t>55</w:t>
            </w:r>
            <w:r>
              <w:t xml:space="preserve"> MtCO2e (around 2.8% of the fourth carbon budget</w:t>
            </w:r>
            <w:r w:rsidR="00734ECD">
              <w:t>)</w:t>
            </w:r>
            <w:r>
              <w:t xml:space="preserve"> </w:t>
            </w:r>
          </w:p>
          <w:p w14:paraId="70CB0D99" w14:textId="01CEC922" w:rsidR="00D50283" w:rsidRDefault="0072042A" w:rsidP="00400E9F">
            <w:pPr>
              <w:pStyle w:val="IATableLines"/>
              <w:numPr>
                <w:ilvl w:val="0"/>
                <w:numId w:val="19"/>
              </w:numPr>
            </w:pPr>
            <w:r>
              <w:t xml:space="preserve">Option 3: </w:t>
            </w:r>
            <w:r w:rsidR="00D03CDD">
              <w:t xml:space="preserve">High flexibility - </w:t>
            </w:r>
            <w:r>
              <w:t>90 MtCO2e (around 4.6% of the fourth carbon budget).</w:t>
            </w:r>
            <w:bookmarkEnd w:id="18"/>
          </w:p>
          <w:p w14:paraId="07322D08" w14:textId="1CF56CF8" w:rsidR="00621C4A" w:rsidRPr="00C120C0" w:rsidRDefault="00621C4A" w:rsidP="00621C4A">
            <w:pPr>
              <w:pStyle w:val="IATableLines"/>
            </w:pPr>
            <w:r>
              <w:t xml:space="preserve">Option </w:t>
            </w:r>
            <w:r w:rsidR="00865465">
              <w:t>2</w:t>
            </w:r>
            <w:r>
              <w:t xml:space="preserve"> </w:t>
            </w:r>
            <w:r w:rsidR="00734ECD">
              <w:t>is judged to provide sufficient flexibility to m</w:t>
            </w:r>
            <w:r w:rsidR="00874244">
              <w:t>itigate uncertainty in the level of abatement required to achieve the fourth carbon budget</w:t>
            </w:r>
            <w:r w:rsidR="00A36AD8">
              <w:t xml:space="preserve"> and </w:t>
            </w:r>
            <w:r w:rsidR="00DD6CA4">
              <w:t>ensure</w:t>
            </w:r>
            <w:r w:rsidR="00A36AD8">
              <w:t xml:space="preserve"> cost effectiveness of making the necessary </w:t>
            </w:r>
            <w:r w:rsidR="001E778C">
              <w:t>abatement</w:t>
            </w:r>
            <w:r w:rsidR="0079031E">
              <w:t xml:space="preserve">. It is also </w:t>
            </w:r>
            <w:r w:rsidR="00504359">
              <w:t xml:space="preserve">consistent with </w:t>
            </w:r>
            <w:r w:rsidR="00C30BBE">
              <w:t>maintain</w:t>
            </w:r>
            <w:r w:rsidR="00504359">
              <w:t>ing</w:t>
            </w:r>
            <w:r w:rsidR="00C30BBE">
              <w:t xml:space="preserve"> UK support for international carbon markets</w:t>
            </w:r>
            <w:r w:rsidR="00504359">
              <w:t>.</w:t>
            </w:r>
            <w:r w:rsidR="00C30BBE">
              <w:t xml:space="preserve"> </w:t>
            </w:r>
          </w:p>
        </w:tc>
      </w:tr>
    </w:tbl>
    <w:p w14:paraId="43DC04EC" w14:textId="77777777" w:rsidR="00686F5E" w:rsidRDefault="00686F5E">
      <w:pPr>
        <w:pStyle w:val="IASpacer2"/>
      </w:pPr>
    </w:p>
    <w:tbl>
      <w:tblPr>
        <w:tblW w:w="5067"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0332"/>
      </w:tblGrid>
      <w:tr w:rsidR="00720FFE" w14:paraId="53C97780" w14:textId="77777777" w:rsidTr="00950571">
        <w:tc>
          <w:tcPr>
            <w:tcW w:w="5000" w:type="pct"/>
          </w:tcPr>
          <w:tbl>
            <w:tblPr>
              <w:tblpPr w:leftFromText="180" w:rightFromText="180" w:vertAnchor="text" w:horzAnchor="margin" w:tblpY="314"/>
              <w:tblW w:w="10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6251"/>
              <w:gridCol w:w="1098"/>
              <w:gridCol w:w="871"/>
              <w:gridCol w:w="347"/>
              <w:gridCol w:w="633"/>
              <w:gridCol w:w="1178"/>
            </w:tblGrid>
            <w:tr w:rsidR="00C24ED8" w:rsidRPr="00D50283" w14:paraId="517D985A" w14:textId="77777777" w:rsidTr="00C24ED8">
              <w:trPr>
                <w:trHeight w:hRule="exact" w:val="340"/>
              </w:trPr>
              <w:tc>
                <w:tcPr>
                  <w:tcW w:w="7349" w:type="dxa"/>
                  <w:gridSpan w:val="2"/>
                  <w:shd w:val="clear" w:color="auto" w:fill="E0E0E0"/>
                  <w:vAlign w:val="center"/>
                </w:tcPr>
                <w:p w14:paraId="68FB199C" w14:textId="77777777" w:rsidR="00C24ED8" w:rsidRPr="00D50283" w:rsidRDefault="00C24ED8" w:rsidP="00C24ED8">
                  <w:pPr>
                    <w:pStyle w:val="IATableText"/>
                    <w:spacing w:before="0" w:after="0"/>
                    <w:rPr>
                      <w:sz w:val="20"/>
                    </w:rPr>
                  </w:pPr>
                  <w:r w:rsidRPr="00D50283">
                    <w:rPr>
                      <w:iCs/>
                      <w:sz w:val="20"/>
                    </w:rPr>
                    <w:t>Does implementation go beyond minimum EU requirements?</w:t>
                  </w:r>
                </w:p>
              </w:tc>
              <w:tc>
                <w:tcPr>
                  <w:tcW w:w="3029" w:type="dxa"/>
                  <w:gridSpan w:val="4"/>
                  <w:shd w:val="clear" w:color="auto" w:fill="E0E0E0"/>
                  <w:vAlign w:val="center"/>
                </w:tcPr>
                <w:p w14:paraId="04126A1D" w14:textId="2621BF5B" w:rsidR="00C24ED8" w:rsidRPr="00D50283" w:rsidRDefault="00504359" w:rsidP="004B493E">
                  <w:pPr>
                    <w:pStyle w:val="IAIOCheckEU"/>
                    <w:ind w:left="0"/>
                  </w:pPr>
                  <w:r>
                    <w:t>N/A</w:t>
                  </w:r>
                </w:p>
              </w:tc>
            </w:tr>
            <w:tr w:rsidR="00C24ED8" w:rsidRPr="00D50283" w14:paraId="7C2F95A3" w14:textId="77777777" w:rsidTr="00C24ED8">
              <w:trPr>
                <w:trHeight w:hRule="exact" w:val="340"/>
              </w:trPr>
              <w:tc>
                <w:tcPr>
                  <w:tcW w:w="7349" w:type="dxa"/>
                  <w:gridSpan w:val="2"/>
                  <w:shd w:val="clear" w:color="auto" w:fill="E0E0E0"/>
                  <w:vAlign w:val="center"/>
                </w:tcPr>
                <w:p w14:paraId="5A4A88EA" w14:textId="77777777" w:rsidR="00C24ED8" w:rsidRPr="00D50283" w:rsidRDefault="00C24ED8" w:rsidP="00C24ED8">
                  <w:pPr>
                    <w:pStyle w:val="IATableText"/>
                    <w:spacing w:before="0" w:after="0"/>
                    <w:rPr>
                      <w:iCs/>
                      <w:sz w:val="20"/>
                    </w:rPr>
                  </w:pPr>
                  <w:r>
                    <w:rPr>
                      <w:iCs/>
                      <w:sz w:val="20"/>
                    </w:rPr>
                    <w:t xml:space="preserve">Is this measure likely to impact on international trade and investment? </w:t>
                  </w:r>
                </w:p>
              </w:tc>
              <w:tc>
                <w:tcPr>
                  <w:tcW w:w="3029" w:type="dxa"/>
                  <w:gridSpan w:val="4"/>
                  <w:shd w:val="clear" w:color="auto" w:fill="E0E0E0"/>
                  <w:vAlign w:val="center"/>
                </w:tcPr>
                <w:p w14:paraId="78735923" w14:textId="77777777" w:rsidR="00C24ED8" w:rsidRDefault="00C24ED8" w:rsidP="00C24ED8">
                  <w:pPr>
                    <w:pStyle w:val="IAIOCheckEU"/>
                  </w:pPr>
                  <w:r>
                    <w:fldChar w:fldCharType="begin">
                      <w:ffData>
                        <w:name w:val=""/>
                        <w:enabled/>
                        <w:calcOnExit w:val="0"/>
                        <w:ddList>
                          <w:listEntry w:val="Yes / No"/>
                          <w:listEntry w:val="Yes"/>
                          <w:listEntry w:val="No"/>
                        </w:ddList>
                      </w:ffData>
                    </w:fldChar>
                  </w:r>
                  <w:r>
                    <w:instrText xml:space="preserve"> FORMDROPDOWN </w:instrText>
                  </w:r>
                  <w:r w:rsidR="00F26ECE">
                    <w:fldChar w:fldCharType="separate"/>
                  </w:r>
                  <w:r>
                    <w:fldChar w:fldCharType="end"/>
                  </w:r>
                </w:p>
              </w:tc>
            </w:tr>
            <w:tr w:rsidR="00C24ED8" w:rsidRPr="00D50283" w14:paraId="38090AEE" w14:textId="77777777" w:rsidTr="00C24ED8">
              <w:trPr>
                <w:trHeight w:val="460"/>
              </w:trPr>
              <w:tc>
                <w:tcPr>
                  <w:tcW w:w="6251" w:type="dxa"/>
                  <w:shd w:val="clear" w:color="auto" w:fill="E0E0E0"/>
                  <w:vAlign w:val="center"/>
                </w:tcPr>
                <w:p w14:paraId="488C8D38" w14:textId="77777777" w:rsidR="00C24ED8" w:rsidRPr="00720FFE" w:rsidRDefault="00C24ED8" w:rsidP="00C24ED8">
                  <w:pPr>
                    <w:pStyle w:val="IATableLines"/>
                    <w:rPr>
                      <w:b/>
                      <w:color w:val="000000"/>
                      <w:sz w:val="20"/>
                    </w:rPr>
                  </w:pPr>
                  <w:r w:rsidRPr="00D50283">
                    <w:rPr>
                      <w:rFonts w:cs="Arial"/>
                      <w:sz w:val="20"/>
                    </w:rPr>
                    <w:t>Are a</w:t>
                  </w:r>
                  <w:r>
                    <w:rPr>
                      <w:rFonts w:cs="Arial"/>
                      <w:sz w:val="20"/>
                    </w:rPr>
                    <w:t>ny of these organisations in scope</w:t>
                  </w:r>
                  <w:r w:rsidRPr="00D50283">
                    <w:rPr>
                      <w:rFonts w:cs="Arial"/>
                      <w:sz w:val="20"/>
                    </w:rPr>
                    <w:t>?</w:t>
                  </w:r>
                </w:p>
              </w:tc>
              <w:tc>
                <w:tcPr>
                  <w:tcW w:w="1098" w:type="dxa"/>
                  <w:shd w:val="clear" w:color="auto" w:fill="E0E0E0"/>
                  <w:vAlign w:val="center"/>
                </w:tcPr>
                <w:p w14:paraId="531272B0" w14:textId="77777777" w:rsidR="00C24ED8" w:rsidRPr="00720FFE" w:rsidRDefault="00C24ED8" w:rsidP="00C24ED8">
                  <w:pPr>
                    <w:pStyle w:val="IATableLines"/>
                    <w:rPr>
                      <w:b/>
                      <w:color w:val="000000"/>
                      <w:sz w:val="20"/>
                    </w:rPr>
                  </w:pPr>
                  <w:r w:rsidRPr="00720FFE">
                    <w:rPr>
                      <w:b/>
                      <w:color w:val="000000"/>
                      <w:sz w:val="20"/>
                    </w:rPr>
                    <w:t>Micro</w:t>
                  </w:r>
                  <w:bookmarkStart w:id="19" w:name="IACheckMicro"/>
                  <w:r w:rsidRPr="00817638">
                    <w:rPr>
                      <w:rStyle w:val="IAIOCheckMicroChar"/>
                      <w:b w:val="0"/>
                      <w:sz w:val="20"/>
                    </w:rPr>
                    <w:fldChar w:fldCharType="begin">
                      <w:ffData>
                        <w:name w:val="IACheckMicro"/>
                        <w:enabled/>
                        <w:calcOnExit w:val="0"/>
                        <w:ddList>
                          <w:listEntry w:val="Yes/No"/>
                          <w:listEntry w:val="Yes"/>
                          <w:listEntry w:val="No"/>
                        </w:ddList>
                      </w:ffData>
                    </w:fldChar>
                  </w:r>
                  <w:r w:rsidRPr="00817638">
                    <w:rPr>
                      <w:rStyle w:val="IAIOCheckMicroChar"/>
                      <w:b w:val="0"/>
                      <w:sz w:val="20"/>
                    </w:rPr>
                    <w:instrText xml:space="preserve"> FORMDROPDOWN </w:instrText>
                  </w:r>
                  <w:r w:rsidR="00F26ECE">
                    <w:rPr>
                      <w:rStyle w:val="IAIOCheckMicroChar"/>
                      <w:b w:val="0"/>
                      <w:sz w:val="20"/>
                    </w:rPr>
                  </w:r>
                  <w:r w:rsidR="00F26ECE">
                    <w:rPr>
                      <w:rStyle w:val="IAIOCheckMicroChar"/>
                      <w:b w:val="0"/>
                      <w:sz w:val="20"/>
                    </w:rPr>
                    <w:fldChar w:fldCharType="separate"/>
                  </w:r>
                  <w:r w:rsidRPr="00817638">
                    <w:rPr>
                      <w:rStyle w:val="IAIOCheckMicroChar"/>
                      <w:b w:val="0"/>
                      <w:sz w:val="20"/>
                    </w:rPr>
                    <w:fldChar w:fldCharType="end"/>
                  </w:r>
                  <w:bookmarkEnd w:id="19"/>
                </w:p>
              </w:tc>
              <w:tc>
                <w:tcPr>
                  <w:tcW w:w="871" w:type="dxa"/>
                  <w:shd w:val="clear" w:color="auto" w:fill="E0E0E0"/>
                  <w:vAlign w:val="center"/>
                </w:tcPr>
                <w:p w14:paraId="05C69F82" w14:textId="4D98FD68" w:rsidR="00C24ED8" w:rsidRPr="00720FFE" w:rsidRDefault="00C24ED8" w:rsidP="00C24ED8">
                  <w:pPr>
                    <w:pStyle w:val="IATableLines"/>
                    <w:rPr>
                      <w:b/>
                      <w:color w:val="000000"/>
                      <w:sz w:val="20"/>
                    </w:rPr>
                  </w:pPr>
                  <w:r w:rsidRPr="00720FFE">
                    <w:rPr>
                      <w:b/>
                      <w:color w:val="000000"/>
                      <w:sz w:val="20"/>
                    </w:rPr>
                    <w:t>Small</w:t>
                  </w:r>
                  <w:r w:rsidR="00E01E8F">
                    <w:rPr>
                      <w:rStyle w:val="IAIOCheckSmallChar"/>
                      <w:b w:val="0"/>
                      <w:sz w:val="20"/>
                    </w:rPr>
                    <w:fldChar w:fldCharType="begin">
                      <w:ffData>
                        <w:name w:val="IACheckSmall"/>
                        <w:enabled/>
                        <w:calcOnExit w:val="0"/>
                        <w:ddList>
                          <w:listEntry w:val="Yes/No"/>
                          <w:listEntry w:val="Yes"/>
                          <w:listEntry w:val="No"/>
                        </w:ddList>
                      </w:ffData>
                    </w:fldChar>
                  </w:r>
                  <w:bookmarkStart w:id="20" w:name="IACheckSmall"/>
                  <w:r w:rsidR="00E01E8F">
                    <w:rPr>
                      <w:rStyle w:val="IAIOCheckSmallChar"/>
                      <w:b w:val="0"/>
                      <w:sz w:val="20"/>
                    </w:rPr>
                    <w:instrText xml:space="preserve"> FORMDROPDOWN </w:instrText>
                  </w:r>
                  <w:r w:rsidR="00F26ECE">
                    <w:rPr>
                      <w:rStyle w:val="IAIOCheckSmallChar"/>
                      <w:b w:val="0"/>
                      <w:sz w:val="20"/>
                    </w:rPr>
                  </w:r>
                  <w:r w:rsidR="00F26ECE">
                    <w:rPr>
                      <w:rStyle w:val="IAIOCheckSmallChar"/>
                      <w:b w:val="0"/>
                      <w:sz w:val="20"/>
                    </w:rPr>
                    <w:fldChar w:fldCharType="separate"/>
                  </w:r>
                  <w:r w:rsidR="00E01E8F">
                    <w:rPr>
                      <w:rStyle w:val="IAIOCheckSmallChar"/>
                      <w:b w:val="0"/>
                      <w:sz w:val="20"/>
                    </w:rPr>
                    <w:fldChar w:fldCharType="end"/>
                  </w:r>
                  <w:bookmarkEnd w:id="20"/>
                </w:p>
              </w:tc>
              <w:tc>
                <w:tcPr>
                  <w:tcW w:w="980" w:type="dxa"/>
                  <w:gridSpan w:val="2"/>
                  <w:shd w:val="clear" w:color="auto" w:fill="E0E0E0"/>
                  <w:vAlign w:val="center"/>
                </w:tcPr>
                <w:p w14:paraId="2FE20256" w14:textId="77777777" w:rsidR="00C24ED8" w:rsidRPr="00720FFE" w:rsidRDefault="00C24ED8" w:rsidP="00C24ED8">
                  <w:pPr>
                    <w:pStyle w:val="IATableLines"/>
                    <w:rPr>
                      <w:b/>
                      <w:color w:val="000000"/>
                      <w:sz w:val="20"/>
                    </w:rPr>
                  </w:pPr>
                  <w:r w:rsidRPr="00720FFE">
                    <w:rPr>
                      <w:b/>
                      <w:color w:val="000000"/>
                      <w:sz w:val="20"/>
                    </w:rPr>
                    <w:t>Medium</w:t>
                  </w:r>
                  <w:bookmarkStart w:id="21" w:name="IACheckMedium"/>
                  <w:r w:rsidRPr="00817638">
                    <w:rPr>
                      <w:rStyle w:val="IAIOCheckMediumChar"/>
                      <w:b w:val="0"/>
                      <w:sz w:val="20"/>
                    </w:rPr>
                    <w:fldChar w:fldCharType="begin">
                      <w:ffData>
                        <w:name w:val="IACheckMedium"/>
                        <w:enabled/>
                        <w:calcOnExit w:val="0"/>
                        <w:ddList>
                          <w:listEntry w:val="Yes/No"/>
                          <w:listEntry w:val="Yes"/>
                          <w:listEntry w:val="No"/>
                        </w:ddList>
                      </w:ffData>
                    </w:fldChar>
                  </w:r>
                  <w:r w:rsidRPr="00817638">
                    <w:rPr>
                      <w:rStyle w:val="IAIOCheckMediumChar"/>
                      <w:b w:val="0"/>
                      <w:sz w:val="20"/>
                    </w:rPr>
                    <w:instrText xml:space="preserve"> FORMDROPDOWN </w:instrText>
                  </w:r>
                  <w:r w:rsidR="00F26ECE">
                    <w:rPr>
                      <w:rStyle w:val="IAIOCheckMediumChar"/>
                      <w:b w:val="0"/>
                      <w:sz w:val="20"/>
                    </w:rPr>
                  </w:r>
                  <w:r w:rsidR="00F26ECE">
                    <w:rPr>
                      <w:rStyle w:val="IAIOCheckMediumChar"/>
                      <w:b w:val="0"/>
                      <w:sz w:val="20"/>
                    </w:rPr>
                    <w:fldChar w:fldCharType="separate"/>
                  </w:r>
                  <w:r w:rsidRPr="00817638">
                    <w:rPr>
                      <w:rStyle w:val="IAIOCheckMediumChar"/>
                      <w:b w:val="0"/>
                      <w:sz w:val="20"/>
                    </w:rPr>
                    <w:fldChar w:fldCharType="end"/>
                  </w:r>
                  <w:bookmarkEnd w:id="21"/>
                </w:p>
              </w:tc>
              <w:tc>
                <w:tcPr>
                  <w:tcW w:w="1178" w:type="dxa"/>
                  <w:shd w:val="clear" w:color="auto" w:fill="E0E0E0"/>
                  <w:vAlign w:val="center"/>
                </w:tcPr>
                <w:p w14:paraId="0C807B5B" w14:textId="77777777" w:rsidR="00C24ED8" w:rsidRPr="00720FFE" w:rsidRDefault="00C24ED8" w:rsidP="00C24ED8">
                  <w:pPr>
                    <w:pStyle w:val="IATableLines"/>
                    <w:rPr>
                      <w:b/>
                      <w:color w:val="000000"/>
                      <w:sz w:val="20"/>
                    </w:rPr>
                  </w:pPr>
                  <w:r w:rsidRPr="00720FFE">
                    <w:rPr>
                      <w:b/>
                      <w:color w:val="000000"/>
                      <w:sz w:val="20"/>
                    </w:rPr>
                    <w:t>Large</w:t>
                  </w:r>
                  <w:bookmarkStart w:id="22" w:name="IACheckLarge"/>
                  <w:r w:rsidRPr="00817638">
                    <w:rPr>
                      <w:rStyle w:val="IAIOCheckLargeChar"/>
                      <w:b w:val="0"/>
                      <w:sz w:val="20"/>
                    </w:rPr>
                    <w:fldChar w:fldCharType="begin">
                      <w:ffData>
                        <w:name w:val="IACheckLarge"/>
                        <w:enabled/>
                        <w:calcOnExit w:val="0"/>
                        <w:ddList>
                          <w:listEntry w:val="Yes/No"/>
                          <w:listEntry w:val="Yes"/>
                          <w:listEntry w:val="No"/>
                        </w:ddList>
                      </w:ffData>
                    </w:fldChar>
                  </w:r>
                  <w:r w:rsidRPr="00817638">
                    <w:rPr>
                      <w:rStyle w:val="IAIOCheckLargeChar"/>
                      <w:b w:val="0"/>
                      <w:sz w:val="20"/>
                    </w:rPr>
                    <w:instrText xml:space="preserve"> FORMDROPDOWN </w:instrText>
                  </w:r>
                  <w:r w:rsidR="00F26ECE">
                    <w:rPr>
                      <w:rStyle w:val="IAIOCheckLargeChar"/>
                      <w:b w:val="0"/>
                      <w:sz w:val="20"/>
                    </w:rPr>
                  </w:r>
                  <w:r w:rsidR="00F26ECE">
                    <w:rPr>
                      <w:rStyle w:val="IAIOCheckLargeChar"/>
                      <w:b w:val="0"/>
                      <w:sz w:val="20"/>
                    </w:rPr>
                    <w:fldChar w:fldCharType="separate"/>
                  </w:r>
                  <w:r w:rsidRPr="00817638">
                    <w:rPr>
                      <w:rStyle w:val="IAIOCheckLargeChar"/>
                      <w:b w:val="0"/>
                      <w:sz w:val="20"/>
                    </w:rPr>
                    <w:fldChar w:fldCharType="end"/>
                  </w:r>
                  <w:bookmarkEnd w:id="22"/>
                </w:p>
              </w:tc>
            </w:tr>
            <w:tr w:rsidR="00C24ED8" w14:paraId="2BC8851D" w14:textId="77777777" w:rsidTr="00C24ED8">
              <w:trPr>
                <w:trHeight w:hRule="exact" w:val="567"/>
              </w:trPr>
              <w:tc>
                <w:tcPr>
                  <w:tcW w:w="7349" w:type="dxa"/>
                  <w:gridSpan w:val="2"/>
                  <w:shd w:val="clear" w:color="auto" w:fill="E0E0E0"/>
                  <w:vAlign w:val="center"/>
                </w:tcPr>
                <w:p w14:paraId="4DF52121" w14:textId="77777777" w:rsidR="00C24ED8" w:rsidRDefault="00C24ED8" w:rsidP="00C24ED8">
                  <w:pPr>
                    <w:pStyle w:val="IATableText"/>
                    <w:spacing w:before="0" w:after="0"/>
                    <w:rPr>
                      <w:rFonts w:eastAsia="Times New Roman"/>
                      <w:sz w:val="16"/>
                      <w:szCs w:val="16"/>
                    </w:rPr>
                  </w:pPr>
                  <w:r>
                    <w:rPr>
                      <w:rFonts w:cs="Arial"/>
                      <w:sz w:val="20"/>
                    </w:rPr>
                    <w:t>What is the CO</w:t>
                  </w:r>
                  <w:r w:rsidRPr="00FC07D5">
                    <w:rPr>
                      <w:rFonts w:cs="Arial"/>
                      <w:sz w:val="20"/>
                      <w:vertAlign w:val="subscript"/>
                    </w:rPr>
                    <w:t>2</w:t>
                  </w:r>
                  <w:r>
                    <w:rPr>
                      <w:rFonts w:cs="Arial"/>
                      <w:sz w:val="20"/>
                    </w:rPr>
                    <w:t xml:space="preserve"> equivalent change in greenhouse gas emissions? </w:t>
                  </w:r>
                  <w:r>
                    <w:rPr>
                      <w:rFonts w:cs="Arial"/>
                      <w:sz w:val="20"/>
                    </w:rPr>
                    <w:br/>
                    <w:t>(Million tonnes CO</w:t>
                  </w:r>
                  <w:r w:rsidRPr="00FC07D5">
                    <w:rPr>
                      <w:rFonts w:cs="Arial"/>
                      <w:sz w:val="20"/>
                      <w:vertAlign w:val="subscript"/>
                    </w:rPr>
                    <w:t>2</w:t>
                  </w:r>
                  <w:r>
                    <w:rPr>
                      <w:rFonts w:cs="Arial"/>
                      <w:sz w:val="20"/>
                    </w:rPr>
                    <w:t xml:space="preserve"> equivalent)</w:t>
                  </w:r>
                  <w:r>
                    <w:rPr>
                      <w:spacing w:val="0"/>
                      <w:sz w:val="18"/>
                    </w:rPr>
                    <w:t xml:space="preserve">  </w:t>
                  </w:r>
                </w:p>
              </w:tc>
              <w:tc>
                <w:tcPr>
                  <w:tcW w:w="1218" w:type="dxa"/>
                  <w:gridSpan w:val="2"/>
                  <w:shd w:val="clear" w:color="auto" w:fill="E0E0E0"/>
                </w:tcPr>
                <w:p w14:paraId="5004D291" w14:textId="72328103" w:rsidR="00C24ED8" w:rsidRDefault="00C24ED8" w:rsidP="00C24ED8">
                  <w:pPr>
                    <w:pStyle w:val="IATableLabel"/>
                  </w:pPr>
                  <w:r>
                    <w:t xml:space="preserve">Traded:   </w:t>
                  </w:r>
                  <w:r>
                    <w:br/>
                  </w:r>
                  <w:r w:rsidR="00D95A9D">
                    <w:rPr>
                      <w:rStyle w:val="IAIOCO2TradedChar"/>
                      <w:sz w:val="20"/>
                    </w:rPr>
                    <w:fldChar w:fldCharType="begin">
                      <w:ffData>
                        <w:name w:val="IACO2Traded"/>
                        <w:enabled/>
                        <w:calcOnExit w:val="0"/>
                        <w:textInput>
                          <w:default w:val="0"/>
                          <w:maxLength w:val="8"/>
                        </w:textInput>
                      </w:ffData>
                    </w:fldChar>
                  </w:r>
                  <w:bookmarkStart w:id="23" w:name="IACO2Traded"/>
                  <w:r w:rsidR="00D95A9D">
                    <w:rPr>
                      <w:rStyle w:val="IAIOCO2TradedChar"/>
                      <w:sz w:val="20"/>
                    </w:rPr>
                    <w:instrText xml:space="preserve"> FORMTEXT </w:instrText>
                  </w:r>
                  <w:r w:rsidR="00D95A9D">
                    <w:rPr>
                      <w:rStyle w:val="IAIOCO2TradedChar"/>
                      <w:sz w:val="20"/>
                    </w:rPr>
                  </w:r>
                  <w:r w:rsidR="00D95A9D">
                    <w:rPr>
                      <w:rStyle w:val="IAIOCO2TradedChar"/>
                      <w:sz w:val="20"/>
                    </w:rPr>
                    <w:fldChar w:fldCharType="separate"/>
                  </w:r>
                  <w:r w:rsidR="00D95A9D">
                    <w:rPr>
                      <w:rStyle w:val="IAIOCO2TradedChar"/>
                      <w:noProof/>
                      <w:sz w:val="20"/>
                    </w:rPr>
                    <w:t>0</w:t>
                  </w:r>
                  <w:r w:rsidR="00D95A9D">
                    <w:rPr>
                      <w:rStyle w:val="IAIOCO2TradedChar"/>
                      <w:sz w:val="20"/>
                    </w:rPr>
                    <w:fldChar w:fldCharType="end"/>
                  </w:r>
                  <w:bookmarkEnd w:id="23"/>
                </w:p>
              </w:tc>
              <w:tc>
                <w:tcPr>
                  <w:tcW w:w="1811" w:type="dxa"/>
                  <w:gridSpan w:val="2"/>
                  <w:shd w:val="clear" w:color="auto" w:fill="E0E0E0"/>
                </w:tcPr>
                <w:p w14:paraId="640EEDE0" w14:textId="6D220353" w:rsidR="00C24ED8" w:rsidRDefault="00C24ED8" w:rsidP="00C24ED8">
                  <w:pPr>
                    <w:pStyle w:val="IATableLabel"/>
                  </w:pPr>
                  <w:r>
                    <w:t xml:space="preserve">Non-traded:   </w:t>
                  </w:r>
                  <w:r>
                    <w:br/>
                  </w:r>
                  <w:r w:rsidR="00D95A9D">
                    <w:rPr>
                      <w:rStyle w:val="IAIOCO2TradedChar"/>
                      <w:sz w:val="20"/>
                    </w:rPr>
                    <w:fldChar w:fldCharType="begin">
                      <w:ffData>
                        <w:name w:val="IACO2NonTraded"/>
                        <w:enabled/>
                        <w:calcOnExit w:val="0"/>
                        <w:textInput>
                          <w:default w:val="0"/>
                          <w:maxLength w:val="8"/>
                        </w:textInput>
                      </w:ffData>
                    </w:fldChar>
                  </w:r>
                  <w:bookmarkStart w:id="24" w:name="IACO2NonTraded"/>
                  <w:r w:rsidR="00D95A9D">
                    <w:rPr>
                      <w:rStyle w:val="IAIOCO2TradedChar"/>
                      <w:sz w:val="20"/>
                    </w:rPr>
                    <w:instrText xml:space="preserve"> FORMTEXT </w:instrText>
                  </w:r>
                  <w:r w:rsidR="00D95A9D">
                    <w:rPr>
                      <w:rStyle w:val="IAIOCO2TradedChar"/>
                      <w:sz w:val="20"/>
                    </w:rPr>
                  </w:r>
                  <w:r w:rsidR="00D95A9D">
                    <w:rPr>
                      <w:rStyle w:val="IAIOCO2TradedChar"/>
                      <w:sz w:val="20"/>
                    </w:rPr>
                    <w:fldChar w:fldCharType="separate"/>
                  </w:r>
                  <w:r w:rsidR="00D95A9D">
                    <w:rPr>
                      <w:rStyle w:val="IAIOCO2TradedChar"/>
                      <w:noProof/>
                      <w:sz w:val="20"/>
                    </w:rPr>
                    <w:t>0</w:t>
                  </w:r>
                  <w:r w:rsidR="00D95A9D">
                    <w:rPr>
                      <w:rStyle w:val="IAIOCO2TradedChar"/>
                      <w:sz w:val="20"/>
                    </w:rPr>
                    <w:fldChar w:fldCharType="end"/>
                  </w:r>
                  <w:bookmarkEnd w:id="24"/>
                </w:p>
              </w:tc>
            </w:tr>
          </w:tbl>
          <w:p w14:paraId="6AB5995D" w14:textId="77777777" w:rsidR="00720FFE" w:rsidRPr="007E190E" w:rsidRDefault="00720FFE" w:rsidP="00332B05">
            <w:pPr>
              <w:pStyle w:val="IATableLabel"/>
              <w:rPr>
                <w:b w:val="0"/>
                <w:sz w:val="22"/>
                <w:szCs w:val="22"/>
              </w:rPr>
            </w:pPr>
            <w:r w:rsidRPr="00D02C89">
              <w:t xml:space="preserve">Will the policy be reviewed?  </w:t>
            </w:r>
            <w:r w:rsidRPr="007E190E">
              <w:rPr>
                <w:b w:val="0"/>
                <w:sz w:val="22"/>
                <w:szCs w:val="22"/>
              </w:rPr>
              <w:t xml:space="preserve">It </w:t>
            </w:r>
            <w:bookmarkStart w:id="25" w:name="IAPolicyReview"/>
            <w:r w:rsidR="00BB249D" w:rsidRPr="007E190E">
              <w:rPr>
                <w:rStyle w:val="IAIOPolicyReviewChar"/>
                <w:szCs w:val="22"/>
              </w:rPr>
              <w:fldChar w:fldCharType="begin">
                <w:ffData>
                  <w:name w:val="IAPolicyReview"/>
                  <w:enabled/>
                  <w:calcOnExit w:val="0"/>
                  <w:ddList>
                    <w:listEntry w:val="will/will not"/>
                    <w:listEntry w:val="will"/>
                    <w:listEntry w:val="will not"/>
                  </w:ddList>
                </w:ffData>
              </w:fldChar>
            </w:r>
            <w:r w:rsidR="00BB249D" w:rsidRPr="007E190E">
              <w:rPr>
                <w:rStyle w:val="IAIOPolicyReviewChar"/>
                <w:szCs w:val="22"/>
              </w:rPr>
              <w:instrText xml:space="preserve"> FORMDROPDOWN </w:instrText>
            </w:r>
            <w:r w:rsidR="00F26ECE">
              <w:rPr>
                <w:rStyle w:val="IAIOPolicyReviewChar"/>
                <w:szCs w:val="22"/>
              </w:rPr>
            </w:r>
            <w:r w:rsidR="00F26ECE">
              <w:rPr>
                <w:rStyle w:val="IAIOPolicyReviewChar"/>
                <w:szCs w:val="22"/>
              </w:rPr>
              <w:fldChar w:fldCharType="separate"/>
            </w:r>
            <w:r w:rsidR="00BB249D" w:rsidRPr="007E190E">
              <w:rPr>
                <w:rStyle w:val="IAIOPolicyReviewChar"/>
                <w:szCs w:val="22"/>
              </w:rPr>
              <w:fldChar w:fldCharType="end"/>
            </w:r>
            <w:bookmarkEnd w:id="25"/>
            <w:r w:rsidRPr="007E190E">
              <w:rPr>
                <w:b w:val="0"/>
                <w:sz w:val="22"/>
                <w:szCs w:val="22"/>
              </w:rPr>
              <w:t xml:space="preserve"> be reviewed.</w:t>
            </w:r>
            <w:r w:rsidRPr="007E190E">
              <w:rPr>
                <w:sz w:val="22"/>
                <w:szCs w:val="22"/>
              </w:rPr>
              <w:t xml:space="preserve"> </w:t>
            </w:r>
            <w:r w:rsidRPr="00D02C89">
              <w:t xml:space="preserve"> If applicable, set review date:  </w:t>
            </w:r>
            <w:bookmarkStart w:id="26" w:name="IAReviewMonth"/>
            <w:r w:rsidR="00BB249D" w:rsidRPr="007E190E">
              <w:rPr>
                <w:rStyle w:val="IAIOReviewMonthChar"/>
                <w:szCs w:val="22"/>
              </w:rPr>
              <w:fldChar w:fldCharType="begin">
                <w:ffData>
                  <w:name w:val="IAReviewMonth"/>
                  <w:enabled/>
                  <w:calcOnExit w:val="0"/>
                  <w:ddList>
                    <w:listEntry w:val="Month"/>
                    <w:listEntry w:val="01"/>
                    <w:listEntry w:val="02"/>
                    <w:listEntry w:val="03"/>
                    <w:listEntry w:val="04"/>
                    <w:listEntry w:val="05"/>
                    <w:listEntry w:val="06"/>
                    <w:listEntry w:val="07"/>
                    <w:listEntry w:val="08"/>
                    <w:listEntry w:val="09"/>
                    <w:listEntry w:val="10"/>
                    <w:listEntry w:val="11"/>
                    <w:listEntry w:val="12"/>
                  </w:ddList>
                </w:ffData>
              </w:fldChar>
            </w:r>
            <w:r w:rsidR="00BB249D" w:rsidRPr="007E190E">
              <w:rPr>
                <w:rStyle w:val="IAIOReviewMonthChar"/>
                <w:szCs w:val="22"/>
              </w:rPr>
              <w:instrText xml:space="preserve"> FORMDROPDOWN </w:instrText>
            </w:r>
            <w:r w:rsidR="00F26ECE">
              <w:rPr>
                <w:rStyle w:val="IAIOReviewMonthChar"/>
                <w:szCs w:val="22"/>
              </w:rPr>
            </w:r>
            <w:r w:rsidR="00F26ECE">
              <w:rPr>
                <w:rStyle w:val="IAIOReviewMonthChar"/>
                <w:szCs w:val="22"/>
              </w:rPr>
              <w:fldChar w:fldCharType="separate"/>
            </w:r>
            <w:r w:rsidR="00BB249D" w:rsidRPr="007E190E">
              <w:rPr>
                <w:rStyle w:val="IAIOReviewMonthChar"/>
                <w:szCs w:val="22"/>
              </w:rPr>
              <w:fldChar w:fldCharType="end"/>
            </w:r>
            <w:bookmarkEnd w:id="26"/>
            <w:r w:rsidRPr="007E190E">
              <w:rPr>
                <w:b w:val="0"/>
                <w:sz w:val="22"/>
                <w:szCs w:val="22"/>
              </w:rPr>
              <w:t>/</w:t>
            </w:r>
            <w:bookmarkStart w:id="27" w:name="IAReviewYear"/>
            <w:r w:rsidR="00BB249D" w:rsidRPr="007E190E">
              <w:rPr>
                <w:rStyle w:val="IAIOReviewYearChar"/>
                <w:szCs w:val="22"/>
              </w:rPr>
              <w:fldChar w:fldCharType="begin">
                <w:ffData>
                  <w:name w:val="IAReviewYear"/>
                  <w:enabled/>
                  <w:calcOnExit w:val="0"/>
                  <w:ddList>
                    <w:listEntry w:val="Year"/>
                    <w:listEntry w:val="2010"/>
                    <w:listEntry w:val="2011"/>
                    <w:listEntry w:val="2012"/>
                    <w:listEntry w:val="2013"/>
                    <w:listEntry w:val="2014"/>
                    <w:listEntry w:val="2015"/>
                    <w:listEntry w:val="2016"/>
                    <w:listEntry w:val="2017"/>
                    <w:listEntry w:val="2018"/>
                    <w:listEntry w:val="2019"/>
                    <w:listEntry w:val="2020"/>
                    <w:listEntry w:val="2021"/>
                    <w:listEntry w:val="2022"/>
                    <w:listEntry w:val="2023"/>
                    <w:listEntry w:val="2024"/>
                    <w:listEntry w:val="2025"/>
                  </w:ddList>
                </w:ffData>
              </w:fldChar>
            </w:r>
            <w:r w:rsidR="00BB249D" w:rsidRPr="007E190E">
              <w:rPr>
                <w:rStyle w:val="IAIOReviewYearChar"/>
                <w:szCs w:val="22"/>
              </w:rPr>
              <w:instrText xml:space="preserve"> FORMDROPDOWN </w:instrText>
            </w:r>
            <w:r w:rsidR="00F26ECE">
              <w:rPr>
                <w:rStyle w:val="IAIOReviewYearChar"/>
                <w:szCs w:val="22"/>
              </w:rPr>
            </w:r>
            <w:r w:rsidR="00F26ECE">
              <w:rPr>
                <w:rStyle w:val="IAIOReviewYearChar"/>
                <w:szCs w:val="22"/>
              </w:rPr>
              <w:fldChar w:fldCharType="separate"/>
            </w:r>
            <w:r w:rsidR="00BB249D" w:rsidRPr="007E190E">
              <w:rPr>
                <w:rStyle w:val="IAIOReviewYearChar"/>
                <w:szCs w:val="22"/>
              </w:rPr>
              <w:fldChar w:fldCharType="end"/>
            </w:r>
            <w:bookmarkEnd w:id="27"/>
          </w:p>
        </w:tc>
      </w:tr>
    </w:tbl>
    <w:p w14:paraId="72FA46DC" w14:textId="4D330D83" w:rsidR="007E190E" w:rsidRPr="007E190E" w:rsidRDefault="007E190E" w:rsidP="007E190E">
      <w:pPr>
        <w:rPr>
          <w:vanish/>
        </w:rPr>
      </w:pPr>
      <w:bookmarkStart w:id="28" w:name="Summary4"/>
      <w:bookmarkEnd w:id="17"/>
    </w:p>
    <w:p w14:paraId="03B7A98F" w14:textId="77777777" w:rsidR="00452B35" w:rsidRPr="00DF2F4B" w:rsidRDefault="00452B35">
      <w:pPr>
        <w:pStyle w:val="IASign-off"/>
        <w:rPr>
          <w:sz w:val="20"/>
        </w:rPr>
      </w:pPr>
      <w:bookmarkStart w:id="29" w:name="SignOfftext"/>
      <w:bookmarkEnd w:id="28"/>
      <w:r w:rsidRPr="00DF2F4B">
        <w:rPr>
          <w:sz w:val="20"/>
        </w:rPr>
        <w:t>I have read the Impact Assessment and I am satisfied that, given the available evidence, it represents a reasonable view of the likely costs, benefits and impact of the leading options.</w:t>
      </w:r>
    </w:p>
    <w:tbl>
      <w:tblPr>
        <w:tblW w:w="5000" w:type="pct"/>
        <w:tblLayout w:type="fixed"/>
        <w:tblCellMar>
          <w:left w:w="0" w:type="dxa"/>
          <w:right w:w="0" w:type="dxa"/>
        </w:tblCellMar>
        <w:tblLook w:val="0000" w:firstRow="0" w:lastRow="0" w:firstColumn="0" w:lastColumn="0" w:noHBand="0" w:noVBand="0"/>
      </w:tblPr>
      <w:tblGrid>
        <w:gridCol w:w="4797"/>
        <w:gridCol w:w="2291"/>
        <w:gridCol w:w="1276"/>
        <w:gridCol w:w="1841"/>
      </w:tblGrid>
      <w:tr w:rsidR="00452B35" w14:paraId="35748F33" w14:textId="77777777" w:rsidTr="008B0B60">
        <w:trPr>
          <w:trHeight w:hRule="exact" w:val="767"/>
        </w:trPr>
        <w:tc>
          <w:tcPr>
            <w:tcW w:w="2350" w:type="pct"/>
            <w:vAlign w:val="bottom"/>
          </w:tcPr>
          <w:p w14:paraId="37F084B4" w14:textId="26C0823E" w:rsidR="00452B35" w:rsidRDefault="00452B35" w:rsidP="00A94548">
            <w:pPr>
              <w:pStyle w:val="IASignature"/>
              <w:tabs>
                <w:tab w:val="clear" w:pos="6804"/>
                <w:tab w:val="left" w:leader="dot" w:pos="7380"/>
              </w:tabs>
            </w:pPr>
            <w:r w:rsidRPr="00455EAA">
              <w:t>Signed by the</w:t>
            </w:r>
            <w:r>
              <w:t xml:space="preserve"> responsible </w:t>
            </w:r>
            <w:r w:rsidR="00691CB8">
              <w:t>Minister Trevelyan</w:t>
            </w:r>
          </w:p>
        </w:tc>
        <w:tc>
          <w:tcPr>
            <w:tcW w:w="1122" w:type="pct"/>
            <w:tcBorders>
              <w:bottom w:val="dashSmallGap" w:sz="4" w:space="0" w:color="auto"/>
            </w:tcBorders>
            <w:vAlign w:val="bottom"/>
          </w:tcPr>
          <w:p w14:paraId="211FB83F" w14:textId="3A9A44C4" w:rsidR="00452B35" w:rsidRPr="00AB4A42" w:rsidRDefault="00691CB8" w:rsidP="00C13EF0">
            <w:pPr>
              <w:pStyle w:val="IAIOtextSign"/>
            </w:pPr>
            <w:r>
              <w:rPr>
                <w:noProof/>
              </w:rPr>
              <w:drawing>
                <wp:anchor distT="0" distB="0" distL="114300" distR="114300" simplePos="0" relativeHeight="251659264" behindDoc="1" locked="0" layoutInCell="1" allowOverlap="1" wp14:anchorId="172CA1FA" wp14:editId="46DF178C">
                  <wp:simplePos x="0" y="0"/>
                  <wp:positionH relativeFrom="margin">
                    <wp:posOffset>-125095</wp:posOffset>
                  </wp:positionH>
                  <wp:positionV relativeFrom="paragraph">
                    <wp:posOffset>-178435</wp:posOffset>
                  </wp:positionV>
                  <wp:extent cx="1649095" cy="76263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49095" cy="762635"/>
                          </a:xfrm>
                          <a:prstGeom prst="rect">
                            <a:avLst/>
                          </a:prstGeom>
                        </pic:spPr>
                      </pic:pic>
                    </a:graphicData>
                  </a:graphic>
                  <wp14:sizeRelH relativeFrom="page">
                    <wp14:pctWidth>0</wp14:pctWidth>
                  </wp14:sizeRelH>
                  <wp14:sizeRelV relativeFrom="page">
                    <wp14:pctHeight>0</wp14:pctHeight>
                  </wp14:sizeRelV>
                </wp:anchor>
              </w:drawing>
            </w:r>
          </w:p>
        </w:tc>
        <w:tc>
          <w:tcPr>
            <w:tcW w:w="625" w:type="pct"/>
            <w:vAlign w:val="bottom"/>
          </w:tcPr>
          <w:p w14:paraId="58EC0DF8" w14:textId="77777777" w:rsidR="00452B35" w:rsidRDefault="00452B35" w:rsidP="00C13EF0">
            <w:pPr>
              <w:pStyle w:val="IASignature"/>
              <w:tabs>
                <w:tab w:val="clear" w:pos="6804"/>
                <w:tab w:val="left" w:leader="dot" w:pos="7380"/>
              </w:tabs>
            </w:pPr>
            <w:r>
              <w:t> </w:t>
            </w:r>
            <w:r w:rsidRPr="00455EAA">
              <w:t>Date:</w:t>
            </w:r>
          </w:p>
        </w:tc>
        <w:tc>
          <w:tcPr>
            <w:tcW w:w="902" w:type="pct"/>
            <w:tcBorders>
              <w:bottom w:val="dashSmallGap" w:sz="4" w:space="0" w:color="auto"/>
            </w:tcBorders>
            <w:vAlign w:val="bottom"/>
          </w:tcPr>
          <w:p w14:paraId="72E0CF10" w14:textId="38A914F1" w:rsidR="00452B35" w:rsidRPr="005D0BD1" w:rsidRDefault="00E12062" w:rsidP="00C13EF0">
            <w:pPr>
              <w:pStyle w:val="IAIOSigDate"/>
            </w:pPr>
            <w:bookmarkStart w:id="30" w:name="SigDate"/>
            <w:r>
              <w:t>12/05/2021</w:t>
            </w:r>
            <w:r w:rsidR="00452B35">
              <w:fldChar w:fldCharType="begin">
                <w:ffData>
                  <w:name w:val="SigDate"/>
                  <w:enabled/>
                  <w:calcOnExit w:val="0"/>
                  <w:textInput/>
                </w:ffData>
              </w:fldChar>
            </w:r>
            <w:r w:rsidR="00452B35">
              <w:instrText xml:space="preserve"> FORMTEXT </w:instrText>
            </w:r>
            <w:r w:rsidR="00452B35">
              <w:fldChar w:fldCharType="separate"/>
            </w:r>
            <w:r w:rsidR="00C03042">
              <w:t xml:space="preserve"> </w:t>
            </w:r>
            <w:r w:rsidR="00452B35">
              <w:fldChar w:fldCharType="end"/>
            </w:r>
            <w:bookmarkEnd w:id="30"/>
          </w:p>
        </w:tc>
      </w:tr>
      <w:bookmarkEnd w:id="29"/>
    </w:tbl>
    <w:p w14:paraId="53A67111" w14:textId="77777777" w:rsidR="00F1328C" w:rsidRDefault="00F1328C" w:rsidP="005A3880">
      <w:pPr>
        <w:pStyle w:val="Heading1"/>
        <w:spacing w:before="0"/>
        <w:sectPr w:rsidR="00F1328C" w:rsidSect="005A3880">
          <w:headerReference w:type="even" r:id="rId13"/>
          <w:headerReference w:type="default" r:id="rId14"/>
          <w:footerReference w:type="even" r:id="rId15"/>
          <w:footerReference w:type="default" r:id="rId16"/>
          <w:headerReference w:type="first" r:id="rId17"/>
          <w:footerReference w:type="first" r:id="rId18"/>
          <w:footnotePr>
            <w:numRestart w:val="eachSect"/>
          </w:footnotePr>
          <w:type w:val="continuous"/>
          <w:pgSz w:w="11907" w:h="16840" w:code="9"/>
          <w:pgMar w:top="680" w:right="851" w:bottom="680" w:left="851" w:header="284" w:footer="284" w:gutter="0"/>
          <w:cols w:space="708"/>
          <w:docGrid w:linePitch="360"/>
        </w:sectPr>
      </w:pPr>
    </w:p>
    <w:p w14:paraId="334C7557" w14:textId="2339FC95" w:rsidR="001844B6" w:rsidRDefault="001844B6" w:rsidP="005A3880">
      <w:pPr>
        <w:pStyle w:val="Heading1"/>
        <w:spacing w:before="0"/>
      </w:pPr>
      <w:bookmarkStart w:id="31" w:name="_Toc67067466"/>
      <w:r>
        <w:lastRenderedPageBreak/>
        <w:t>Summary: Analysis &amp; Evidence</w:t>
      </w:r>
      <w:r>
        <w:tab/>
      </w:r>
      <w:r w:rsidRPr="00E3545D">
        <w:rPr>
          <w:rFonts w:ascii="Arial" w:hAnsi="Arial"/>
          <w:b w:val="0"/>
          <w:bCs w:val="0"/>
        </w:rPr>
        <w:t xml:space="preserve">Policy Option </w:t>
      </w:r>
      <w:r>
        <w:rPr>
          <w:rFonts w:ascii="Arial" w:hAnsi="Arial"/>
          <w:b w:val="0"/>
          <w:bCs w:val="0"/>
        </w:rPr>
        <w:fldChar w:fldCharType="begin"/>
      </w:r>
      <w:r>
        <w:rPr>
          <w:rFonts w:ascii="Arial" w:hAnsi="Arial"/>
          <w:b w:val="0"/>
          <w:bCs w:val="0"/>
        </w:rPr>
        <w:instrText xml:space="preserve"> SEQ Policy </w:instrText>
      </w:r>
      <w:r>
        <w:rPr>
          <w:rFonts w:ascii="Arial" w:hAnsi="Arial"/>
          <w:b w:val="0"/>
          <w:bCs w:val="0"/>
        </w:rPr>
        <w:fldChar w:fldCharType="separate"/>
      </w:r>
      <w:r w:rsidR="00085D64">
        <w:rPr>
          <w:rFonts w:ascii="Arial" w:hAnsi="Arial"/>
          <w:b w:val="0"/>
          <w:bCs w:val="0"/>
          <w:noProof/>
        </w:rPr>
        <w:t>1</w:t>
      </w:r>
      <w:bookmarkEnd w:id="31"/>
      <w:r>
        <w:rPr>
          <w:rFonts w:ascii="Arial" w:hAnsi="Arial"/>
          <w:b w:val="0"/>
          <w:bCs w:val="0"/>
        </w:rPr>
        <w:fldChar w:fldCharType="end"/>
      </w:r>
    </w:p>
    <w:p w14:paraId="173E4E1E" w14:textId="781B0482" w:rsidR="001844B6" w:rsidRDefault="001844B6" w:rsidP="005A3880">
      <w:pPr>
        <w:pStyle w:val="IAHeadLabel"/>
        <w:spacing w:before="50"/>
      </w:pPr>
      <w:r w:rsidRPr="00892576">
        <w:t xml:space="preserve">Description: </w:t>
      </w:r>
      <w:r w:rsidRPr="006B70AF">
        <w:t xml:space="preserve"> </w:t>
      </w:r>
      <w:r w:rsidR="00EE6BD9">
        <w:rPr>
          <w:rStyle w:val="IAPODescriptionCharChar"/>
        </w:rPr>
        <w:fldChar w:fldCharType="begin">
          <w:ffData>
            <w:name w:val="Text70"/>
            <w:enabled/>
            <w:calcOnExit w:val="0"/>
            <w:textInput>
              <w:default w:val="Credit limit of 0 MtCO2e"/>
              <w:maxLength w:val="230"/>
            </w:textInput>
          </w:ffData>
        </w:fldChar>
      </w:r>
      <w:bookmarkStart w:id="32" w:name="Text70"/>
      <w:r w:rsidR="00EE6BD9">
        <w:rPr>
          <w:rStyle w:val="IAPODescriptionCharChar"/>
        </w:rPr>
        <w:instrText xml:space="preserve"> FORMTEXT </w:instrText>
      </w:r>
      <w:r w:rsidR="00EE6BD9">
        <w:rPr>
          <w:rStyle w:val="IAPODescriptionCharChar"/>
        </w:rPr>
      </w:r>
      <w:r w:rsidR="00EE6BD9">
        <w:rPr>
          <w:rStyle w:val="IAPODescriptionCharChar"/>
        </w:rPr>
        <w:fldChar w:fldCharType="separate"/>
      </w:r>
      <w:r w:rsidR="00EE6BD9">
        <w:rPr>
          <w:rStyle w:val="IAPODescriptionCharChar"/>
          <w:noProof/>
        </w:rPr>
        <w:t>Credit limit of 0 MtCO2e</w:t>
      </w:r>
      <w:r w:rsidR="00EE6BD9">
        <w:rPr>
          <w:rStyle w:val="IAPODescriptionCharChar"/>
        </w:rPr>
        <w:fldChar w:fldCharType="end"/>
      </w:r>
      <w:bookmarkEnd w:id="32"/>
    </w:p>
    <w:p w14:paraId="4C47A1A0" w14:textId="77777777" w:rsidR="001844B6" w:rsidRDefault="001844B6" w:rsidP="005A3880">
      <w:pPr>
        <w:pStyle w:val="IAHeadLabel"/>
        <w:spacing w:before="50"/>
      </w:pPr>
      <w:r>
        <w:t>FULL ECONOMIC ASSESSMENT</w:t>
      </w:r>
    </w:p>
    <w:tbl>
      <w:tblPr>
        <w:tblW w:w="5067"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395"/>
        <w:gridCol w:w="1254"/>
        <w:gridCol w:w="1433"/>
        <w:gridCol w:w="1791"/>
        <w:gridCol w:w="1818"/>
        <w:gridCol w:w="2620"/>
      </w:tblGrid>
      <w:tr w:rsidR="001844B6" w:rsidRPr="007E190E" w14:paraId="40269D48" w14:textId="77777777" w:rsidTr="00D64409">
        <w:trPr>
          <w:trHeight w:hRule="exact" w:val="312"/>
        </w:trPr>
        <w:tc>
          <w:tcPr>
            <w:tcW w:w="1402" w:type="dxa"/>
            <w:vMerge w:val="restart"/>
            <w:tcBorders>
              <w:top w:val="single" w:sz="12" w:space="0" w:color="auto"/>
              <w:left w:val="single" w:sz="12" w:space="0" w:color="auto"/>
              <w:right w:val="single" w:sz="12" w:space="0" w:color="auto"/>
            </w:tcBorders>
          </w:tcPr>
          <w:p w14:paraId="731050F6" w14:textId="0CC4F85E" w:rsidR="001844B6" w:rsidRPr="00826F71" w:rsidRDefault="001844B6" w:rsidP="005A3880">
            <w:pPr>
              <w:pStyle w:val="POPBY"/>
            </w:pPr>
            <w:r w:rsidRPr="00826F71">
              <w:t>Price Base Year</w:t>
            </w:r>
            <w:r>
              <w:t xml:space="preserve">  </w:t>
            </w:r>
            <w:r w:rsidR="00D64409">
              <w:rPr>
                <w:b w:val="0"/>
              </w:rPr>
              <w:fldChar w:fldCharType="begin">
                <w:ffData>
                  <w:name w:val="Text55"/>
                  <w:enabled/>
                  <w:calcOnExit w:val="0"/>
                  <w:textInput>
                    <w:default w:val="2019"/>
                    <w:maxLength w:val="4"/>
                  </w:textInput>
                </w:ffData>
              </w:fldChar>
            </w:r>
            <w:bookmarkStart w:id="33" w:name="Text55"/>
            <w:r w:rsidR="00D64409">
              <w:rPr>
                <w:b w:val="0"/>
              </w:rPr>
              <w:instrText xml:space="preserve"> FORMTEXT </w:instrText>
            </w:r>
            <w:r w:rsidR="00D64409">
              <w:rPr>
                <w:b w:val="0"/>
              </w:rPr>
            </w:r>
            <w:r w:rsidR="00D64409">
              <w:rPr>
                <w:b w:val="0"/>
              </w:rPr>
              <w:fldChar w:fldCharType="separate"/>
            </w:r>
            <w:r w:rsidR="00D64409">
              <w:rPr>
                <w:b w:val="0"/>
                <w:noProof/>
              </w:rPr>
              <w:t>2019</w:t>
            </w:r>
            <w:r w:rsidR="00D64409">
              <w:rPr>
                <w:b w:val="0"/>
              </w:rPr>
              <w:fldChar w:fldCharType="end"/>
            </w:r>
            <w:bookmarkEnd w:id="33"/>
          </w:p>
        </w:tc>
        <w:tc>
          <w:tcPr>
            <w:tcW w:w="1260" w:type="dxa"/>
            <w:vMerge w:val="restart"/>
            <w:tcBorders>
              <w:top w:val="single" w:sz="12" w:space="0" w:color="auto"/>
              <w:left w:val="single" w:sz="12" w:space="0" w:color="auto"/>
              <w:right w:val="single" w:sz="12" w:space="0" w:color="auto"/>
            </w:tcBorders>
          </w:tcPr>
          <w:p w14:paraId="53FEE567" w14:textId="6003AF69" w:rsidR="001844B6" w:rsidRPr="00826F71" w:rsidRDefault="001844B6" w:rsidP="005A3880">
            <w:pPr>
              <w:pStyle w:val="POPVBY"/>
            </w:pPr>
            <w:r w:rsidRPr="00826F71">
              <w:t>PV Base Year</w:t>
            </w:r>
            <w:r>
              <w:t xml:space="preserve">  </w:t>
            </w:r>
            <w:r w:rsidR="00D64409">
              <w:rPr>
                <w:b w:val="0"/>
              </w:rPr>
              <w:fldChar w:fldCharType="begin">
                <w:ffData>
                  <w:name w:val="Text56"/>
                  <w:enabled/>
                  <w:calcOnExit w:val="0"/>
                  <w:textInput>
                    <w:default w:val="2020"/>
                    <w:maxLength w:val="4"/>
                  </w:textInput>
                </w:ffData>
              </w:fldChar>
            </w:r>
            <w:bookmarkStart w:id="34" w:name="Text56"/>
            <w:r w:rsidR="00D64409">
              <w:rPr>
                <w:b w:val="0"/>
              </w:rPr>
              <w:instrText xml:space="preserve"> FORMTEXT </w:instrText>
            </w:r>
            <w:r w:rsidR="00D64409">
              <w:rPr>
                <w:b w:val="0"/>
              </w:rPr>
            </w:r>
            <w:r w:rsidR="00D64409">
              <w:rPr>
                <w:b w:val="0"/>
              </w:rPr>
              <w:fldChar w:fldCharType="separate"/>
            </w:r>
            <w:r w:rsidR="00D64409">
              <w:rPr>
                <w:b w:val="0"/>
                <w:noProof/>
              </w:rPr>
              <w:t>2020</w:t>
            </w:r>
            <w:r w:rsidR="00D64409">
              <w:rPr>
                <w:b w:val="0"/>
              </w:rPr>
              <w:fldChar w:fldCharType="end"/>
            </w:r>
            <w:bookmarkEnd w:id="34"/>
          </w:p>
        </w:tc>
        <w:tc>
          <w:tcPr>
            <w:tcW w:w="1440" w:type="dxa"/>
            <w:vMerge w:val="restart"/>
            <w:tcBorders>
              <w:top w:val="single" w:sz="12" w:space="0" w:color="auto"/>
              <w:left w:val="single" w:sz="12" w:space="0" w:color="auto"/>
              <w:right w:val="single" w:sz="12" w:space="0" w:color="auto"/>
            </w:tcBorders>
          </w:tcPr>
          <w:p w14:paraId="74B379F4" w14:textId="77777777" w:rsidR="001844B6" w:rsidRPr="00826F71" w:rsidRDefault="001844B6" w:rsidP="005A3880">
            <w:pPr>
              <w:pStyle w:val="POTPY"/>
            </w:pPr>
            <w:r w:rsidRPr="00826F71">
              <w:t>Time Period Years</w:t>
            </w:r>
            <w:r>
              <w:t xml:space="preserve">  </w:t>
            </w:r>
            <w:r w:rsidRPr="007E190E">
              <w:rPr>
                <w:b w:val="0"/>
              </w:rPr>
              <w:fldChar w:fldCharType="begin">
                <w:ffData>
                  <w:name w:val="Text57"/>
                  <w:enabled/>
                  <w:calcOnExit w:val="0"/>
                  <w:textInput>
                    <w:maxLength w:val="4"/>
                  </w:textInput>
                </w:ffData>
              </w:fldChar>
            </w:r>
            <w:r w:rsidRPr="007E190E">
              <w:rPr>
                <w:b w:val="0"/>
              </w:rPr>
              <w:instrText xml:space="preserve"> FORMTEXT </w:instrText>
            </w:r>
            <w:r w:rsidRPr="007E190E">
              <w:rPr>
                <w:b w:val="0"/>
              </w:rPr>
            </w:r>
            <w:r w:rsidRPr="007E190E">
              <w:rPr>
                <w:b w:val="0"/>
              </w:rPr>
              <w:fldChar w:fldCharType="separate"/>
            </w:r>
            <w:r w:rsidRPr="007E190E">
              <w:rPr>
                <w:b w:val="0"/>
                <w:noProof/>
              </w:rPr>
              <w:t> </w:t>
            </w:r>
            <w:r w:rsidRPr="007E190E">
              <w:rPr>
                <w:b w:val="0"/>
                <w:noProof/>
              </w:rPr>
              <w:t> </w:t>
            </w:r>
            <w:r w:rsidRPr="007E190E">
              <w:rPr>
                <w:b w:val="0"/>
                <w:noProof/>
              </w:rPr>
              <w:t> </w:t>
            </w:r>
            <w:r w:rsidRPr="007E190E">
              <w:rPr>
                <w:b w:val="0"/>
                <w:noProof/>
              </w:rPr>
              <w:t> </w:t>
            </w:r>
            <w:r w:rsidRPr="007E190E">
              <w:rPr>
                <w:b w:val="0"/>
              </w:rPr>
              <w:fldChar w:fldCharType="end"/>
            </w:r>
          </w:p>
        </w:tc>
        <w:tc>
          <w:tcPr>
            <w:tcW w:w="6260" w:type="dxa"/>
            <w:gridSpan w:val="3"/>
            <w:tcBorders>
              <w:top w:val="single" w:sz="12" w:space="0" w:color="auto"/>
              <w:left w:val="single" w:sz="12" w:space="0" w:color="auto"/>
              <w:right w:val="single" w:sz="12" w:space="0" w:color="auto"/>
            </w:tcBorders>
            <w:shd w:val="clear" w:color="auto" w:fill="FFFFFF"/>
          </w:tcPr>
          <w:p w14:paraId="245A882B" w14:textId="77777777" w:rsidR="001844B6" w:rsidRPr="00826F71" w:rsidRDefault="001844B6" w:rsidP="007E190E">
            <w:pPr>
              <w:pStyle w:val="IATableLabel"/>
              <w:jc w:val="center"/>
            </w:pPr>
            <w:r w:rsidRPr="00826F71">
              <w:t xml:space="preserve">Net </w:t>
            </w:r>
            <w:r w:rsidRPr="0075393B">
              <w:t>B</w:t>
            </w:r>
            <w:r w:rsidRPr="00826F71">
              <w:t>enefit (</w:t>
            </w:r>
            <w:r>
              <w:t>Present Value (</w:t>
            </w:r>
            <w:r w:rsidRPr="00826F71">
              <w:t>PV</w:t>
            </w:r>
            <w:r>
              <w:t>)</w:t>
            </w:r>
            <w:r w:rsidRPr="00826F71">
              <w:t>)</w:t>
            </w:r>
            <w:r>
              <w:t xml:space="preserve"> (£m)</w:t>
            </w:r>
          </w:p>
        </w:tc>
      </w:tr>
      <w:tr w:rsidR="001844B6" w:rsidRPr="007E190E" w14:paraId="53A4C8BD" w14:textId="77777777" w:rsidTr="00D64409">
        <w:trPr>
          <w:trHeight w:hRule="exact" w:val="340"/>
        </w:trPr>
        <w:tc>
          <w:tcPr>
            <w:tcW w:w="1402" w:type="dxa"/>
            <w:vMerge/>
            <w:tcBorders>
              <w:left w:val="single" w:sz="12" w:space="0" w:color="auto"/>
              <w:bottom w:val="single" w:sz="12" w:space="0" w:color="auto"/>
              <w:right w:val="single" w:sz="12" w:space="0" w:color="auto"/>
            </w:tcBorders>
          </w:tcPr>
          <w:p w14:paraId="246CADD2" w14:textId="77777777" w:rsidR="001844B6" w:rsidRPr="007E190E" w:rsidRDefault="001844B6" w:rsidP="007E190E">
            <w:pPr>
              <w:pStyle w:val="IATableNotes"/>
              <w:ind w:left="0"/>
              <w:rPr>
                <w:b/>
                <w:sz w:val="20"/>
              </w:rPr>
            </w:pPr>
          </w:p>
        </w:tc>
        <w:tc>
          <w:tcPr>
            <w:tcW w:w="1260" w:type="dxa"/>
            <w:vMerge/>
            <w:tcBorders>
              <w:left w:val="single" w:sz="12" w:space="0" w:color="auto"/>
              <w:bottom w:val="single" w:sz="12" w:space="0" w:color="auto"/>
              <w:right w:val="single" w:sz="12" w:space="0" w:color="auto"/>
            </w:tcBorders>
          </w:tcPr>
          <w:p w14:paraId="785522E2" w14:textId="77777777" w:rsidR="001844B6" w:rsidRPr="007E190E" w:rsidRDefault="001844B6" w:rsidP="007E190E">
            <w:pPr>
              <w:pStyle w:val="IATableNotes"/>
              <w:ind w:left="0"/>
              <w:rPr>
                <w:b/>
                <w:sz w:val="20"/>
              </w:rPr>
            </w:pPr>
          </w:p>
        </w:tc>
        <w:tc>
          <w:tcPr>
            <w:tcW w:w="1440" w:type="dxa"/>
            <w:vMerge/>
            <w:tcBorders>
              <w:left w:val="single" w:sz="12" w:space="0" w:color="auto"/>
              <w:bottom w:val="single" w:sz="12" w:space="0" w:color="auto"/>
              <w:right w:val="single" w:sz="12" w:space="0" w:color="auto"/>
            </w:tcBorders>
          </w:tcPr>
          <w:p w14:paraId="752830E2" w14:textId="77777777" w:rsidR="001844B6" w:rsidRPr="007E190E" w:rsidRDefault="001844B6" w:rsidP="007E190E">
            <w:pPr>
              <w:pStyle w:val="IATableNotes"/>
              <w:ind w:left="0"/>
              <w:rPr>
                <w:b/>
                <w:sz w:val="20"/>
              </w:rPr>
            </w:pPr>
          </w:p>
        </w:tc>
        <w:tc>
          <w:tcPr>
            <w:tcW w:w="1800" w:type="dxa"/>
            <w:tcBorders>
              <w:top w:val="single" w:sz="12" w:space="0" w:color="auto"/>
              <w:left w:val="single" w:sz="12" w:space="0" w:color="auto"/>
              <w:bottom w:val="single" w:sz="12" w:space="0" w:color="auto"/>
              <w:right w:val="single" w:sz="12" w:space="0" w:color="auto"/>
            </w:tcBorders>
          </w:tcPr>
          <w:p w14:paraId="21E846D0" w14:textId="3C3C62D4" w:rsidR="001844B6" w:rsidRPr="007E190E" w:rsidRDefault="001844B6" w:rsidP="005A3880">
            <w:pPr>
              <w:pStyle w:val="IATableLabel"/>
              <w:rPr>
                <w:bCs/>
              </w:rPr>
            </w:pPr>
            <w:r w:rsidRPr="00304C1D">
              <w:t>Low:</w:t>
            </w:r>
            <w:r w:rsidRPr="00826F71">
              <w:t xml:space="preserve"> </w:t>
            </w:r>
            <w:r w:rsidR="007B249C">
              <w:rPr>
                <w:rStyle w:val="PONBLowCharChar"/>
                <w:sz w:val="20"/>
                <w:szCs w:val="22"/>
              </w:rPr>
              <w:fldChar w:fldCharType="begin">
                <w:ffData>
                  <w:name w:val="Text58"/>
                  <w:enabled/>
                  <w:calcOnExit w:val="0"/>
                  <w:textInput>
                    <w:default w:val="£0"/>
                    <w:maxLength w:val="8"/>
                  </w:textInput>
                </w:ffData>
              </w:fldChar>
            </w:r>
            <w:bookmarkStart w:id="35" w:name="Text58"/>
            <w:r w:rsidR="007B249C">
              <w:rPr>
                <w:rStyle w:val="PONBLowCharChar"/>
                <w:sz w:val="20"/>
                <w:szCs w:val="22"/>
              </w:rPr>
              <w:instrText xml:space="preserve"> FORMTEXT </w:instrText>
            </w:r>
            <w:r w:rsidR="007B249C">
              <w:rPr>
                <w:rStyle w:val="PONBLowCharChar"/>
                <w:sz w:val="20"/>
                <w:szCs w:val="22"/>
              </w:rPr>
            </w:r>
            <w:r w:rsidR="007B249C">
              <w:rPr>
                <w:rStyle w:val="PONBLowCharChar"/>
                <w:sz w:val="20"/>
                <w:szCs w:val="22"/>
              </w:rPr>
              <w:fldChar w:fldCharType="separate"/>
            </w:r>
            <w:r w:rsidR="007B249C">
              <w:rPr>
                <w:rStyle w:val="PONBLowCharChar"/>
                <w:noProof/>
                <w:sz w:val="20"/>
                <w:szCs w:val="22"/>
              </w:rPr>
              <w:t>£0</w:t>
            </w:r>
            <w:r w:rsidR="007B249C">
              <w:rPr>
                <w:rStyle w:val="PONBLowCharChar"/>
                <w:sz w:val="20"/>
                <w:szCs w:val="22"/>
              </w:rPr>
              <w:fldChar w:fldCharType="end"/>
            </w:r>
            <w:bookmarkEnd w:id="35"/>
          </w:p>
        </w:tc>
        <w:tc>
          <w:tcPr>
            <w:tcW w:w="1827" w:type="dxa"/>
            <w:tcBorders>
              <w:top w:val="single" w:sz="12" w:space="0" w:color="auto"/>
              <w:left w:val="single" w:sz="12" w:space="0" w:color="auto"/>
              <w:bottom w:val="single" w:sz="12" w:space="0" w:color="auto"/>
              <w:right w:val="single" w:sz="12" w:space="0" w:color="auto"/>
            </w:tcBorders>
          </w:tcPr>
          <w:p w14:paraId="66F16503" w14:textId="4A5534FB" w:rsidR="001844B6" w:rsidRPr="007E190E" w:rsidRDefault="001844B6" w:rsidP="005A3880">
            <w:pPr>
              <w:pStyle w:val="IATableLabel"/>
              <w:rPr>
                <w:rFonts w:cs="Arial"/>
                <w:bCs/>
                <w:szCs w:val="18"/>
              </w:rPr>
            </w:pPr>
            <w:r w:rsidRPr="00304C1D">
              <w:t>High:</w:t>
            </w:r>
            <w:r w:rsidRPr="00826F71">
              <w:t xml:space="preserve"> </w:t>
            </w:r>
            <w:r w:rsidR="007B249C">
              <w:rPr>
                <w:rStyle w:val="PONBHighChar"/>
                <w:sz w:val="20"/>
                <w:szCs w:val="22"/>
              </w:rPr>
              <w:fldChar w:fldCharType="begin">
                <w:ffData>
                  <w:name w:val="Text59"/>
                  <w:enabled/>
                  <w:calcOnExit w:val="0"/>
                  <w:textInput>
                    <w:default w:val="£0"/>
                    <w:maxLength w:val="8"/>
                  </w:textInput>
                </w:ffData>
              </w:fldChar>
            </w:r>
            <w:bookmarkStart w:id="36" w:name="Text59"/>
            <w:r w:rsidR="007B249C">
              <w:rPr>
                <w:rStyle w:val="PONBHighChar"/>
                <w:sz w:val="20"/>
                <w:szCs w:val="22"/>
              </w:rPr>
              <w:instrText xml:space="preserve"> FORMTEXT </w:instrText>
            </w:r>
            <w:r w:rsidR="007B249C">
              <w:rPr>
                <w:rStyle w:val="PONBHighChar"/>
                <w:sz w:val="20"/>
                <w:szCs w:val="22"/>
              </w:rPr>
            </w:r>
            <w:r w:rsidR="007B249C">
              <w:rPr>
                <w:rStyle w:val="PONBHighChar"/>
                <w:sz w:val="20"/>
                <w:szCs w:val="22"/>
              </w:rPr>
              <w:fldChar w:fldCharType="separate"/>
            </w:r>
            <w:r w:rsidR="007B249C">
              <w:rPr>
                <w:rStyle w:val="PONBHighChar"/>
                <w:noProof/>
                <w:sz w:val="20"/>
                <w:szCs w:val="22"/>
              </w:rPr>
              <w:t>£0</w:t>
            </w:r>
            <w:r w:rsidR="007B249C">
              <w:rPr>
                <w:rStyle w:val="PONBHighChar"/>
                <w:sz w:val="20"/>
                <w:szCs w:val="22"/>
              </w:rPr>
              <w:fldChar w:fldCharType="end"/>
            </w:r>
            <w:bookmarkEnd w:id="36"/>
          </w:p>
        </w:tc>
        <w:tc>
          <w:tcPr>
            <w:tcW w:w="2633" w:type="dxa"/>
            <w:tcBorders>
              <w:top w:val="single" w:sz="12" w:space="0" w:color="auto"/>
              <w:left w:val="single" w:sz="12" w:space="0" w:color="auto"/>
              <w:bottom w:val="single" w:sz="12" w:space="0" w:color="auto"/>
              <w:right w:val="single" w:sz="12" w:space="0" w:color="auto"/>
            </w:tcBorders>
            <w:shd w:val="clear" w:color="auto" w:fill="FFFFFF"/>
          </w:tcPr>
          <w:p w14:paraId="55BD20EB" w14:textId="23A3BF83" w:rsidR="001844B6" w:rsidRPr="007E190E" w:rsidRDefault="001844B6" w:rsidP="005A3880">
            <w:pPr>
              <w:pStyle w:val="IATableLabel"/>
              <w:rPr>
                <w:szCs w:val="18"/>
              </w:rPr>
            </w:pPr>
            <w:r w:rsidRPr="00304C1D">
              <w:t xml:space="preserve">Best </w:t>
            </w:r>
            <w:r>
              <w:t>E</w:t>
            </w:r>
            <w:r w:rsidRPr="00304C1D">
              <w:t>stimate:</w:t>
            </w:r>
            <w:r w:rsidRPr="00826F71">
              <w:t xml:space="preserve"> </w:t>
            </w:r>
            <w:r w:rsidR="00244147">
              <w:rPr>
                <w:rStyle w:val="PONBBestEstChar"/>
                <w:sz w:val="20"/>
                <w:szCs w:val="22"/>
              </w:rPr>
              <w:fldChar w:fldCharType="begin">
                <w:ffData>
                  <w:name w:val="Text60"/>
                  <w:enabled/>
                  <w:calcOnExit w:val="0"/>
                  <w:textInput>
                    <w:default w:val="£0"/>
                    <w:maxLength w:val="8"/>
                  </w:textInput>
                </w:ffData>
              </w:fldChar>
            </w:r>
            <w:bookmarkStart w:id="37" w:name="Text60"/>
            <w:r w:rsidR="00244147">
              <w:rPr>
                <w:rStyle w:val="PONBBestEstChar"/>
                <w:sz w:val="20"/>
                <w:szCs w:val="22"/>
              </w:rPr>
              <w:instrText xml:space="preserve"> FORMTEXT </w:instrText>
            </w:r>
            <w:r w:rsidR="00244147">
              <w:rPr>
                <w:rStyle w:val="PONBBestEstChar"/>
                <w:sz w:val="20"/>
                <w:szCs w:val="22"/>
              </w:rPr>
            </w:r>
            <w:r w:rsidR="00244147">
              <w:rPr>
                <w:rStyle w:val="PONBBestEstChar"/>
                <w:sz w:val="20"/>
                <w:szCs w:val="22"/>
              </w:rPr>
              <w:fldChar w:fldCharType="separate"/>
            </w:r>
            <w:r w:rsidR="00244147">
              <w:rPr>
                <w:rStyle w:val="PONBBestEstChar"/>
                <w:noProof/>
                <w:sz w:val="20"/>
                <w:szCs w:val="22"/>
              </w:rPr>
              <w:t>£0</w:t>
            </w:r>
            <w:r w:rsidR="00244147">
              <w:rPr>
                <w:rStyle w:val="PONBBestEstChar"/>
                <w:sz w:val="20"/>
                <w:szCs w:val="22"/>
              </w:rPr>
              <w:fldChar w:fldCharType="end"/>
            </w:r>
            <w:bookmarkEnd w:id="37"/>
          </w:p>
        </w:tc>
      </w:tr>
    </w:tbl>
    <w:p w14:paraId="73B5CDAE" w14:textId="77777777" w:rsidR="001844B6" w:rsidRDefault="001844B6" w:rsidP="005A3880">
      <w:pPr>
        <w:pStyle w:val="IASpacer"/>
      </w:pPr>
    </w:p>
    <w:tbl>
      <w:tblPr>
        <w:tblW w:w="5062" w:type="pct"/>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1E0" w:firstRow="1" w:lastRow="1" w:firstColumn="1" w:lastColumn="1" w:noHBand="0" w:noVBand="0"/>
      </w:tblPr>
      <w:tblGrid>
        <w:gridCol w:w="2109"/>
        <w:gridCol w:w="1938"/>
        <w:gridCol w:w="786"/>
        <w:gridCol w:w="2848"/>
        <w:gridCol w:w="1765"/>
        <w:gridCol w:w="855"/>
      </w:tblGrid>
      <w:tr w:rsidR="001844B6" w:rsidRPr="007E190E" w14:paraId="61FD520F" w14:textId="77777777" w:rsidTr="6ACCA01D">
        <w:trPr>
          <w:trHeight w:hRule="exact" w:val="567"/>
        </w:trPr>
        <w:tc>
          <w:tcPr>
            <w:tcW w:w="2122" w:type="dxa"/>
            <w:tcBorders>
              <w:top w:val="single" w:sz="12" w:space="0" w:color="auto"/>
              <w:bottom w:val="single" w:sz="12" w:space="0" w:color="auto"/>
              <w:right w:val="single" w:sz="12" w:space="0" w:color="auto"/>
            </w:tcBorders>
            <w:shd w:val="clear" w:color="auto" w:fill="FFFFFF" w:themeFill="background1"/>
          </w:tcPr>
          <w:p w14:paraId="20A06FF1" w14:textId="77777777" w:rsidR="001844B6" w:rsidRPr="007E190E" w:rsidRDefault="001844B6" w:rsidP="005A3880">
            <w:pPr>
              <w:pStyle w:val="IATableLabel"/>
              <w:rPr>
                <w:sz w:val="24"/>
                <w:szCs w:val="24"/>
              </w:rPr>
            </w:pPr>
            <w:r w:rsidRPr="007E190E">
              <w:rPr>
                <w:sz w:val="24"/>
                <w:szCs w:val="24"/>
              </w:rPr>
              <w:t>COSTS (£m)</w:t>
            </w:r>
          </w:p>
        </w:tc>
        <w:tc>
          <w:tcPr>
            <w:tcW w:w="2739" w:type="dxa"/>
            <w:gridSpan w:val="2"/>
            <w:tcBorders>
              <w:top w:val="single" w:sz="12" w:space="0" w:color="auto"/>
              <w:left w:val="single" w:sz="12" w:space="0" w:color="auto"/>
              <w:right w:val="single" w:sz="12" w:space="0" w:color="auto"/>
            </w:tcBorders>
          </w:tcPr>
          <w:p w14:paraId="45F34166" w14:textId="77777777" w:rsidR="001844B6" w:rsidRPr="00826F71" w:rsidRDefault="001844B6" w:rsidP="007E190E">
            <w:pPr>
              <w:pStyle w:val="IATableLabel"/>
              <w:tabs>
                <w:tab w:val="right" w:pos="1800"/>
                <w:tab w:val="center" w:pos="2340"/>
              </w:tabs>
              <w:jc w:val="right"/>
            </w:pPr>
            <w:r w:rsidRPr="00826F71">
              <w:t xml:space="preserve">Total Transition </w:t>
            </w:r>
            <w:r>
              <w:br/>
            </w:r>
            <w:r>
              <w:tab/>
            </w:r>
            <w:r w:rsidRPr="007E190E">
              <w:rPr>
                <w:b w:val="0"/>
                <w:sz w:val="18"/>
                <w:szCs w:val="18"/>
              </w:rPr>
              <w:t>(Constant Price)</w:t>
            </w:r>
            <w:r>
              <w:tab/>
            </w:r>
            <w:r w:rsidRPr="007E190E">
              <w:rPr>
                <w:b w:val="0"/>
                <w:sz w:val="18"/>
                <w:szCs w:val="18"/>
              </w:rPr>
              <w:t>Yea</w:t>
            </w:r>
            <w:r w:rsidRPr="007E190E">
              <w:rPr>
                <w:b w:val="0"/>
                <w:bCs/>
                <w:sz w:val="18"/>
                <w:szCs w:val="18"/>
              </w:rPr>
              <w:t>r</w:t>
            </w:r>
            <w:r w:rsidRPr="007E190E">
              <w:rPr>
                <w:b w:val="0"/>
                <w:sz w:val="18"/>
                <w:szCs w:val="18"/>
              </w:rPr>
              <w:t>s</w:t>
            </w:r>
          </w:p>
          <w:p w14:paraId="2020BF85" w14:textId="77777777" w:rsidR="001844B6" w:rsidRPr="00826F71" w:rsidRDefault="001844B6" w:rsidP="007E190E">
            <w:pPr>
              <w:pStyle w:val="IATableLabel"/>
              <w:jc w:val="right"/>
            </w:pPr>
            <w:r>
              <w:br/>
            </w:r>
          </w:p>
        </w:tc>
        <w:tc>
          <w:tcPr>
            <w:tcW w:w="2865" w:type="dxa"/>
            <w:tcBorders>
              <w:top w:val="single" w:sz="12" w:space="0" w:color="auto"/>
              <w:left w:val="single" w:sz="12" w:space="0" w:color="auto"/>
              <w:bottom w:val="single" w:sz="12" w:space="0" w:color="auto"/>
              <w:right w:val="single" w:sz="12" w:space="0" w:color="auto"/>
            </w:tcBorders>
          </w:tcPr>
          <w:p w14:paraId="23602683" w14:textId="77777777" w:rsidR="001844B6" w:rsidRPr="007E190E" w:rsidRDefault="001844B6" w:rsidP="007E190E">
            <w:pPr>
              <w:pStyle w:val="IATableLabel"/>
              <w:jc w:val="right"/>
              <w:rPr>
                <w:rFonts w:cs="Arial"/>
                <w:bCs/>
              </w:rPr>
            </w:pPr>
            <w:r w:rsidRPr="00826F71">
              <w:t>Average Annual</w:t>
            </w:r>
            <w:r w:rsidRPr="000C031E">
              <w:t xml:space="preserve"> </w:t>
            </w:r>
            <w:r>
              <w:br/>
            </w:r>
            <w:r w:rsidRPr="007E190E">
              <w:rPr>
                <w:b w:val="0"/>
                <w:sz w:val="18"/>
                <w:szCs w:val="18"/>
              </w:rPr>
              <w:t xml:space="preserve">(excl. Transition) </w:t>
            </w:r>
            <w:r w:rsidRPr="007E190E">
              <w:rPr>
                <w:rFonts w:cs="Arial"/>
                <w:b w:val="0"/>
                <w:bCs/>
                <w:sz w:val="18"/>
                <w:szCs w:val="18"/>
              </w:rPr>
              <w:t>(Constant Price)</w:t>
            </w:r>
          </w:p>
        </w:tc>
        <w:tc>
          <w:tcPr>
            <w:tcW w:w="2636" w:type="dxa"/>
            <w:gridSpan w:val="2"/>
            <w:tcBorders>
              <w:top w:val="single" w:sz="12" w:space="0" w:color="auto"/>
              <w:left w:val="single" w:sz="12" w:space="0" w:color="auto"/>
              <w:bottom w:val="single" w:sz="12" w:space="0" w:color="auto"/>
            </w:tcBorders>
          </w:tcPr>
          <w:p w14:paraId="3AB23739" w14:textId="77777777" w:rsidR="001844B6" w:rsidRPr="00826F71" w:rsidRDefault="001844B6" w:rsidP="007E190E">
            <w:pPr>
              <w:pStyle w:val="IATableLabel"/>
              <w:jc w:val="right"/>
            </w:pPr>
            <w:r w:rsidRPr="00826F71">
              <w:t>Total Cost</w:t>
            </w:r>
            <w:r w:rsidRPr="007E190E">
              <w:rPr>
                <w:b w:val="0"/>
                <w:sz w:val="18"/>
                <w:szCs w:val="18"/>
              </w:rPr>
              <w:t xml:space="preserve"> </w:t>
            </w:r>
            <w:r w:rsidRPr="007E190E">
              <w:rPr>
                <w:b w:val="0"/>
                <w:sz w:val="18"/>
                <w:szCs w:val="18"/>
              </w:rPr>
              <w:br/>
              <w:t>(Present Value)</w:t>
            </w:r>
          </w:p>
        </w:tc>
      </w:tr>
      <w:tr w:rsidR="001844B6" w:rsidRPr="007E190E" w14:paraId="4458011D" w14:textId="77777777" w:rsidTr="6ACCA01D">
        <w:trPr>
          <w:trHeight w:hRule="exact" w:val="348"/>
        </w:trPr>
        <w:tc>
          <w:tcPr>
            <w:tcW w:w="2122" w:type="dxa"/>
            <w:tcBorders>
              <w:top w:val="single" w:sz="12" w:space="0" w:color="auto"/>
              <w:bottom w:val="single" w:sz="12" w:space="0" w:color="auto"/>
              <w:right w:val="single" w:sz="12" w:space="0" w:color="auto"/>
            </w:tcBorders>
            <w:vAlign w:val="center"/>
          </w:tcPr>
          <w:p w14:paraId="4E41E6CF" w14:textId="77777777" w:rsidR="001844B6" w:rsidRPr="00F63895" w:rsidRDefault="001844B6" w:rsidP="005A3880">
            <w:pPr>
              <w:pStyle w:val="IATableLabel"/>
            </w:pPr>
            <w:r w:rsidRPr="00F63895">
              <w:t xml:space="preserve">Low </w:t>
            </w:r>
          </w:p>
        </w:tc>
        <w:tc>
          <w:tcPr>
            <w:tcW w:w="1949" w:type="dxa"/>
            <w:tcBorders>
              <w:top w:val="single" w:sz="12" w:space="0" w:color="auto"/>
              <w:left w:val="single" w:sz="12" w:space="0" w:color="auto"/>
              <w:bottom w:val="single" w:sz="12" w:space="0" w:color="auto"/>
              <w:right w:val="single" w:sz="12" w:space="0" w:color="auto"/>
            </w:tcBorders>
            <w:vAlign w:val="center"/>
          </w:tcPr>
          <w:p w14:paraId="5140797A" w14:textId="233FAC74" w:rsidR="001844B6" w:rsidRPr="007E190E" w:rsidRDefault="007B249C" w:rsidP="005A3880">
            <w:pPr>
              <w:pStyle w:val="POTTCostsLow"/>
              <w:rPr>
                <w:sz w:val="20"/>
              </w:rPr>
            </w:pPr>
            <w:r>
              <w:rPr>
                <w:sz w:val="20"/>
              </w:rPr>
              <w:fldChar w:fldCharType="begin">
                <w:ffData>
                  <w:name w:val="Text45"/>
                  <w:enabled/>
                  <w:calcOnExit w:val="0"/>
                  <w:textInput>
                    <w:default w:val="£0"/>
                    <w:maxLength w:val="14"/>
                  </w:textInput>
                </w:ffData>
              </w:fldChar>
            </w:r>
            <w:bookmarkStart w:id="38" w:name="Text45"/>
            <w:r>
              <w:rPr>
                <w:sz w:val="20"/>
              </w:rPr>
              <w:instrText xml:space="preserve"> FORMTEXT </w:instrText>
            </w:r>
            <w:r>
              <w:rPr>
                <w:sz w:val="20"/>
              </w:rPr>
            </w:r>
            <w:r>
              <w:rPr>
                <w:sz w:val="20"/>
              </w:rPr>
              <w:fldChar w:fldCharType="separate"/>
            </w:r>
            <w:r>
              <w:rPr>
                <w:noProof/>
                <w:sz w:val="20"/>
              </w:rPr>
              <w:t>£0</w:t>
            </w:r>
            <w:r>
              <w:rPr>
                <w:sz w:val="20"/>
              </w:rPr>
              <w:fldChar w:fldCharType="end"/>
            </w:r>
            <w:bookmarkEnd w:id="38"/>
          </w:p>
        </w:tc>
        <w:tc>
          <w:tcPr>
            <w:tcW w:w="790" w:type="dxa"/>
            <w:vMerge w:val="restart"/>
            <w:tcBorders>
              <w:top w:val="single" w:sz="12" w:space="0" w:color="auto"/>
              <w:left w:val="single" w:sz="12" w:space="0" w:color="auto"/>
              <w:right w:val="single" w:sz="12" w:space="0" w:color="auto"/>
            </w:tcBorders>
            <w:vAlign w:val="center"/>
          </w:tcPr>
          <w:p w14:paraId="318114D6" w14:textId="77777777" w:rsidR="001844B6" w:rsidRPr="007E190E" w:rsidRDefault="001844B6" w:rsidP="005A3880">
            <w:pPr>
              <w:pStyle w:val="POTTCostsYear"/>
              <w:rPr>
                <w:sz w:val="20"/>
                <w:szCs w:val="20"/>
              </w:rPr>
            </w:pPr>
            <w:r w:rsidRPr="007E190E">
              <w:rPr>
                <w:sz w:val="20"/>
                <w:szCs w:val="20"/>
              </w:rPr>
              <w:fldChar w:fldCharType="begin">
                <w:ffData>
                  <w:name w:val="Text48"/>
                  <w:enabled/>
                  <w:calcOnExit w:val="0"/>
                  <w:textInput>
                    <w:maxLength w:val="3"/>
                  </w:textInput>
                </w:ffData>
              </w:fldChar>
            </w:r>
            <w:r w:rsidRPr="007E190E">
              <w:rPr>
                <w:sz w:val="20"/>
                <w:szCs w:val="20"/>
              </w:rPr>
              <w:instrText xml:space="preserve"> FORMTEXT </w:instrText>
            </w:r>
            <w:r w:rsidRPr="007E190E">
              <w:rPr>
                <w:sz w:val="20"/>
                <w:szCs w:val="20"/>
              </w:rPr>
            </w:r>
            <w:r w:rsidRPr="007E190E">
              <w:rPr>
                <w:sz w:val="20"/>
                <w:szCs w:val="20"/>
              </w:rPr>
              <w:fldChar w:fldCharType="separate"/>
            </w:r>
            <w:r w:rsidRPr="007E190E">
              <w:rPr>
                <w:noProof/>
                <w:sz w:val="20"/>
                <w:szCs w:val="20"/>
              </w:rPr>
              <w:t> </w:t>
            </w:r>
            <w:r w:rsidRPr="007E190E">
              <w:rPr>
                <w:noProof/>
                <w:sz w:val="20"/>
                <w:szCs w:val="20"/>
              </w:rPr>
              <w:t> </w:t>
            </w:r>
            <w:r w:rsidRPr="007E190E">
              <w:rPr>
                <w:noProof/>
                <w:sz w:val="20"/>
                <w:szCs w:val="20"/>
              </w:rPr>
              <w:t> </w:t>
            </w:r>
            <w:r w:rsidRPr="007E190E">
              <w:rPr>
                <w:sz w:val="20"/>
                <w:szCs w:val="20"/>
              </w:rPr>
              <w:fldChar w:fldCharType="end"/>
            </w:r>
          </w:p>
        </w:tc>
        <w:tc>
          <w:tcPr>
            <w:tcW w:w="2865" w:type="dxa"/>
            <w:tcBorders>
              <w:top w:val="single" w:sz="12" w:space="0" w:color="auto"/>
              <w:left w:val="single" w:sz="12" w:space="0" w:color="auto"/>
              <w:bottom w:val="single" w:sz="12" w:space="0" w:color="auto"/>
              <w:right w:val="single" w:sz="12" w:space="0" w:color="auto"/>
            </w:tcBorders>
            <w:vAlign w:val="center"/>
          </w:tcPr>
          <w:p w14:paraId="40093593" w14:textId="786F8644" w:rsidR="001844B6" w:rsidRPr="007E190E" w:rsidRDefault="007B249C" w:rsidP="005A3880">
            <w:pPr>
              <w:pStyle w:val="POAACostsLow"/>
              <w:rPr>
                <w:sz w:val="20"/>
              </w:rPr>
            </w:pPr>
            <w:r>
              <w:rPr>
                <w:sz w:val="20"/>
              </w:rPr>
              <w:fldChar w:fldCharType="begin">
                <w:ffData>
                  <w:name w:val="Text49"/>
                  <w:enabled/>
                  <w:calcOnExit w:val="0"/>
                  <w:textInput>
                    <w:default w:val="£0"/>
                    <w:maxLength w:val="14"/>
                  </w:textInput>
                </w:ffData>
              </w:fldChar>
            </w:r>
            <w:bookmarkStart w:id="39" w:name="Text49"/>
            <w:r>
              <w:rPr>
                <w:sz w:val="20"/>
              </w:rPr>
              <w:instrText xml:space="preserve"> FORMTEXT </w:instrText>
            </w:r>
            <w:r>
              <w:rPr>
                <w:sz w:val="20"/>
              </w:rPr>
            </w:r>
            <w:r>
              <w:rPr>
                <w:sz w:val="20"/>
              </w:rPr>
              <w:fldChar w:fldCharType="separate"/>
            </w:r>
            <w:r>
              <w:rPr>
                <w:noProof/>
                <w:sz w:val="20"/>
              </w:rPr>
              <w:t>£0</w:t>
            </w:r>
            <w:r>
              <w:rPr>
                <w:sz w:val="20"/>
              </w:rPr>
              <w:fldChar w:fldCharType="end"/>
            </w:r>
            <w:bookmarkEnd w:id="39"/>
          </w:p>
        </w:tc>
        <w:tc>
          <w:tcPr>
            <w:tcW w:w="2636" w:type="dxa"/>
            <w:gridSpan w:val="2"/>
            <w:tcBorders>
              <w:top w:val="single" w:sz="12" w:space="0" w:color="auto"/>
              <w:left w:val="single" w:sz="12" w:space="0" w:color="auto"/>
              <w:bottom w:val="single" w:sz="12" w:space="0" w:color="auto"/>
            </w:tcBorders>
            <w:vAlign w:val="center"/>
          </w:tcPr>
          <w:p w14:paraId="3C592E75" w14:textId="18FDB6DE" w:rsidR="001844B6" w:rsidRPr="007E190E" w:rsidRDefault="007B249C" w:rsidP="005A3880">
            <w:pPr>
              <w:pStyle w:val="POTCCostsLow"/>
              <w:rPr>
                <w:sz w:val="20"/>
              </w:rPr>
            </w:pPr>
            <w:r>
              <w:rPr>
                <w:sz w:val="20"/>
              </w:rPr>
              <w:fldChar w:fldCharType="begin">
                <w:ffData>
                  <w:name w:val="Text52"/>
                  <w:enabled/>
                  <w:calcOnExit w:val="0"/>
                  <w:textInput>
                    <w:default w:val="£0"/>
                    <w:maxLength w:val="14"/>
                  </w:textInput>
                </w:ffData>
              </w:fldChar>
            </w:r>
            <w:bookmarkStart w:id="40" w:name="Text52"/>
            <w:r>
              <w:rPr>
                <w:sz w:val="20"/>
              </w:rPr>
              <w:instrText xml:space="preserve"> FORMTEXT </w:instrText>
            </w:r>
            <w:r>
              <w:rPr>
                <w:sz w:val="20"/>
              </w:rPr>
            </w:r>
            <w:r>
              <w:rPr>
                <w:sz w:val="20"/>
              </w:rPr>
              <w:fldChar w:fldCharType="separate"/>
            </w:r>
            <w:r>
              <w:rPr>
                <w:noProof/>
                <w:sz w:val="20"/>
              </w:rPr>
              <w:t>£0</w:t>
            </w:r>
            <w:r>
              <w:rPr>
                <w:sz w:val="20"/>
              </w:rPr>
              <w:fldChar w:fldCharType="end"/>
            </w:r>
            <w:bookmarkEnd w:id="40"/>
          </w:p>
        </w:tc>
      </w:tr>
      <w:tr w:rsidR="001844B6" w:rsidRPr="007E190E" w14:paraId="2A188929" w14:textId="77777777" w:rsidTr="6ACCA01D">
        <w:trPr>
          <w:trHeight w:hRule="exact" w:val="348"/>
        </w:trPr>
        <w:tc>
          <w:tcPr>
            <w:tcW w:w="2122" w:type="dxa"/>
            <w:tcBorders>
              <w:top w:val="single" w:sz="12" w:space="0" w:color="auto"/>
              <w:bottom w:val="single" w:sz="12" w:space="0" w:color="auto"/>
              <w:right w:val="single" w:sz="12" w:space="0" w:color="auto"/>
            </w:tcBorders>
            <w:vAlign w:val="center"/>
          </w:tcPr>
          <w:p w14:paraId="7F2FA1BA" w14:textId="77777777" w:rsidR="001844B6" w:rsidRPr="00F63895" w:rsidRDefault="001844B6" w:rsidP="005A3880">
            <w:pPr>
              <w:pStyle w:val="IATableLabel"/>
            </w:pPr>
            <w:r w:rsidRPr="00F63895">
              <w:t xml:space="preserve">High </w:t>
            </w:r>
          </w:p>
        </w:tc>
        <w:tc>
          <w:tcPr>
            <w:tcW w:w="1949" w:type="dxa"/>
            <w:tcBorders>
              <w:top w:val="single" w:sz="12" w:space="0" w:color="auto"/>
              <w:left w:val="single" w:sz="12" w:space="0" w:color="auto"/>
              <w:bottom w:val="single" w:sz="12" w:space="0" w:color="auto"/>
              <w:right w:val="single" w:sz="12" w:space="0" w:color="auto"/>
            </w:tcBorders>
            <w:vAlign w:val="center"/>
          </w:tcPr>
          <w:p w14:paraId="615C67DC" w14:textId="3A6181F5" w:rsidR="001844B6" w:rsidRPr="007E190E" w:rsidRDefault="007B249C" w:rsidP="005A3880">
            <w:pPr>
              <w:pStyle w:val="POTTCostsHigh"/>
              <w:rPr>
                <w:sz w:val="20"/>
              </w:rPr>
            </w:pPr>
            <w:r>
              <w:rPr>
                <w:sz w:val="20"/>
              </w:rPr>
              <w:fldChar w:fldCharType="begin">
                <w:ffData>
                  <w:name w:val="Text46"/>
                  <w:enabled/>
                  <w:calcOnExit w:val="0"/>
                  <w:textInput>
                    <w:default w:val="£0"/>
                    <w:maxLength w:val="14"/>
                  </w:textInput>
                </w:ffData>
              </w:fldChar>
            </w:r>
            <w:bookmarkStart w:id="41" w:name="Text46"/>
            <w:r>
              <w:rPr>
                <w:sz w:val="20"/>
              </w:rPr>
              <w:instrText xml:space="preserve"> FORMTEXT </w:instrText>
            </w:r>
            <w:r>
              <w:rPr>
                <w:sz w:val="20"/>
              </w:rPr>
            </w:r>
            <w:r>
              <w:rPr>
                <w:sz w:val="20"/>
              </w:rPr>
              <w:fldChar w:fldCharType="separate"/>
            </w:r>
            <w:r>
              <w:rPr>
                <w:noProof/>
                <w:sz w:val="20"/>
              </w:rPr>
              <w:t>£0</w:t>
            </w:r>
            <w:r>
              <w:rPr>
                <w:sz w:val="20"/>
              </w:rPr>
              <w:fldChar w:fldCharType="end"/>
            </w:r>
            <w:bookmarkEnd w:id="41"/>
          </w:p>
        </w:tc>
        <w:tc>
          <w:tcPr>
            <w:tcW w:w="790" w:type="dxa"/>
            <w:vMerge/>
            <w:vAlign w:val="center"/>
          </w:tcPr>
          <w:p w14:paraId="3109568A" w14:textId="77777777" w:rsidR="001844B6" w:rsidRPr="007E190E" w:rsidRDefault="001844B6" w:rsidP="007E190E">
            <w:pPr>
              <w:pStyle w:val="IATableText"/>
              <w:jc w:val="right"/>
              <w:rPr>
                <w:sz w:val="20"/>
              </w:rPr>
            </w:pPr>
          </w:p>
        </w:tc>
        <w:tc>
          <w:tcPr>
            <w:tcW w:w="2865" w:type="dxa"/>
            <w:tcBorders>
              <w:top w:val="single" w:sz="12" w:space="0" w:color="auto"/>
              <w:left w:val="single" w:sz="12" w:space="0" w:color="auto"/>
              <w:bottom w:val="single" w:sz="12" w:space="0" w:color="auto"/>
              <w:right w:val="single" w:sz="12" w:space="0" w:color="auto"/>
            </w:tcBorders>
            <w:vAlign w:val="center"/>
          </w:tcPr>
          <w:p w14:paraId="4E49AA06" w14:textId="4AD3A470" w:rsidR="001844B6" w:rsidRPr="007E190E" w:rsidRDefault="007B249C" w:rsidP="005A3880">
            <w:pPr>
              <w:pStyle w:val="POAACostsHigh"/>
              <w:rPr>
                <w:sz w:val="20"/>
              </w:rPr>
            </w:pPr>
            <w:r>
              <w:rPr>
                <w:sz w:val="20"/>
              </w:rPr>
              <w:fldChar w:fldCharType="begin">
                <w:ffData>
                  <w:name w:val="Text50"/>
                  <w:enabled/>
                  <w:calcOnExit w:val="0"/>
                  <w:textInput>
                    <w:default w:val="£0"/>
                    <w:maxLength w:val="14"/>
                  </w:textInput>
                </w:ffData>
              </w:fldChar>
            </w:r>
            <w:bookmarkStart w:id="42" w:name="Text50"/>
            <w:r>
              <w:rPr>
                <w:sz w:val="20"/>
              </w:rPr>
              <w:instrText xml:space="preserve"> FORMTEXT </w:instrText>
            </w:r>
            <w:r>
              <w:rPr>
                <w:sz w:val="20"/>
              </w:rPr>
            </w:r>
            <w:r>
              <w:rPr>
                <w:sz w:val="20"/>
              </w:rPr>
              <w:fldChar w:fldCharType="separate"/>
            </w:r>
            <w:r>
              <w:rPr>
                <w:noProof/>
                <w:sz w:val="20"/>
              </w:rPr>
              <w:t>£0</w:t>
            </w:r>
            <w:r>
              <w:rPr>
                <w:sz w:val="20"/>
              </w:rPr>
              <w:fldChar w:fldCharType="end"/>
            </w:r>
            <w:bookmarkEnd w:id="42"/>
          </w:p>
        </w:tc>
        <w:tc>
          <w:tcPr>
            <w:tcW w:w="2636" w:type="dxa"/>
            <w:gridSpan w:val="2"/>
            <w:tcBorders>
              <w:top w:val="single" w:sz="12" w:space="0" w:color="auto"/>
              <w:left w:val="single" w:sz="12" w:space="0" w:color="auto"/>
              <w:bottom w:val="single" w:sz="12" w:space="0" w:color="auto"/>
            </w:tcBorders>
            <w:vAlign w:val="center"/>
          </w:tcPr>
          <w:p w14:paraId="7B0C835D" w14:textId="00291DC8" w:rsidR="001844B6" w:rsidRPr="007E190E" w:rsidRDefault="007B249C" w:rsidP="005A3880">
            <w:pPr>
              <w:pStyle w:val="POTCCostsHigh"/>
              <w:rPr>
                <w:sz w:val="20"/>
              </w:rPr>
            </w:pPr>
            <w:r>
              <w:rPr>
                <w:sz w:val="20"/>
              </w:rPr>
              <w:fldChar w:fldCharType="begin">
                <w:ffData>
                  <w:name w:val="Text53"/>
                  <w:enabled/>
                  <w:calcOnExit w:val="0"/>
                  <w:textInput>
                    <w:default w:val="£0"/>
                    <w:maxLength w:val="14"/>
                  </w:textInput>
                </w:ffData>
              </w:fldChar>
            </w:r>
            <w:bookmarkStart w:id="43" w:name="Text53"/>
            <w:r>
              <w:rPr>
                <w:sz w:val="20"/>
              </w:rPr>
              <w:instrText xml:space="preserve"> FORMTEXT </w:instrText>
            </w:r>
            <w:r>
              <w:rPr>
                <w:sz w:val="20"/>
              </w:rPr>
            </w:r>
            <w:r>
              <w:rPr>
                <w:sz w:val="20"/>
              </w:rPr>
              <w:fldChar w:fldCharType="separate"/>
            </w:r>
            <w:r>
              <w:rPr>
                <w:noProof/>
                <w:sz w:val="20"/>
              </w:rPr>
              <w:t>£0</w:t>
            </w:r>
            <w:r>
              <w:rPr>
                <w:sz w:val="20"/>
              </w:rPr>
              <w:fldChar w:fldCharType="end"/>
            </w:r>
            <w:bookmarkEnd w:id="43"/>
          </w:p>
        </w:tc>
      </w:tr>
      <w:tr w:rsidR="001844B6" w:rsidRPr="007E190E" w14:paraId="63E1E9EE" w14:textId="77777777" w:rsidTr="6ACCA01D">
        <w:trPr>
          <w:trHeight w:hRule="exact" w:val="348"/>
        </w:trPr>
        <w:tc>
          <w:tcPr>
            <w:tcW w:w="2122" w:type="dxa"/>
            <w:tcBorders>
              <w:top w:val="single" w:sz="12" w:space="0" w:color="auto"/>
              <w:bottom w:val="single" w:sz="12" w:space="0" w:color="auto"/>
              <w:right w:val="single" w:sz="12" w:space="0" w:color="auto"/>
            </w:tcBorders>
            <w:shd w:val="clear" w:color="auto" w:fill="FFFFFF" w:themeFill="background1"/>
            <w:vAlign w:val="center"/>
          </w:tcPr>
          <w:p w14:paraId="0A52C5D6" w14:textId="77777777" w:rsidR="001844B6" w:rsidRPr="00F63895" w:rsidRDefault="001844B6" w:rsidP="005A3880">
            <w:pPr>
              <w:pStyle w:val="IATableLabel"/>
            </w:pPr>
            <w:r w:rsidRPr="00F63895">
              <w:t>Best Estimate</w:t>
            </w:r>
          </w:p>
          <w:p w14:paraId="247C5159" w14:textId="77777777" w:rsidR="001844B6" w:rsidRPr="007E190E" w:rsidRDefault="001844B6" w:rsidP="007E190E">
            <w:pPr>
              <w:pStyle w:val="IATableNotes"/>
              <w:spacing w:beforeLines="40" w:before="96"/>
              <w:ind w:left="0" w:right="-22"/>
              <w:jc w:val="center"/>
              <w:rPr>
                <w:rFonts w:cs="Arial"/>
                <w:b/>
                <w:sz w:val="20"/>
              </w:rPr>
            </w:pPr>
          </w:p>
        </w:tc>
        <w:tc>
          <w:tcPr>
            <w:tcW w:w="194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50499C6C" w14:textId="5A9FD167" w:rsidR="001844B6" w:rsidRPr="007E190E" w:rsidRDefault="00244147" w:rsidP="005A3880">
            <w:pPr>
              <w:pStyle w:val="POTTCostsBest"/>
              <w:rPr>
                <w:sz w:val="20"/>
              </w:rPr>
            </w:pPr>
            <w:r>
              <w:rPr>
                <w:sz w:val="20"/>
              </w:rPr>
              <w:fldChar w:fldCharType="begin">
                <w:ffData>
                  <w:name w:val="Text51"/>
                  <w:enabled/>
                  <w:calcOnExit w:val="0"/>
                  <w:textInput>
                    <w:default w:val="£0"/>
                    <w:maxLength w:val="14"/>
                  </w:textInput>
                </w:ffData>
              </w:fldChar>
            </w:r>
            <w:bookmarkStart w:id="44" w:name="Text51"/>
            <w:r>
              <w:rPr>
                <w:sz w:val="20"/>
              </w:rPr>
              <w:instrText xml:space="preserve"> FORMTEXT </w:instrText>
            </w:r>
            <w:r>
              <w:rPr>
                <w:sz w:val="20"/>
              </w:rPr>
            </w:r>
            <w:r>
              <w:rPr>
                <w:sz w:val="20"/>
              </w:rPr>
              <w:fldChar w:fldCharType="separate"/>
            </w:r>
            <w:r>
              <w:rPr>
                <w:noProof/>
                <w:sz w:val="20"/>
              </w:rPr>
              <w:t>£0</w:t>
            </w:r>
            <w:r>
              <w:rPr>
                <w:sz w:val="20"/>
              </w:rPr>
              <w:fldChar w:fldCharType="end"/>
            </w:r>
            <w:bookmarkEnd w:id="44"/>
          </w:p>
        </w:tc>
        <w:tc>
          <w:tcPr>
            <w:tcW w:w="790" w:type="dxa"/>
            <w:vMerge/>
            <w:vAlign w:val="center"/>
          </w:tcPr>
          <w:p w14:paraId="3302B3F3" w14:textId="77777777" w:rsidR="001844B6" w:rsidRPr="007E190E" w:rsidRDefault="001844B6" w:rsidP="007E190E">
            <w:pPr>
              <w:pStyle w:val="IATableText"/>
              <w:jc w:val="right"/>
              <w:rPr>
                <w:sz w:val="20"/>
              </w:rPr>
            </w:pPr>
          </w:p>
        </w:tc>
        <w:tc>
          <w:tcPr>
            <w:tcW w:w="2865"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09BE4D85" w14:textId="69FB213E" w:rsidR="001844B6" w:rsidRPr="007E190E" w:rsidRDefault="00244147" w:rsidP="005A3880">
            <w:pPr>
              <w:pStyle w:val="POAACostsBest"/>
              <w:rPr>
                <w:sz w:val="20"/>
              </w:rPr>
            </w:pPr>
            <w:r>
              <w:rPr>
                <w:sz w:val="20"/>
              </w:rPr>
              <w:fldChar w:fldCharType="begin">
                <w:ffData>
                  <w:name w:val=""/>
                  <w:enabled/>
                  <w:calcOnExit w:val="0"/>
                  <w:textInput>
                    <w:default w:val="£0"/>
                    <w:maxLength w:val="14"/>
                  </w:textInput>
                </w:ffData>
              </w:fldChar>
            </w:r>
            <w:r>
              <w:rPr>
                <w:sz w:val="20"/>
              </w:rPr>
              <w:instrText xml:space="preserve"> FORMTEXT </w:instrText>
            </w:r>
            <w:r>
              <w:rPr>
                <w:sz w:val="20"/>
              </w:rPr>
            </w:r>
            <w:r>
              <w:rPr>
                <w:sz w:val="20"/>
              </w:rPr>
              <w:fldChar w:fldCharType="separate"/>
            </w:r>
            <w:r>
              <w:rPr>
                <w:noProof/>
                <w:sz w:val="20"/>
              </w:rPr>
              <w:t>£0</w:t>
            </w:r>
            <w:r>
              <w:rPr>
                <w:sz w:val="20"/>
              </w:rPr>
              <w:fldChar w:fldCharType="end"/>
            </w:r>
          </w:p>
        </w:tc>
        <w:tc>
          <w:tcPr>
            <w:tcW w:w="2636" w:type="dxa"/>
            <w:gridSpan w:val="2"/>
            <w:tcBorders>
              <w:top w:val="single" w:sz="12" w:space="0" w:color="auto"/>
              <w:left w:val="single" w:sz="12" w:space="0" w:color="auto"/>
              <w:bottom w:val="single" w:sz="12" w:space="0" w:color="auto"/>
            </w:tcBorders>
            <w:shd w:val="clear" w:color="auto" w:fill="FFFFFF" w:themeFill="background1"/>
            <w:vAlign w:val="center"/>
          </w:tcPr>
          <w:p w14:paraId="64B08B6E" w14:textId="55C813C8" w:rsidR="001844B6" w:rsidRPr="007E190E" w:rsidRDefault="00244147" w:rsidP="005A3880">
            <w:pPr>
              <w:pStyle w:val="POTCCostsBest"/>
              <w:rPr>
                <w:sz w:val="20"/>
              </w:rPr>
            </w:pPr>
            <w:r>
              <w:rPr>
                <w:sz w:val="20"/>
              </w:rPr>
              <w:fldChar w:fldCharType="begin">
                <w:ffData>
                  <w:name w:val="Text54"/>
                  <w:enabled/>
                  <w:calcOnExit w:val="0"/>
                  <w:textInput>
                    <w:default w:val="£0"/>
                    <w:maxLength w:val="14"/>
                  </w:textInput>
                </w:ffData>
              </w:fldChar>
            </w:r>
            <w:bookmarkStart w:id="45" w:name="Text54"/>
            <w:r>
              <w:rPr>
                <w:sz w:val="20"/>
              </w:rPr>
              <w:instrText xml:space="preserve"> FORMTEXT </w:instrText>
            </w:r>
            <w:r>
              <w:rPr>
                <w:sz w:val="20"/>
              </w:rPr>
            </w:r>
            <w:r>
              <w:rPr>
                <w:sz w:val="20"/>
              </w:rPr>
              <w:fldChar w:fldCharType="separate"/>
            </w:r>
            <w:r>
              <w:rPr>
                <w:noProof/>
                <w:sz w:val="20"/>
              </w:rPr>
              <w:t>£0</w:t>
            </w:r>
            <w:r>
              <w:rPr>
                <w:sz w:val="20"/>
              </w:rPr>
              <w:fldChar w:fldCharType="end"/>
            </w:r>
            <w:bookmarkEnd w:id="45"/>
          </w:p>
        </w:tc>
      </w:tr>
      <w:tr w:rsidR="001844B6" w:rsidRPr="00826F71" w14:paraId="5ADDE4DC" w14:textId="77777777" w:rsidTr="6ACCA01D">
        <w:trPr>
          <w:trHeight w:hRule="exact" w:val="1701"/>
        </w:trPr>
        <w:tc>
          <w:tcPr>
            <w:tcW w:w="10362" w:type="dxa"/>
            <w:gridSpan w:val="6"/>
            <w:tcBorders>
              <w:bottom w:val="single" w:sz="12" w:space="0" w:color="auto"/>
            </w:tcBorders>
          </w:tcPr>
          <w:p w14:paraId="6CD829AC" w14:textId="77777777" w:rsidR="001844B6" w:rsidRPr="007E190E" w:rsidRDefault="001844B6" w:rsidP="005A3880">
            <w:pPr>
              <w:pStyle w:val="IAPOQ1"/>
              <w:rPr>
                <w:szCs w:val="22"/>
              </w:rPr>
            </w:pPr>
            <w:r w:rsidRPr="00544292">
              <w:t xml:space="preserve">Description and scale of </w:t>
            </w:r>
            <w:r w:rsidRPr="00826F71">
              <w:t>key monetised costs</w:t>
            </w:r>
            <w:r w:rsidRPr="00544292">
              <w:t xml:space="preserve"> by ‘main affected groups’ </w:t>
            </w:r>
          </w:p>
          <w:p w14:paraId="6D175DCE" w14:textId="2AC24863" w:rsidR="00305D38" w:rsidRPr="0043755D" w:rsidRDefault="00305D38" w:rsidP="00C5128D">
            <w:pPr>
              <w:pStyle w:val="IAPOA3"/>
            </w:pPr>
            <w:r w:rsidRPr="00305D38">
              <w:t xml:space="preserve">The setting of the credit limit will not itself lead to any direct costs to </w:t>
            </w:r>
            <w:r w:rsidR="005809C6">
              <w:t>g</w:t>
            </w:r>
            <w:r w:rsidRPr="00305D38">
              <w:t>overnment, business or consumers.</w:t>
            </w:r>
          </w:p>
          <w:p w14:paraId="3476905D" w14:textId="77B6CC57" w:rsidR="00305D38" w:rsidRPr="0043755D" w:rsidRDefault="001B0FD0" w:rsidP="00C5128D">
            <w:pPr>
              <w:pStyle w:val="IAPOA3"/>
            </w:pPr>
            <w:r>
              <w:t>O</w:t>
            </w:r>
            <w:r w:rsidR="00305D38" w:rsidRPr="00305D38">
              <w:t xml:space="preserve">ption </w:t>
            </w:r>
            <w:r w:rsidR="00EB6C2D">
              <w:t xml:space="preserve">1 </w:t>
            </w:r>
            <w:r w:rsidR="00305D38" w:rsidRPr="00305D38">
              <w:t xml:space="preserve">does not allow the purchase of credits to help meet the </w:t>
            </w:r>
            <w:r w:rsidR="00DE3D5C">
              <w:t>fourth</w:t>
            </w:r>
            <w:r w:rsidR="00DE3D5C" w:rsidRPr="00305D38">
              <w:t xml:space="preserve"> </w:t>
            </w:r>
            <w:r w:rsidR="00305D38" w:rsidRPr="00305D38">
              <w:t>carbon budget, so no costs of</w:t>
            </w:r>
          </w:p>
          <w:p w14:paraId="3BC3A000" w14:textId="139C0926" w:rsidR="001844B6" w:rsidRPr="00826F71" w:rsidRDefault="00305D38" w:rsidP="00C5128D">
            <w:pPr>
              <w:pStyle w:val="IAPOA3"/>
            </w:pPr>
            <w:r w:rsidRPr="00305D38">
              <w:t>purchasing credits would arise</w:t>
            </w:r>
            <w:r>
              <w:t>.</w:t>
            </w:r>
          </w:p>
        </w:tc>
      </w:tr>
      <w:tr w:rsidR="001844B6" w:rsidRPr="00826F71" w14:paraId="6C705C06" w14:textId="77777777" w:rsidTr="6ACCA01D">
        <w:trPr>
          <w:trHeight w:hRule="exact" w:val="1701"/>
        </w:trPr>
        <w:tc>
          <w:tcPr>
            <w:tcW w:w="10362" w:type="dxa"/>
            <w:gridSpan w:val="6"/>
            <w:tcBorders>
              <w:top w:val="single" w:sz="12" w:space="0" w:color="auto"/>
              <w:bottom w:val="single" w:sz="12" w:space="0" w:color="auto"/>
            </w:tcBorders>
          </w:tcPr>
          <w:p w14:paraId="0DA1A2FE" w14:textId="77777777" w:rsidR="001844B6" w:rsidRPr="007E190E" w:rsidRDefault="001844B6" w:rsidP="005A3880">
            <w:pPr>
              <w:pStyle w:val="IAPOQ2"/>
              <w:rPr>
                <w:szCs w:val="22"/>
              </w:rPr>
            </w:pPr>
            <w:r w:rsidRPr="00544292">
              <w:t>Other</w:t>
            </w:r>
            <w:r w:rsidRPr="00826F71">
              <w:t xml:space="preserve"> key non-monetised costs</w:t>
            </w:r>
            <w:r w:rsidRPr="00544292">
              <w:t xml:space="preserve"> by ‘main affected groups’ </w:t>
            </w:r>
          </w:p>
          <w:p w14:paraId="54DCBFDD" w14:textId="77777777" w:rsidR="00567DF7" w:rsidRPr="0043755D" w:rsidRDefault="00567DF7" w:rsidP="00C5128D">
            <w:pPr>
              <w:pStyle w:val="IAPOA3"/>
            </w:pPr>
            <w:r w:rsidRPr="0043755D">
              <w:t>A credit limit of 0 MtCO2e would provide no scope to manage the uncertainty in emissions projections and</w:t>
            </w:r>
          </w:p>
          <w:p w14:paraId="33B96A1C" w14:textId="77777777" w:rsidR="00567DF7" w:rsidRPr="00C5128D" w:rsidRDefault="00567DF7" w:rsidP="00C5128D">
            <w:pPr>
              <w:pStyle w:val="IAPOA3"/>
              <w:rPr>
                <w:b/>
              </w:rPr>
            </w:pPr>
            <w:r w:rsidRPr="007F59E3">
              <w:t>inventory updates through the purchase of credits, or any flexibility via the carbon budgets system</w:t>
            </w:r>
            <w:r w:rsidRPr="008971BE">
              <w:t xml:space="preserve"> to</w:t>
            </w:r>
          </w:p>
          <w:p w14:paraId="6B28926E" w14:textId="77777777" w:rsidR="00567DF7" w:rsidRPr="00C5128D" w:rsidRDefault="00567DF7" w:rsidP="00C5128D">
            <w:pPr>
              <w:pStyle w:val="IAPOA3"/>
              <w:rPr>
                <w:b/>
              </w:rPr>
            </w:pPr>
            <w:r w:rsidRPr="007F59E3">
              <w:t>support action in other countries through global carbon markets. Unexpected changes to emissions trends</w:t>
            </w:r>
          </w:p>
          <w:p w14:paraId="0CF6A04D" w14:textId="0E867323" w:rsidR="001844B6" w:rsidRPr="007E190E" w:rsidRDefault="00567DF7" w:rsidP="00C5128D">
            <w:pPr>
              <w:pStyle w:val="IAPOA3"/>
              <w:rPr>
                <w:szCs w:val="22"/>
              </w:rPr>
            </w:pPr>
            <w:r w:rsidRPr="008971BE">
              <w:t>or data could expose the UK to substantially greater costs</w:t>
            </w:r>
          </w:p>
        </w:tc>
      </w:tr>
      <w:tr w:rsidR="001844B6" w:rsidRPr="007E190E" w14:paraId="238F2CEA" w14:textId="77777777" w:rsidTr="6ACCA01D">
        <w:trPr>
          <w:trHeight w:hRule="exact" w:val="567"/>
        </w:trPr>
        <w:tc>
          <w:tcPr>
            <w:tcW w:w="2122" w:type="dxa"/>
            <w:tcBorders>
              <w:bottom w:val="single" w:sz="12" w:space="0" w:color="auto"/>
              <w:right w:val="single" w:sz="12" w:space="0" w:color="auto"/>
            </w:tcBorders>
            <w:shd w:val="clear" w:color="auto" w:fill="FFFFFF" w:themeFill="background1"/>
          </w:tcPr>
          <w:p w14:paraId="2D8738E8" w14:textId="703ABBAA" w:rsidR="001844B6" w:rsidRPr="007E190E" w:rsidRDefault="001844B6" w:rsidP="005A3880">
            <w:pPr>
              <w:pStyle w:val="IATableLabel"/>
              <w:rPr>
                <w:sz w:val="24"/>
                <w:szCs w:val="24"/>
              </w:rPr>
            </w:pPr>
            <w:r w:rsidRPr="007E190E">
              <w:rPr>
                <w:sz w:val="24"/>
                <w:szCs w:val="24"/>
              </w:rPr>
              <w:t xml:space="preserve">BENEFITS </w:t>
            </w:r>
            <w:r w:rsidR="00B21702">
              <w:rPr>
                <w:sz w:val="24"/>
                <w:szCs w:val="24"/>
              </w:rPr>
              <w:t>(</w:t>
            </w:r>
            <w:r w:rsidRPr="007E190E">
              <w:rPr>
                <w:sz w:val="24"/>
                <w:szCs w:val="24"/>
              </w:rPr>
              <w:t>£m)</w:t>
            </w:r>
          </w:p>
        </w:tc>
        <w:tc>
          <w:tcPr>
            <w:tcW w:w="2739" w:type="dxa"/>
            <w:gridSpan w:val="2"/>
            <w:tcBorders>
              <w:top w:val="single" w:sz="12" w:space="0" w:color="auto"/>
              <w:left w:val="single" w:sz="12" w:space="0" w:color="auto"/>
              <w:right w:val="single" w:sz="12" w:space="0" w:color="auto"/>
            </w:tcBorders>
          </w:tcPr>
          <w:p w14:paraId="379EF752" w14:textId="77777777" w:rsidR="001844B6" w:rsidRPr="00826F71" w:rsidRDefault="001844B6" w:rsidP="007E190E">
            <w:pPr>
              <w:pStyle w:val="IATableLabel"/>
              <w:tabs>
                <w:tab w:val="right" w:pos="1797"/>
                <w:tab w:val="center" w:pos="2340"/>
              </w:tabs>
              <w:jc w:val="right"/>
            </w:pPr>
            <w:r w:rsidRPr="00826F71">
              <w:t xml:space="preserve">Total Transition </w:t>
            </w:r>
            <w:r>
              <w:br/>
            </w:r>
            <w:r>
              <w:tab/>
            </w:r>
            <w:r w:rsidRPr="007E190E">
              <w:rPr>
                <w:b w:val="0"/>
                <w:sz w:val="18"/>
                <w:szCs w:val="18"/>
              </w:rPr>
              <w:t>(Constant Price)</w:t>
            </w:r>
            <w:r>
              <w:tab/>
            </w:r>
            <w:r w:rsidRPr="007E190E">
              <w:rPr>
                <w:b w:val="0"/>
                <w:sz w:val="18"/>
                <w:szCs w:val="18"/>
              </w:rPr>
              <w:t>Yea</w:t>
            </w:r>
            <w:r w:rsidRPr="007E190E">
              <w:rPr>
                <w:b w:val="0"/>
                <w:bCs/>
                <w:sz w:val="18"/>
                <w:szCs w:val="18"/>
              </w:rPr>
              <w:t>r</w:t>
            </w:r>
            <w:r w:rsidRPr="007E190E">
              <w:rPr>
                <w:b w:val="0"/>
                <w:sz w:val="18"/>
                <w:szCs w:val="18"/>
              </w:rPr>
              <w:t>s</w:t>
            </w:r>
          </w:p>
          <w:p w14:paraId="6882D2DD" w14:textId="77777777" w:rsidR="001844B6" w:rsidRPr="00826F71" w:rsidRDefault="001844B6" w:rsidP="007E190E">
            <w:pPr>
              <w:pStyle w:val="IATableLabel"/>
              <w:jc w:val="right"/>
            </w:pPr>
            <w:r>
              <w:br/>
            </w:r>
          </w:p>
        </w:tc>
        <w:tc>
          <w:tcPr>
            <w:tcW w:w="2865" w:type="dxa"/>
            <w:tcBorders>
              <w:left w:val="single" w:sz="12" w:space="0" w:color="auto"/>
              <w:bottom w:val="single" w:sz="12" w:space="0" w:color="auto"/>
              <w:right w:val="single" w:sz="12" w:space="0" w:color="auto"/>
            </w:tcBorders>
          </w:tcPr>
          <w:p w14:paraId="7DE04C76" w14:textId="77777777" w:rsidR="001844B6" w:rsidRPr="007E190E" w:rsidRDefault="001844B6" w:rsidP="007E190E">
            <w:pPr>
              <w:pStyle w:val="IATableLabel"/>
              <w:jc w:val="right"/>
              <w:rPr>
                <w:rFonts w:cs="Arial"/>
                <w:bCs/>
              </w:rPr>
            </w:pPr>
            <w:r w:rsidRPr="00826F71">
              <w:t>Average Annual</w:t>
            </w:r>
            <w:r w:rsidRPr="000C031E">
              <w:t xml:space="preserve"> </w:t>
            </w:r>
            <w:r>
              <w:br/>
            </w:r>
            <w:r w:rsidRPr="007E190E">
              <w:rPr>
                <w:b w:val="0"/>
                <w:sz w:val="18"/>
                <w:szCs w:val="18"/>
              </w:rPr>
              <w:t xml:space="preserve">(excl. Transition) </w:t>
            </w:r>
            <w:r w:rsidRPr="007E190E">
              <w:rPr>
                <w:rFonts w:cs="Arial"/>
                <w:b w:val="0"/>
                <w:bCs/>
                <w:sz w:val="18"/>
                <w:szCs w:val="18"/>
              </w:rPr>
              <w:t>(Constant Price)</w:t>
            </w:r>
          </w:p>
        </w:tc>
        <w:tc>
          <w:tcPr>
            <w:tcW w:w="2636" w:type="dxa"/>
            <w:gridSpan w:val="2"/>
            <w:tcBorders>
              <w:top w:val="single" w:sz="12" w:space="0" w:color="auto"/>
              <w:left w:val="single" w:sz="12" w:space="0" w:color="auto"/>
              <w:bottom w:val="single" w:sz="12" w:space="0" w:color="auto"/>
            </w:tcBorders>
          </w:tcPr>
          <w:p w14:paraId="20E24574" w14:textId="77777777" w:rsidR="001844B6" w:rsidRPr="00826F71" w:rsidRDefault="001844B6" w:rsidP="007E190E">
            <w:pPr>
              <w:pStyle w:val="IATableLabel"/>
              <w:jc w:val="right"/>
            </w:pPr>
            <w:r w:rsidRPr="00826F71">
              <w:t xml:space="preserve">Total </w:t>
            </w:r>
            <w:r>
              <w:t>Benefit</w:t>
            </w:r>
            <w:r w:rsidRPr="007E190E">
              <w:rPr>
                <w:b w:val="0"/>
                <w:sz w:val="18"/>
                <w:szCs w:val="18"/>
              </w:rPr>
              <w:t xml:space="preserve"> </w:t>
            </w:r>
            <w:r w:rsidRPr="007E190E">
              <w:rPr>
                <w:b w:val="0"/>
                <w:sz w:val="18"/>
                <w:szCs w:val="18"/>
              </w:rPr>
              <w:br/>
              <w:t>(Present Value)</w:t>
            </w:r>
          </w:p>
        </w:tc>
      </w:tr>
      <w:tr w:rsidR="001844B6" w:rsidRPr="007E190E" w14:paraId="4F133AA6" w14:textId="77777777" w:rsidTr="6ACCA01D">
        <w:trPr>
          <w:trHeight w:hRule="exact" w:val="348"/>
        </w:trPr>
        <w:tc>
          <w:tcPr>
            <w:tcW w:w="2122" w:type="dxa"/>
            <w:tcBorders>
              <w:top w:val="single" w:sz="12" w:space="0" w:color="auto"/>
              <w:bottom w:val="single" w:sz="12" w:space="0" w:color="auto"/>
              <w:right w:val="single" w:sz="12" w:space="0" w:color="auto"/>
            </w:tcBorders>
            <w:vAlign w:val="center"/>
          </w:tcPr>
          <w:p w14:paraId="46BAC235" w14:textId="77777777" w:rsidR="001844B6" w:rsidRPr="00826F71" w:rsidRDefault="001844B6" w:rsidP="005A3880">
            <w:pPr>
              <w:pStyle w:val="IATableLabel"/>
            </w:pPr>
            <w:r w:rsidRPr="00826F71">
              <w:t xml:space="preserve">Low </w:t>
            </w:r>
          </w:p>
        </w:tc>
        <w:tc>
          <w:tcPr>
            <w:tcW w:w="1949" w:type="dxa"/>
            <w:tcBorders>
              <w:top w:val="single" w:sz="12" w:space="0" w:color="auto"/>
              <w:left w:val="single" w:sz="12" w:space="0" w:color="auto"/>
              <w:bottom w:val="single" w:sz="12" w:space="0" w:color="auto"/>
              <w:right w:val="single" w:sz="12" w:space="0" w:color="auto"/>
            </w:tcBorders>
            <w:vAlign w:val="center"/>
          </w:tcPr>
          <w:p w14:paraId="05B943C0" w14:textId="5BE6C537" w:rsidR="001844B6" w:rsidRPr="007E190E" w:rsidRDefault="007B249C" w:rsidP="005A3880">
            <w:pPr>
              <w:pStyle w:val="POTTBenLow"/>
              <w:rPr>
                <w:sz w:val="20"/>
              </w:rPr>
            </w:pPr>
            <w:r>
              <w:rPr>
                <w:sz w:val="20"/>
              </w:rPr>
              <w:fldChar w:fldCharType="begin">
                <w:ffData>
                  <w:name w:val=""/>
                  <w:enabled/>
                  <w:calcOnExit w:val="0"/>
                  <w:textInput>
                    <w:default w:val="£0"/>
                    <w:maxLength w:val="14"/>
                  </w:textInput>
                </w:ffData>
              </w:fldChar>
            </w:r>
            <w:r>
              <w:rPr>
                <w:sz w:val="20"/>
              </w:rPr>
              <w:instrText xml:space="preserve"> FORMTEXT </w:instrText>
            </w:r>
            <w:r>
              <w:rPr>
                <w:sz w:val="20"/>
              </w:rPr>
            </w:r>
            <w:r>
              <w:rPr>
                <w:sz w:val="20"/>
              </w:rPr>
              <w:fldChar w:fldCharType="separate"/>
            </w:r>
            <w:r>
              <w:rPr>
                <w:noProof/>
                <w:sz w:val="20"/>
              </w:rPr>
              <w:t>£0</w:t>
            </w:r>
            <w:r>
              <w:rPr>
                <w:sz w:val="20"/>
              </w:rPr>
              <w:fldChar w:fldCharType="end"/>
            </w:r>
          </w:p>
        </w:tc>
        <w:tc>
          <w:tcPr>
            <w:tcW w:w="790" w:type="dxa"/>
            <w:vMerge w:val="restart"/>
            <w:tcBorders>
              <w:top w:val="single" w:sz="12" w:space="0" w:color="auto"/>
              <w:left w:val="single" w:sz="12" w:space="0" w:color="auto"/>
              <w:right w:val="single" w:sz="12" w:space="0" w:color="auto"/>
            </w:tcBorders>
            <w:vAlign w:val="center"/>
          </w:tcPr>
          <w:p w14:paraId="2F68BDB8" w14:textId="77777777" w:rsidR="001844B6" w:rsidRPr="007E190E" w:rsidRDefault="001844B6" w:rsidP="007E190E">
            <w:pPr>
              <w:pStyle w:val="IATableText"/>
              <w:jc w:val="center"/>
              <w:rPr>
                <w:sz w:val="20"/>
              </w:rPr>
            </w:pPr>
            <w:r w:rsidRPr="007E190E">
              <w:rPr>
                <w:sz w:val="20"/>
              </w:rPr>
              <w:fldChar w:fldCharType="begin">
                <w:ffData>
                  <w:name w:val="Text48"/>
                  <w:enabled/>
                  <w:calcOnExit w:val="0"/>
                  <w:textInput>
                    <w:maxLength w:val="3"/>
                  </w:textInput>
                </w:ffData>
              </w:fldChar>
            </w:r>
            <w:r w:rsidRPr="007E190E">
              <w:rPr>
                <w:sz w:val="20"/>
              </w:rPr>
              <w:instrText xml:space="preserve"> FORMTEXT </w:instrText>
            </w:r>
            <w:r w:rsidRPr="007E190E">
              <w:rPr>
                <w:sz w:val="20"/>
              </w:rPr>
            </w:r>
            <w:r w:rsidRPr="007E190E">
              <w:rPr>
                <w:sz w:val="20"/>
              </w:rPr>
              <w:fldChar w:fldCharType="separate"/>
            </w:r>
            <w:r w:rsidRPr="007E190E">
              <w:rPr>
                <w:noProof/>
                <w:sz w:val="20"/>
              </w:rPr>
              <w:t> </w:t>
            </w:r>
            <w:r w:rsidRPr="007E190E">
              <w:rPr>
                <w:noProof/>
                <w:sz w:val="20"/>
              </w:rPr>
              <w:t> </w:t>
            </w:r>
            <w:r w:rsidRPr="007E190E">
              <w:rPr>
                <w:noProof/>
                <w:sz w:val="20"/>
              </w:rPr>
              <w:t> </w:t>
            </w:r>
            <w:r w:rsidRPr="007E190E">
              <w:rPr>
                <w:sz w:val="20"/>
              </w:rPr>
              <w:fldChar w:fldCharType="end"/>
            </w:r>
          </w:p>
        </w:tc>
        <w:tc>
          <w:tcPr>
            <w:tcW w:w="2865" w:type="dxa"/>
            <w:tcBorders>
              <w:top w:val="single" w:sz="12" w:space="0" w:color="auto"/>
              <w:left w:val="single" w:sz="12" w:space="0" w:color="auto"/>
              <w:bottom w:val="single" w:sz="12" w:space="0" w:color="auto"/>
              <w:right w:val="single" w:sz="12" w:space="0" w:color="auto"/>
            </w:tcBorders>
            <w:vAlign w:val="center"/>
          </w:tcPr>
          <w:p w14:paraId="604312AF" w14:textId="6ECE8F8B" w:rsidR="001844B6" w:rsidRPr="007E190E" w:rsidRDefault="007B249C" w:rsidP="005A3880">
            <w:pPr>
              <w:pStyle w:val="POAABenLow"/>
              <w:rPr>
                <w:sz w:val="20"/>
              </w:rPr>
            </w:pPr>
            <w:r>
              <w:rPr>
                <w:sz w:val="20"/>
              </w:rPr>
              <w:fldChar w:fldCharType="begin">
                <w:ffData>
                  <w:name w:val=""/>
                  <w:enabled/>
                  <w:calcOnExit w:val="0"/>
                  <w:textInput>
                    <w:default w:val="£0"/>
                    <w:maxLength w:val="14"/>
                  </w:textInput>
                </w:ffData>
              </w:fldChar>
            </w:r>
            <w:r>
              <w:rPr>
                <w:sz w:val="20"/>
              </w:rPr>
              <w:instrText xml:space="preserve"> FORMTEXT </w:instrText>
            </w:r>
            <w:r>
              <w:rPr>
                <w:sz w:val="20"/>
              </w:rPr>
            </w:r>
            <w:r>
              <w:rPr>
                <w:sz w:val="20"/>
              </w:rPr>
              <w:fldChar w:fldCharType="separate"/>
            </w:r>
            <w:r>
              <w:rPr>
                <w:noProof/>
                <w:sz w:val="20"/>
              </w:rPr>
              <w:t>£0</w:t>
            </w:r>
            <w:r>
              <w:rPr>
                <w:sz w:val="20"/>
              </w:rPr>
              <w:fldChar w:fldCharType="end"/>
            </w:r>
          </w:p>
        </w:tc>
        <w:tc>
          <w:tcPr>
            <w:tcW w:w="2636" w:type="dxa"/>
            <w:gridSpan w:val="2"/>
            <w:tcBorders>
              <w:top w:val="single" w:sz="12" w:space="0" w:color="auto"/>
              <w:left w:val="single" w:sz="12" w:space="0" w:color="auto"/>
              <w:bottom w:val="single" w:sz="12" w:space="0" w:color="auto"/>
            </w:tcBorders>
            <w:vAlign w:val="center"/>
          </w:tcPr>
          <w:p w14:paraId="0830B16C" w14:textId="3E988265" w:rsidR="001844B6" w:rsidRPr="007E190E" w:rsidRDefault="007B249C" w:rsidP="005A3880">
            <w:pPr>
              <w:pStyle w:val="POTBBenLow"/>
              <w:rPr>
                <w:sz w:val="20"/>
              </w:rPr>
            </w:pPr>
            <w:r>
              <w:rPr>
                <w:sz w:val="20"/>
              </w:rPr>
              <w:fldChar w:fldCharType="begin">
                <w:ffData>
                  <w:name w:val=""/>
                  <w:enabled/>
                  <w:calcOnExit w:val="0"/>
                  <w:textInput>
                    <w:default w:val="£0"/>
                    <w:maxLength w:val="14"/>
                  </w:textInput>
                </w:ffData>
              </w:fldChar>
            </w:r>
            <w:r>
              <w:rPr>
                <w:sz w:val="20"/>
              </w:rPr>
              <w:instrText xml:space="preserve"> FORMTEXT </w:instrText>
            </w:r>
            <w:r>
              <w:rPr>
                <w:sz w:val="20"/>
              </w:rPr>
            </w:r>
            <w:r>
              <w:rPr>
                <w:sz w:val="20"/>
              </w:rPr>
              <w:fldChar w:fldCharType="separate"/>
            </w:r>
            <w:r>
              <w:rPr>
                <w:noProof/>
                <w:sz w:val="20"/>
              </w:rPr>
              <w:t>£0</w:t>
            </w:r>
            <w:r>
              <w:rPr>
                <w:sz w:val="20"/>
              </w:rPr>
              <w:fldChar w:fldCharType="end"/>
            </w:r>
          </w:p>
        </w:tc>
      </w:tr>
      <w:tr w:rsidR="001844B6" w:rsidRPr="007E190E" w14:paraId="7EDA2791" w14:textId="77777777" w:rsidTr="6ACCA01D">
        <w:trPr>
          <w:trHeight w:hRule="exact" w:val="348"/>
        </w:trPr>
        <w:tc>
          <w:tcPr>
            <w:tcW w:w="2122" w:type="dxa"/>
            <w:tcBorders>
              <w:top w:val="single" w:sz="12" w:space="0" w:color="auto"/>
              <w:bottom w:val="single" w:sz="12" w:space="0" w:color="auto"/>
              <w:right w:val="single" w:sz="12" w:space="0" w:color="auto"/>
            </w:tcBorders>
            <w:vAlign w:val="center"/>
          </w:tcPr>
          <w:p w14:paraId="2FBDD7E9" w14:textId="77777777" w:rsidR="001844B6" w:rsidRPr="00826F71" w:rsidRDefault="001844B6" w:rsidP="005A3880">
            <w:pPr>
              <w:pStyle w:val="IATableLabel"/>
            </w:pPr>
            <w:r w:rsidRPr="00826F71">
              <w:t xml:space="preserve">High </w:t>
            </w:r>
          </w:p>
        </w:tc>
        <w:tc>
          <w:tcPr>
            <w:tcW w:w="1949" w:type="dxa"/>
            <w:tcBorders>
              <w:top w:val="single" w:sz="12" w:space="0" w:color="auto"/>
              <w:left w:val="single" w:sz="12" w:space="0" w:color="auto"/>
              <w:bottom w:val="single" w:sz="12" w:space="0" w:color="auto"/>
              <w:right w:val="single" w:sz="12" w:space="0" w:color="auto"/>
            </w:tcBorders>
            <w:vAlign w:val="center"/>
          </w:tcPr>
          <w:p w14:paraId="2110C4D0" w14:textId="5F5D5BAF" w:rsidR="001844B6" w:rsidRPr="007E190E" w:rsidRDefault="007B249C" w:rsidP="005A3880">
            <w:pPr>
              <w:pStyle w:val="POTTBenHigh"/>
              <w:rPr>
                <w:sz w:val="20"/>
              </w:rPr>
            </w:pPr>
            <w:r>
              <w:rPr>
                <w:sz w:val="20"/>
              </w:rPr>
              <w:fldChar w:fldCharType="begin">
                <w:ffData>
                  <w:name w:val=""/>
                  <w:enabled/>
                  <w:calcOnExit w:val="0"/>
                  <w:textInput>
                    <w:default w:val="£0"/>
                    <w:maxLength w:val="14"/>
                  </w:textInput>
                </w:ffData>
              </w:fldChar>
            </w:r>
            <w:r>
              <w:rPr>
                <w:sz w:val="20"/>
              </w:rPr>
              <w:instrText xml:space="preserve"> FORMTEXT </w:instrText>
            </w:r>
            <w:r>
              <w:rPr>
                <w:sz w:val="20"/>
              </w:rPr>
            </w:r>
            <w:r>
              <w:rPr>
                <w:sz w:val="20"/>
              </w:rPr>
              <w:fldChar w:fldCharType="separate"/>
            </w:r>
            <w:r>
              <w:rPr>
                <w:noProof/>
                <w:sz w:val="20"/>
              </w:rPr>
              <w:t>£0</w:t>
            </w:r>
            <w:r>
              <w:rPr>
                <w:sz w:val="20"/>
              </w:rPr>
              <w:fldChar w:fldCharType="end"/>
            </w:r>
          </w:p>
        </w:tc>
        <w:tc>
          <w:tcPr>
            <w:tcW w:w="790" w:type="dxa"/>
            <w:vMerge/>
            <w:vAlign w:val="center"/>
          </w:tcPr>
          <w:p w14:paraId="1B5B17C3" w14:textId="77777777" w:rsidR="001844B6" w:rsidRPr="007E190E" w:rsidRDefault="001844B6" w:rsidP="007E190E">
            <w:pPr>
              <w:pStyle w:val="IATableText"/>
              <w:jc w:val="right"/>
              <w:rPr>
                <w:sz w:val="20"/>
              </w:rPr>
            </w:pPr>
          </w:p>
        </w:tc>
        <w:tc>
          <w:tcPr>
            <w:tcW w:w="2865" w:type="dxa"/>
            <w:tcBorders>
              <w:top w:val="single" w:sz="12" w:space="0" w:color="auto"/>
              <w:left w:val="single" w:sz="12" w:space="0" w:color="auto"/>
              <w:bottom w:val="single" w:sz="12" w:space="0" w:color="auto"/>
              <w:right w:val="single" w:sz="12" w:space="0" w:color="auto"/>
            </w:tcBorders>
            <w:vAlign w:val="center"/>
          </w:tcPr>
          <w:p w14:paraId="10AB5029" w14:textId="1FCC1FA1" w:rsidR="001844B6" w:rsidRPr="007E190E" w:rsidRDefault="007B249C" w:rsidP="005A3880">
            <w:pPr>
              <w:pStyle w:val="POAABenHigh"/>
              <w:rPr>
                <w:sz w:val="20"/>
              </w:rPr>
            </w:pPr>
            <w:r>
              <w:rPr>
                <w:sz w:val="20"/>
              </w:rPr>
              <w:fldChar w:fldCharType="begin">
                <w:ffData>
                  <w:name w:val=""/>
                  <w:enabled/>
                  <w:calcOnExit w:val="0"/>
                  <w:textInput>
                    <w:default w:val="£0"/>
                    <w:maxLength w:val="14"/>
                  </w:textInput>
                </w:ffData>
              </w:fldChar>
            </w:r>
            <w:r>
              <w:rPr>
                <w:sz w:val="20"/>
              </w:rPr>
              <w:instrText xml:space="preserve"> FORMTEXT </w:instrText>
            </w:r>
            <w:r>
              <w:rPr>
                <w:sz w:val="20"/>
              </w:rPr>
            </w:r>
            <w:r>
              <w:rPr>
                <w:sz w:val="20"/>
              </w:rPr>
              <w:fldChar w:fldCharType="separate"/>
            </w:r>
            <w:r>
              <w:rPr>
                <w:noProof/>
                <w:sz w:val="20"/>
              </w:rPr>
              <w:t>£0</w:t>
            </w:r>
            <w:r>
              <w:rPr>
                <w:sz w:val="20"/>
              </w:rPr>
              <w:fldChar w:fldCharType="end"/>
            </w:r>
          </w:p>
        </w:tc>
        <w:tc>
          <w:tcPr>
            <w:tcW w:w="2636" w:type="dxa"/>
            <w:gridSpan w:val="2"/>
            <w:tcBorders>
              <w:top w:val="single" w:sz="12" w:space="0" w:color="auto"/>
              <w:left w:val="single" w:sz="12" w:space="0" w:color="auto"/>
              <w:bottom w:val="single" w:sz="12" w:space="0" w:color="auto"/>
            </w:tcBorders>
            <w:vAlign w:val="center"/>
          </w:tcPr>
          <w:p w14:paraId="172EF0D7" w14:textId="1F1833C0" w:rsidR="001844B6" w:rsidRPr="007E190E" w:rsidRDefault="007B249C" w:rsidP="005A3880">
            <w:pPr>
              <w:pStyle w:val="POTBBenHigh"/>
              <w:rPr>
                <w:sz w:val="20"/>
              </w:rPr>
            </w:pPr>
            <w:r>
              <w:rPr>
                <w:sz w:val="20"/>
              </w:rPr>
              <w:fldChar w:fldCharType="begin">
                <w:ffData>
                  <w:name w:val=""/>
                  <w:enabled/>
                  <w:calcOnExit w:val="0"/>
                  <w:textInput>
                    <w:default w:val="£0"/>
                    <w:maxLength w:val="14"/>
                  </w:textInput>
                </w:ffData>
              </w:fldChar>
            </w:r>
            <w:r>
              <w:rPr>
                <w:sz w:val="20"/>
              </w:rPr>
              <w:instrText xml:space="preserve"> FORMTEXT </w:instrText>
            </w:r>
            <w:r>
              <w:rPr>
                <w:sz w:val="20"/>
              </w:rPr>
            </w:r>
            <w:r>
              <w:rPr>
                <w:sz w:val="20"/>
              </w:rPr>
              <w:fldChar w:fldCharType="separate"/>
            </w:r>
            <w:r>
              <w:rPr>
                <w:noProof/>
                <w:sz w:val="20"/>
              </w:rPr>
              <w:t>£0</w:t>
            </w:r>
            <w:r>
              <w:rPr>
                <w:sz w:val="20"/>
              </w:rPr>
              <w:fldChar w:fldCharType="end"/>
            </w:r>
          </w:p>
        </w:tc>
      </w:tr>
      <w:tr w:rsidR="001844B6" w:rsidRPr="007E190E" w14:paraId="20B66F08" w14:textId="77777777" w:rsidTr="6ACCA01D">
        <w:trPr>
          <w:trHeight w:hRule="exact" w:val="348"/>
        </w:trPr>
        <w:tc>
          <w:tcPr>
            <w:tcW w:w="2122" w:type="dxa"/>
            <w:tcBorders>
              <w:top w:val="single" w:sz="12" w:space="0" w:color="auto"/>
              <w:bottom w:val="single" w:sz="12" w:space="0" w:color="auto"/>
              <w:right w:val="single" w:sz="12" w:space="0" w:color="auto"/>
            </w:tcBorders>
            <w:shd w:val="clear" w:color="auto" w:fill="FFFFFF" w:themeFill="background1"/>
            <w:vAlign w:val="center"/>
          </w:tcPr>
          <w:p w14:paraId="122CE01D" w14:textId="77777777" w:rsidR="001844B6" w:rsidRPr="00826F71" w:rsidRDefault="001844B6" w:rsidP="005A3880">
            <w:pPr>
              <w:pStyle w:val="IATableLabel"/>
            </w:pPr>
            <w:r w:rsidRPr="00826F71">
              <w:t xml:space="preserve">Best </w:t>
            </w:r>
            <w:r>
              <w:t>E</w:t>
            </w:r>
            <w:r w:rsidRPr="00826F71">
              <w:t>stimate</w:t>
            </w:r>
          </w:p>
          <w:p w14:paraId="5E9E6484" w14:textId="77777777" w:rsidR="001844B6" w:rsidRPr="007E190E" w:rsidRDefault="001844B6" w:rsidP="007E190E">
            <w:pPr>
              <w:pStyle w:val="IATableNotes"/>
              <w:spacing w:beforeLines="40" w:before="96"/>
              <w:ind w:left="0" w:right="-22"/>
              <w:jc w:val="center"/>
              <w:rPr>
                <w:rFonts w:cs="Arial"/>
                <w:b/>
                <w:sz w:val="20"/>
              </w:rPr>
            </w:pPr>
          </w:p>
        </w:tc>
        <w:tc>
          <w:tcPr>
            <w:tcW w:w="1949"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7D830DB1" w14:textId="0F94D981" w:rsidR="001844B6" w:rsidRPr="007E190E" w:rsidRDefault="00244147" w:rsidP="005A3880">
            <w:pPr>
              <w:pStyle w:val="POTTBenBest"/>
              <w:rPr>
                <w:sz w:val="20"/>
              </w:rPr>
            </w:pPr>
            <w:r>
              <w:rPr>
                <w:sz w:val="20"/>
              </w:rPr>
              <w:fldChar w:fldCharType="begin">
                <w:ffData>
                  <w:name w:val=""/>
                  <w:enabled/>
                  <w:calcOnExit w:val="0"/>
                  <w:textInput>
                    <w:default w:val="£0"/>
                    <w:maxLength w:val="14"/>
                  </w:textInput>
                </w:ffData>
              </w:fldChar>
            </w:r>
            <w:r>
              <w:rPr>
                <w:sz w:val="20"/>
              </w:rPr>
              <w:instrText xml:space="preserve"> FORMTEXT </w:instrText>
            </w:r>
            <w:r>
              <w:rPr>
                <w:sz w:val="20"/>
              </w:rPr>
            </w:r>
            <w:r>
              <w:rPr>
                <w:sz w:val="20"/>
              </w:rPr>
              <w:fldChar w:fldCharType="separate"/>
            </w:r>
            <w:r>
              <w:rPr>
                <w:noProof/>
                <w:sz w:val="20"/>
              </w:rPr>
              <w:t>£0</w:t>
            </w:r>
            <w:r>
              <w:rPr>
                <w:sz w:val="20"/>
              </w:rPr>
              <w:fldChar w:fldCharType="end"/>
            </w:r>
          </w:p>
        </w:tc>
        <w:tc>
          <w:tcPr>
            <w:tcW w:w="790" w:type="dxa"/>
            <w:vMerge/>
            <w:vAlign w:val="center"/>
          </w:tcPr>
          <w:p w14:paraId="27B1352A" w14:textId="77777777" w:rsidR="001844B6" w:rsidRPr="007E190E" w:rsidRDefault="001844B6" w:rsidP="007E190E">
            <w:pPr>
              <w:pStyle w:val="IATableText"/>
              <w:jc w:val="right"/>
              <w:rPr>
                <w:sz w:val="20"/>
              </w:rPr>
            </w:pPr>
          </w:p>
        </w:tc>
        <w:tc>
          <w:tcPr>
            <w:tcW w:w="2865"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54515B75" w14:textId="60CD6DE1" w:rsidR="001844B6" w:rsidRPr="007E190E" w:rsidRDefault="00244147" w:rsidP="005A3880">
            <w:pPr>
              <w:pStyle w:val="POAABenBest"/>
              <w:rPr>
                <w:sz w:val="20"/>
              </w:rPr>
            </w:pPr>
            <w:r>
              <w:rPr>
                <w:sz w:val="20"/>
              </w:rPr>
              <w:fldChar w:fldCharType="begin">
                <w:ffData>
                  <w:name w:val=""/>
                  <w:enabled/>
                  <w:calcOnExit w:val="0"/>
                  <w:textInput>
                    <w:default w:val="£0"/>
                    <w:maxLength w:val="14"/>
                  </w:textInput>
                </w:ffData>
              </w:fldChar>
            </w:r>
            <w:r>
              <w:rPr>
                <w:sz w:val="20"/>
              </w:rPr>
              <w:instrText xml:space="preserve"> FORMTEXT </w:instrText>
            </w:r>
            <w:r>
              <w:rPr>
                <w:sz w:val="20"/>
              </w:rPr>
            </w:r>
            <w:r>
              <w:rPr>
                <w:sz w:val="20"/>
              </w:rPr>
              <w:fldChar w:fldCharType="separate"/>
            </w:r>
            <w:r>
              <w:rPr>
                <w:noProof/>
                <w:sz w:val="20"/>
              </w:rPr>
              <w:t>£0</w:t>
            </w:r>
            <w:r>
              <w:rPr>
                <w:sz w:val="20"/>
              </w:rPr>
              <w:fldChar w:fldCharType="end"/>
            </w:r>
          </w:p>
        </w:tc>
        <w:tc>
          <w:tcPr>
            <w:tcW w:w="2636" w:type="dxa"/>
            <w:gridSpan w:val="2"/>
            <w:tcBorders>
              <w:top w:val="single" w:sz="12" w:space="0" w:color="auto"/>
              <w:left w:val="single" w:sz="12" w:space="0" w:color="auto"/>
              <w:bottom w:val="single" w:sz="12" w:space="0" w:color="auto"/>
            </w:tcBorders>
            <w:shd w:val="clear" w:color="auto" w:fill="FFFFFF" w:themeFill="background1"/>
            <w:vAlign w:val="center"/>
          </w:tcPr>
          <w:p w14:paraId="502E711E" w14:textId="36F00369" w:rsidR="001844B6" w:rsidRPr="007E190E" w:rsidRDefault="00244147" w:rsidP="005A3880">
            <w:pPr>
              <w:pStyle w:val="POTBBenBest"/>
              <w:rPr>
                <w:sz w:val="20"/>
              </w:rPr>
            </w:pPr>
            <w:r>
              <w:rPr>
                <w:sz w:val="20"/>
              </w:rPr>
              <w:fldChar w:fldCharType="begin">
                <w:ffData>
                  <w:name w:val=""/>
                  <w:enabled/>
                  <w:calcOnExit w:val="0"/>
                  <w:textInput>
                    <w:default w:val="£0"/>
                    <w:maxLength w:val="14"/>
                  </w:textInput>
                </w:ffData>
              </w:fldChar>
            </w:r>
            <w:r>
              <w:rPr>
                <w:sz w:val="20"/>
              </w:rPr>
              <w:instrText xml:space="preserve"> FORMTEXT </w:instrText>
            </w:r>
            <w:r>
              <w:rPr>
                <w:sz w:val="20"/>
              </w:rPr>
            </w:r>
            <w:r>
              <w:rPr>
                <w:sz w:val="20"/>
              </w:rPr>
              <w:fldChar w:fldCharType="separate"/>
            </w:r>
            <w:r>
              <w:rPr>
                <w:noProof/>
                <w:sz w:val="20"/>
              </w:rPr>
              <w:t>£0</w:t>
            </w:r>
            <w:r>
              <w:rPr>
                <w:sz w:val="20"/>
              </w:rPr>
              <w:fldChar w:fldCharType="end"/>
            </w:r>
          </w:p>
        </w:tc>
      </w:tr>
      <w:tr w:rsidR="001844B6" w:rsidRPr="00826F71" w14:paraId="48F6B96F" w14:textId="77777777" w:rsidTr="6ACCA01D">
        <w:trPr>
          <w:trHeight w:hRule="exact" w:val="1701"/>
        </w:trPr>
        <w:tc>
          <w:tcPr>
            <w:tcW w:w="10362" w:type="dxa"/>
            <w:gridSpan w:val="6"/>
            <w:tcBorders>
              <w:bottom w:val="single" w:sz="12" w:space="0" w:color="auto"/>
            </w:tcBorders>
          </w:tcPr>
          <w:p w14:paraId="11CE454C" w14:textId="77777777" w:rsidR="001844B6" w:rsidRPr="007E190E" w:rsidRDefault="001844B6" w:rsidP="005A3880">
            <w:pPr>
              <w:pStyle w:val="IPPOQ3"/>
              <w:rPr>
                <w:szCs w:val="22"/>
              </w:rPr>
            </w:pPr>
            <w:r w:rsidRPr="00544292">
              <w:t xml:space="preserve">Description and scale of </w:t>
            </w:r>
            <w:r w:rsidRPr="00826F71">
              <w:t xml:space="preserve">key monetised </w:t>
            </w:r>
            <w:r>
              <w:t>benefits</w:t>
            </w:r>
            <w:r w:rsidRPr="00544292">
              <w:t xml:space="preserve"> by ‘main affected groups’ </w:t>
            </w:r>
          </w:p>
          <w:p w14:paraId="314541B6" w14:textId="7A5FC9F0" w:rsidR="001844B6" w:rsidRPr="00826F71" w:rsidRDefault="00567DF7" w:rsidP="00567DF7">
            <w:pPr>
              <w:pStyle w:val="IAPOA3"/>
            </w:pPr>
            <w:r>
              <w:t xml:space="preserve">The setting of the credit limit will not itself lead to any benefits to </w:t>
            </w:r>
            <w:r w:rsidR="0043755D">
              <w:t>g</w:t>
            </w:r>
            <w:r>
              <w:t xml:space="preserve">overnment, business or consumers. </w:t>
            </w:r>
            <w:r w:rsidR="00EB6C2D">
              <w:t>O</w:t>
            </w:r>
            <w:r>
              <w:t xml:space="preserve">ption </w:t>
            </w:r>
            <w:r w:rsidR="00EB6C2D">
              <w:t xml:space="preserve">1 </w:t>
            </w:r>
            <w:r>
              <w:t xml:space="preserve">does not allow the purchase of credits to help meet the </w:t>
            </w:r>
            <w:r w:rsidR="00DE3D5C">
              <w:t xml:space="preserve">fourth </w:t>
            </w:r>
            <w:r>
              <w:t>carbon budget, so no benefits of</w:t>
            </w:r>
            <w:r w:rsidR="7D713CD2">
              <w:t xml:space="preserve"> </w:t>
            </w:r>
            <w:r>
              <w:t>purchasing credits would arise.</w:t>
            </w:r>
          </w:p>
        </w:tc>
      </w:tr>
      <w:tr w:rsidR="001844B6" w:rsidRPr="00826F71" w14:paraId="258A9ADB" w14:textId="77777777" w:rsidTr="6ACCA01D">
        <w:trPr>
          <w:trHeight w:hRule="exact" w:val="1701"/>
        </w:trPr>
        <w:tc>
          <w:tcPr>
            <w:tcW w:w="10362" w:type="dxa"/>
            <w:gridSpan w:val="6"/>
            <w:tcBorders>
              <w:top w:val="single" w:sz="12" w:space="0" w:color="auto"/>
            </w:tcBorders>
          </w:tcPr>
          <w:p w14:paraId="3C34BAC1" w14:textId="77777777" w:rsidR="001844B6" w:rsidRPr="007E190E" w:rsidRDefault="001844B6" w:rsidP="005A3880">
            <w:pPr>
              <w:pStyle w:val="IAPOQ4"/>
              <w:rPr>
                <w:szCs w:val="22"/>
              </w:rPr>
            </w:pPr>
            <w:r w:rsidRPr="00544292">
              <w:t>Other</w:t>
            </w:r>
            <w:r w:rsidRPr="00826F71">
              <w:t xml:space="preserve"> key non-monetised </w:t>
            </w:r>
            <w:r>
              <w:t>benefits</w:t>
            </w:r>
            <w:r w:rsidRPr="00544292">
              <w:t xml:space="preserve"> by ‘main affected groups’ </w:t>
            </w:r>
          </w:p>
          <w:p w14:paraId="4DED5960" w14:textId="47D3036F" w:rsidR="001844B6" w:rsidRPr="00826F71" w:rsidRDefault="006F7BD1" w:rsidP="006F7BD1">
            <w:pPr>
              <w:pStyle w:val="IAPOA4"/>
            </w:pPr>
            <w:r>
              <w:t xml:space="preserve">A credit limit of 0 MtCO2e would provide investors with a clearer signal that the </w:t>
            </w:r>
            <w:r w:rsidR="0043755D">
              <w:t>g</w:t>
            </w:r>
            <w:r>
              <w:t>overnment will deliver</w:t>
            </w:r>
            <w:r w:rsidR="53B455BC">
              <w:t xml:space="preserve"> </w:t>
            </w:r>
            <w:r>
              <w:t>emissions reductions through domestic measures. This could reduce perceived short-term policy risk to</w:t>
            </w:r>
            <w:r w:rsidR="71E8249B">
              <w:t xml:space="preserve"> </w:t>
            </w:r>
            <w:r>
              <w:t>investments in low-carbon infrastructure and supply chains in the UK.</w:t>
            </w:r>
          </w:p>
        </w:tc>
      </w:tr>
      <w:tr w:rsidR="001844B6" w:rsidRPr="00826F71" w14:paraId="6A1C8944" w14:textId="77777777" w:rsidTr="6ACCA01D">
        <w:trPr>
          <w:trHeight w:hRule="exact" w:val="346"/>
        </w:trPr>
        <w:tc>
          <w:tcPr>
            <w:tcW w:w="9502" w:type="dxa"/>
            <w:gridSpan w:val="5"/>
            <w:tcBorders>
              <w:top w:val="single" w:sz="12" w:space="0" w:color="auto"/>
              <w:bottom w:val="single" w:sz="12" w:space="0" w:color="auto"/>
              <w:right w:val="single" w:sz="12" w:space="0" w:color="auto"/>
            </w:tcBorders>
          </w:tcPr>
          <w:p w14:paraId="51639B60" w14:textId="77777777" w:rsidR="001844B6" w:rsidRDefault="001844B6" w:rsidP="007E190E">
            <w:pPr>
              <w:pStyle w:val="IATableLabel"/>
              <w:tabs>
                <w:tab w:val="left" w:pos="7655"/>
              </w:tabs>
            </w:pPr>
            <w:r w:rsidRPr="00F1653E">
              <w:rPr>
                <w:rStyle w:val="IAPOQ5Char"/>
                <w:b/>
              </w:rPr>
              <w:t>Key assumptions/sensitivities/risks</w:t>
            </w:r>
            <w:r>
              <w:tab/>
              <w:t>Discount rate (%)</w:t>
            </w:r>
          </w:p>
          <w:p w14:paraId="754C8737" w14:textId="77777777" w:rsidR="001844B6" w:rsidRPr="00455895" w:rsidRDefault="001844B6" w:rsidP="005A3880">
            <w:pPr>
              <w:pStyle w:val="IATableLabel"/>
            </w:pPr>
          </w:p>
        </w:tc>
        <w:tc>
          <w:tcPr>
            <w:tcW w:w="860" w:type="dxa"/>
            <w:tcBorders>
              <w:top w:val="single" w:sz="12" w:space="0" w:color="auto"/>
              <w:left w:val="single" w:sz="12" w:space="0" w:color="auto"/>
              <w:bottom w:val="single" w:sz="12" w:space="0" w:color="auto"/>
            </w:tcBorders>
          </w:tcPr>
          <w:p w14:paraId="13EC44EA" w14:textId="4F0C0A0E" w:rsidR="001844B6" w:rsidRPr="007E6CF8" w:rsidRDefault="004D3FE4" w:rsidP="005A3880">
            <w:pPr>
              <w:pStyle w:val="IAPODisRate"/>
            </w:pPr>
            <w:r>
              <w:fldChar w:fldCharType="begin">
                <w:ffData>
                  <w:name w:val=""/>
                  <w:enabled/>
                  <w:calcOnExit w:val="0"/>
                  <w:textInput>
                    <w:default w:val="3.5%"/>
                    <w:maxLength w:val="5"/>
                  </w:textInput>
                </w:ffData>
              </w:fldChar>
            </w:r>
            <w:r>
              <w:instrText xml:space="preserve"> FORMTEXT </w:instrText>
            </w:r>
            <w:r>
              <w:fldChar w:fldCharType="separate"/>
            </w:r>
            <w:r>
              <w:rPr>
                <w:noProof/>
              </w:rPr>
              <w:t>3.5%</w:t>
            </w:r>
            <w:r>
              <w:fldChar w:fldCharType="end"/>
            </w:r>
          </w:p>
        </w:tc>
      </w:tr>
      <w:tr w:rsidR="001844B6" w:rsidRPr="007E190E" w14:paraId="794359BD" w14:textId="77777777" w:rsidTr="6ACCA01D">
        <w:trPr>
          <w:trHeight w:hRule="exact" w:val="1375"/>
        </w:trPr>
        <w:tc>
          <w:tcPr>
            <w:tcW w:w="10362" w:type="dxa"/>
            <w:gridSpan w:val="6"/>
            <w:tcBorders>
              <w:top w:val="nil"/>
              <w:bottom w:val="single" w:sz="12" w:space="0" w:color="auto"/>
            </w:tcBorders>
          </w:tcPr>
          <w:p w14:paraId="63CAE1BF" w14:textId="1B81AD44" w:rsidR="001844B6" w:rsidRPr="00544292" w:rsidRDefault="002F38B7" w:rsidP="00880BF1">
            <w:pPr>
              <w:pStyle w:val="IAPOA5"/>
            </w:pPr>
            <w:r>
              <w:t>Based on central projections the fourth carbon budget is likely to be achieved through planned and known government policy</w:t>
            </w:r>
            <w:r w:rsidR="006F7BD1">
              <w:t>. However, it’s possible that a substantial change to the methodology underpinning</w:t>
            </w:r>
            <w:r w:rsidR="1AFAEB7E">
              <w:t xml:space="preserve"> </w:t>
            </w:r>
            <w:r w:rsidR="006F7BD1">
              <w:t xml:space="preserve">the emissions inventory over the period </w:t>
            </w:r>
            <w:r w:rsidR="002D606F">
              <w:t>2023</w:t>
            </w:r>
            <w:r w:rsidR="006F7BD1">
              <w:t xml:space="preserve"> to 202</w:t>
            </w:r>
            <w:r w:rsidR="002D606F">
              <w:t>7</w:t>
            </w:r>
            <w:r w:rsidR="006F7BD1">
              <w:t>, combined with unexpectedly high emissions relative</w:t>
            </w:r>
            <w:r w:rsidR="57642B41">
              <w:t xml:space="preserve"> </w:t>
            </w:r>
            <w:r w:rsidR="006F7BD1">
              <w:t xml:space="preserve">to current projections, could still lead to emissions being higher than the level of the </w:t>
            </w:r>
            <w:r w:rsidR="002D606F">
              <w:t>fourth</w:t>
            </w:r>
            <w:r w:rsidR="006F7BD1">
              <w:t xml:space="preserve"> carbon</w:t>
            </w:r>
            <w:r w:rsidR="6F0F249B">
              <w:t xml:space="preserve"> </w:t>
            </w:r>
            <w:r w:rsidR="006F7BD1">
              <w:t xml:space="preserve">budget. The cost and benefits of this option in this hypothetical scenario are presented in </w:t>
            </w:r>
            <w:r w:rsidR="00880BF1">
              <w:t>section 6.</w:t>
            </w:r>
          </w:p>
        </w:tc>
      </w:tr>
    </w:tbl>
    <w:p w14:paraId="27D6A372" w14:textId="77777777" w:rsidR="001844B6" w:rsidRDefault="001844B6" w:rsidP="005A3880">
      <w:pPr>
        <w:pStyle w:val="IASpacer"/>
      </w:pPr>
    </w:p>
    <w:p w14:paraId="2A963596" w14:textId="0C738676" w:rsidR="0005543F" w:rsidRDefault="0005543F" w:rsidP="005A3880">
      <w:pPr>
        <w:pStyle w:val="IAHeadLabel"/>
        <w:spacing w:before="50"/>
      </w:pPr>
    </w:p>
    <w:p w14:paraId="70490296" w14:textId="2AAA773C" w:rsidR="001844B6" w:rsidRDefault="00F63895" w:rsidP="005A3880">
      <w:pPr>
        <w:pStyle w:val="IAHeadLabel"/>
        <w:spacing w:before="50"/>
      </w:pPr>
      <w:r>
        <w:t xml:space="preserve">BUSINESS </w:t>
      </w:r>
      <w:r w:rsidR="001844B6">
        <w:t xml:space="preserve">ASSESSMENT (Option </w:t>
      </w:r>
      <w:r w:rsidR="001E69A2">
        <w:rPr>
          <w:noProof/>
        </w:rPr>
        <w:fldChar w:fldCharType="begin"/>
      </w:r>
      <w:r w:rsidR="001E69A2">
        <w:rPr>
          <w:noProof/>
        </w:rPr>
        <w:instrText xml:space="preserve"> SEQ BA </w:instrText>
      </w:r>
      <w:r w:rsidR="001E69A2">
        <w:rPr>
          <w:noProof/>
        </w:rPr>
        <w:fldChar w:fldCharType="separate"/>
      </w:r>
      <w:r w:rsidR="00085D64">
        <w:rPr>
          <w:noProof/>
        </w:rPr>
        <w:t>1</w:t>
      </w:r>
      <w:r w:rsidR="001E69A2">
        <w:rPr>
          <w:noProof/>
        </w:rPr>
        <w:fldChar w:fldCharType="end"/>
      </w:r>
      <w:r w:rsidR="001844B6">
        <w:t>)</w:t>
      </w:r>
    </w:p>
    <w:tbl>
      <w:tblPr>
        <w:tblW w:w="5067" w:type="pct"/>
        <w:tblInd w:w="-137"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1E0" w:firstRow="1" w:lastRow="1" w:firstColumn="1" w:lastColumn="1" w:noHBand="0" w:noVBand="0"/>
      </w:tblPr>
      <w:tblGrid>
        <w:gridCol w:w="1977"/>
        <w:gridCol w:w="1836"/>
        <w:gridCol w:w="1694"/>
        <w:gridCol w:w="4804"/>
      </w:tblGrid>
      <w:tr w:rsidR="00FD4195" w:rsidRPr="000E02BE" w14:paraId="1F316219" w14:textId="77777777" w:rsidTr="00D64409">
        <w:trPr>
          <w:trHeight w:hRule="exact" w:val="384"/>
        </w:trPr>
        <w:tc>
          <w:tcPr>
            <w:tcW w:w="5529" w:type="dxa"/>
            <w:gridSpan w:val="3"/>
            <w:tcBorders>
              <w:top w:val="single" w:sz="12" w:space="0" w:color="auto"/>
              <w:left w:val="single" w:sz="12" w:space="0" w:color="auto"/>
              <w:bottom w:val="nil"/>
              <w:right w:val="single" w:sz="12" w:space="0" w:color="auto"/>
            </w:tcBorders>
          </w:tcPr>
          <w:p w14:paraId="3BF51AD8" w14:textId="77777777" w:rsidR="00FD4195" w:rsidRPr="000E02BE" w:rsidRDefault="00FD4195" w:rsidP="005A3880">
            <w:pPr>
              <w:pStyle w:val="IATableLabel"/>
            </w:pPr>
            <w:r w:rsidRPr="000E02BE">
              <w:t xml:space="preserve">Direct impact on </w:t>
            </w:r>
            <w:r>
              <w:t>business (Equivalent Annual) £m</w:t>
            </w:r>
            <w:r w:rsidRPr="000E02BE">
              <w:t xml:space="preserve">: </w:t>
            </w:r>
          </w:p>
        </w:tc>
        <w:tc>
          <w:tcPr>
            <w:tcW w:w="4823" w:type="dxa"/>
            <w:vMerge w:val="restart"/>
            <w:tcBorders>
              <w:top w:val="single" w:sz="12" w:space="0" w:color="auto"/>
              <w:left w:val="single" w:sz="12" w:space="0" w:color="auto"/>
              <w:right w:val="single" w:sz="12" w:space="0" w:color="auto"/>
            </w:tcBorders>
          </w:tcPr>
          <w:p w14:paraId="4513AF1A" w14:textId="77777777" w:rsidR="00FD4195" w:rsidRPr="000E02BE" w:rsidRDefault="00FD4195" w:rsidP="00C96388">
            <w:pPr>
              <w:pStyle w:val="IATableLabel"/>
            </w:pPr>
            <w:r>
              <w:t>Score for Business Impact Target (qualifying provisions only)</w:t>
            </w:r>
            <w:r w:rsidR="00C96388">
              <w:t xml:space="preserve"> £m:</w:t>
            </w:r>
          </w:p>
        </w:tc>
      </w:tr>
      <w:tr w:rsidR="00FD4195" w:rsidRPr="00E75380" w14:paraId="195CC3CB" w14:textId="77777777" w:rsidTr="00D64409">
        <w:trPr>
          <w:trHeight w:hRule="exact" w:val="340"/>
        </w:trPr>
        <w:tc>
          <w:tcPr>
            <w:tcW w:w="1985" w:type="dxa"/>
            <w:vMerge w:val="restart"/>
            <w:tcBorders>
              <w:top w:val="single" w:sz="12" w:space="0" w:color="auto"/>
              <w:left w:val="single" w:sz="12" w:space="0" w:color="auto"/>
              <w:right w:val="single" w:sz="12" w:space="0" w:color="auto"/>
            </w:tcBorders>
            <w:shd w:val="clear" w:color="auto" w:fill="FFFFFF"/>
          </w:tcPr>
          <w:p w14:paraId="448D10E7" w14:textId="71FA44D1" w:rsidR="00FD4195" w:rsidRPr="00F63895" w:rsidRDefault="00FD4195" w:rsidP="005A3880">
            <w:pPr>
              <w:pStyle w:val="IATableLabel"/>
            </w:pPr>
            <w:r w:rsidRPr="00F63895">
              <w:t xml:space="preserve">Costs: </w:t>
            </w:r>
            <w:r w:rsidR="0085056C">
              <w:rPr>
                <w:rStyle w:val="IAPODICostChar"/>
                <w:b/>
                <w:sz w:val="20"/>
              </w:rPr>
              <w:fldChar w:fldCharType="begin">
                <w:ffData>
                  <w:name w:val="Text67"/>
                  <w:enabled/>
                  <w:calcOnExit w:val="0"/>
                  <w:textInput>
                    <w:default w:val="£0"/>
                    <w:maxLength w:val="9"/>
                  </w:textInput>
                </w:ffData>
              </w:fldChar>
            </w:r>
            <w:bookmarkStart w:id="46" w:name="Text67"/>
            <w:r w:rsidR="0085056C">
              <w:rPr>
                <w:rStyle w:val="IAPODICostChar"/>
                <w:b/>
                <w:sz w:val="20"/>
              </w:rPr>
              <w:instrText xml:space="preserve"> FORMTEXT </w:instrText>
            </w:r>
            <w:r w:rsidR="0085056C">
              <w:rPr>
                <w:rStyle w:val="IAPODICostChar"/>
                <w:b/>
                <w:sz w:val="20"/>
              </w:rPr>
            </w:r>
            <w:r w:rsidR="0085056C">
              <w:rPr>
                <w:rStyle w:val="IAPODICostChar"/>
                <w:b/>
                <w:sz w:val="20"/>
              </w:rPr>
              <w:fldChar w:fldCharType="separate"/>
            </w:r>
            <w:r w:rsidR="0085056C">
              <w:rPr>
                <w:rStyle w:val="IAPODICostChar"/>
                <w:b/>
                <w:noProof/>
                <w:sz w:val="20"/>
              </w:rPr>
              <w:t>£0</w:t>
            </w:r>
            <w:r w:rsidR="0085056C">
              <w:rPr>
                <w:rStyle w:val="IAPODICostChar"/>
                <w:b/>
                <w:sz w:val="20"/>
              </w:rPr>
              <w:fldChar w:fldCharType="end"/>
            </w:r>
            <w:bookmarkEnd w:id="46"/>
          </w:p>
        </w:tc>
        <w:tc>
          <w:tcPr>
            <w:tcW w:w="1843" w:type="dxa"/>
            <w:vMerge w:val="restart"/>
            <w:tcBorders>
              <w:top w:val="single" w:sz="12" w:space="0" w:color="auto"/>
              <w:left w:val="single" w:sz="12" w:space="0" w:color="auto"/>
              <w:right w:val="single" w:sz="12" w:space="0" w:color="auto"/>
            </w:tcBorders>
            <w:shd w:val="clear" w:color="auto" w:fill="FFFFFF"/>
          </w:tcPr>
          <w:p w14:paraId="72CE541E" w14:textId="221AAE80" w:rsidR="00FD4195" w:rsidRPr="00F63895" w:rsidRDefault="00FD4195" w:rsidP="005A3880">
            <w:pPr>
              <w:pStyle w:val="IATableLabel"/>
            </w:pPr>
            <w:r w:rsidRPr="00F63895">
              <w:t xml:space="preserve">Benefits: </w:t>
            </w:r>
            <w:r w:rsidR="0085056C">
              <w:rPr>
                <w:rStyle w:val="IAPODIBenChar"/>
                <w:sz w:val="20"/>
              </w:rPr>
              <w:fldChar w:fldCharType="begin">
                <w:ffData>
                  <w:name w:val="Text68"/>
                  <w:enabled/>
                  <w:calcOnExit w:val="0"/>
                  <w:textInput>
                    <w:default w:val="£0"/>
                    <w:maxLength w:val="9"/>
                  </w:textInput>
                </w:ffData>
              </w:fldChar>
            </w:r>
            <w:bookmarkStart w:id="47" w:name="Text68"/>
            <w:r w:rsidR="0085056C">
              <w:rPr>
                <w:rStyle w:val="IAPODIBenChar"/>
                <w:sz w:val="20"/>
              </w:rPr>
              <w:instrText xml:space="preserve"> FORMTEXT </w:instrText>
            </w:r>
            <w:r w:rsidR="0085056C">
              <w:rPr>
                <w:rStyle w:val="IAPODIBenChar"/>
                <w:sz w:val="20"/>
              </w:rPr>
            </w:r>
            <w:r w:rsidR="0085056C">
              <w:rPr>
                <w:rStyle w:val="IAPODIBenChar"/>
                <w:sz w:val="20"/>
              </w:rPr>
              <w:fldChar w:fldCharType="separate"/>
            </w:r>
            <w:r w:rsidR="0085056C">
              <w:rPr>
                <w:rStyle w:val="IAPODIBenChar"/>
                <w:noProof/>
                <w:sz w:val="20"/>
              </w:rPr>
              <w:t>£0</w:t>
            </w:r>
            <w:r w:rsidR="0085056C">
              <w:rPr>
                <w:rStyle w:val="IAPODIBenChar"/>
                <w:sz w:val="20"/>
              </w:rPr>
              <w:fldChar w:fldCharType="end"/>
            </w:r>
            <w:bookmarkEnd w:id="47"/>
          </w:p>
        </w:tc>
        <w:tc>
          <w:tcPr>
            <w:tcW w:w="1701" w:type="dxa"/>
            <w:vMerge w:val="restart"/>
            <w:tcBorders>
              <w:top w:val="single" w:sz="12" w:space="0" w:color="auto"/>
              <w:left w:val="single" w:sz="12" w:space="0" w:color="auto"/>
              <w:right w:val="single" w:sz="12" w:space="0" w:color="auto"/>
            </w:tcBorders>
            <w:shd w:val="clear" w:color="auto" w:fill="FFFFFF"/>
          </w:tcPr>
          <w:p w14:paraId="707DF9CF" w14:textId="0B19B249" w:rsidR="00FD4195" w:rsidRPr="00F63895" w:rsidRDefault="00FD4195" w:rsidP="005A3880">
            <w:pPr>
              <w:pStyle w:val="IATableLabel"/>
            </w:pPr>
            <w:r w:rsidRPr="00F63895">
              <w:t xml:space="preserve">Net: </w:t>
            </w:r>
            <w:r w:rsidR="0085056C">
              <w:rPr>
                <w:rStyle w:val="IAPODINetChar"/>
                <w:sz w:val="20"/>
              </w:rPr>
              <w:fldChar w:fldCharType="begin">
                <w:ffData>
                  <w:name w:val="Text69"/>
                  <w:enabled/>
                  <w:calcOnExit w:val="0"/>
                  <w:textInput>
                    <w:default w:val="£0"/>
                    <w:maxLength w:val="9"/>
                  </w:textInput>
                </w:ffData>
              </w:fldChar>
            </w:r>
            <w:bookmarkStart w:id="48" w:name="Text69"/>
            <w:r w:rsidR="0085056C">
              <w:rPr>
                <w:rStyle w:val="IAPODINetChar"/>
                <w:sz w:val="20"/>
              </w:rPr>
              <w:instrText xml:space="preserve"> FORMTEXT </w:instrText>
            </w:r>
            <w:r w:rsidR="0085056C">
              <w:rPr>
                <w:rStyle w:val="IAPODINetChar"/>
                <w:sz w:val="20"/>
              </w:rPr>
            </w:r>
            <w:r w:rsidR="0085056C">
              <w:rPr>
                <w:rStyle w:val="IAPODINetChar"/>
                <w:sz w:val="20"/>
              </w:rPr>
              <w:fldChar w:fldCharType="separate"/>
            </w:r>
            <w:r w:rsidR="0085056C">
              <w:rPr>
                <w:rStyle w:val="IAPODINetChar"/>
                <w:noProof/>
                <w:sz w:val="20"/>
              </w:rPr>
              <w:t>£0</w:t>
            </w:r>
            <w:r w:rsidR="0085056C">
              <w:rPr>
                <w:rStyle w:val="IAPODINetChar"/>
                <w:sz w:val="20"/>
              </w:rPr>
              <w:fldChar w:fldCharType="end"/>
            </w:r>
            <w:bookmarkEnd w:id="48"/>
          </w:p>
        </w:tc>
        <w:tc>
          <w:tcPr>
            <w:tcW w:w="4823" w:type="dxa"/>
            <w:vMerge/>
            <w:tcBorders>
              <w:left w:val="single" w:sz="12" w:space="0" w:color="auto"/>
              <w:bottom w:val="single" w:sz="12" w:space="0" w:color="auto"/>
              <w:right w:val="single" w:sz="12" w:space="0" w:color="auto"/>
            </w:tcBorders>
            <w:shd w:val="clear" w:color="auto" w:fill="FFFFFF"/>
          </w:tcPr>
          <w:p w14:paraId="2BE55E3B" w14:textId="77777777" w:rsidR="00FD4195" w:rsidRPr="00F63895" w:rsidRDefault="00FD4195" w:rsidP="005A3880">
            <w:pPr>
              <w:pStyle w:val="IAPODIMQ"/>
            </w:pPr>
          </w:p>
        </w:tc>
      </w:tr>
      <w:tr w:rsidR="00FD4195" w:rsidRPr="00E75380" w14:paraId="161EB523" w14:textId="77777777" w:rsidTr="00D64409">
        <w:trPr>
          <w:trHeight w:hRule="exact" w:val="340"/>
        </w:trPr>
        <w:tc>
          <w:tcPr>
            <w:tcW w:w="1985" w:type="dxa"/>
            <w:vMerge/>
            <w:tcBorders>
              <w:left w:val="single" w:sz="12" w:space="0" w:color="auto"/>
              <w:bottom w:val="single" w:sz="12" w:space="0" w:color="auto"/>
              <w:right w:val="single" w:sz="12" w:space="0" w:color="auto"/>
            </w:tcBorders>
            <w:shd w:val="clear" w:color="auto" w:fill="FFFFFF"/>
          </w:tcPr>
          <w:p w14:paraId="16D00BBB" w14:textId="77777777" w:rsidR="00FD4195" w:rsidRPr="00F63895" w:rsidRDefault="00FD4195" w:rsidP="005A3880">
            <w:pPr>
              <w:pStyle w:val="IATableLabel"/>
            </w:pPr>
          </w:p>
        </w:tc>
        <w:tc>
          <w:tcPr>
            <w:tcW w:w="1843" w:type="dxa"/>
            <w:vMerge/>
            <w:tcBorders>
              <w:left w:val="single" w:sz="12" w:space="0" w:color="auto"/>
              <w:bottom w:val="single" w:sz="12" w:space="0" w:color="auto"/>
              <w:right w:val="single" w:sz="12" w:space="0" w:color="auto"/>
            </w:tcBorders>
            <w:shd w:val="clear" w:color="auto" w:fill="FFFFFF"/>
          </w:tcPr>
          <w:p w14:paraId="465EB543" w14:textId="77777777" w:rsidR="00FD4195" w:rsidRPr="00F63895" w:rsidRDefault="00FD4195" w:rsidP="005A3880">
            <w:pPr>
              <w:pStyle w:val="IATableLabel"/>
            </w:pPr>
          </w:p>
        </w:tc>
        <w:tc>
          <w:tcPr>
            <w:tcW w:w="1701" w:type="dxa"/>
            <w:vMerge/>
            <w:tcBorders>
              <w:left w:val="single" w:sz="12" w:space="0" w:color="auto"/>
              <w:bottom w:val="single" w:sz="12" w:space="0" w:color="auto"/>
              <w:right w:val="single" w:sz="12" w:space="0" w:color="auto"/>
            </w:tcBorders>
            <w:shd w:val="clear" w:color="auto" w:fill="FFFFFF"/>
          </w:tcPr>
          <w:p w14:paraId="3A5CAB40" w14:textId="77777777" w:rsidR="00FD4195" w:rsidRPr="00F63895" w:rsidRDefault="00FD4195" w:rsidP="005A3880">
            <w:pPr>
              <w:pStyle w:val="IATableLabel"/>
            </w:pPr>
          </w:p>
        </w:tc>
        <w:bookmarkStart w:id="49" w:name="Text71"/>
        <w:tc>
          <w:tcPr>
            <w:tcW w:w="4823" w:type="dxa"/>
            <w:tcBorders>
              <w:top w:val="single" w:sz="12" w:space="0" w:color="auto"/>
              <w:left w:val="single" w:sz="12" w:space="0" w:color="auto"/>
              <w:bottom w:val="single" w:sz="12" w:space="0" w:color="auto"/>
              <w:right w:val="single" w:sz="12" w:space="0" w:color="auto"/>
            </w:tcBorders>
            <w:shd w:val="clear" w:color="auto" w:fill="FFFFFF"/>
          </w:tcPr>
          <w:p w14:paraId="10227CE9" w14:textId="77777777" w:rsidR="00FD4195" w:rsidRPr="00F63895" w:rsidRDefault="00D41FA2" w:rsidP="005A3880">
            <w:pPr>
              <w:pStyle w:val="IAPODIMQ"/>
            </w:pPr>
            <w:r>
              <w:fldChar w:fldCharType="begin">
                <w:ffData>
                  <w:name w:val="Text7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9"/>
          </w:p>
        </w:tc>
      </w:tr>
    </w:tbl>
    <w:p w14:paraId="3317C5EC" w14:textId="77777777" w:rsidR="00854B58" w:rsidRDefault="00854B58" w:rsidP="005A3880">
      <w:pPr>
        <w:sectPr w:rsidR="00854B58" w:rsidSect="00F1328C">
          <w:footnotePr>
            <w:numRestart w:val="eachSect"/>
          </w:footnotePr>
          <w:pgSz w:w="11907" w:h="16840" w:code="9"/>
          <w:pgMar w:top="680" w:right="851" w:bottom="680" w:left="851" w:header="284" w:footer="284" w:gutter="0"/>
          <w:cols w:space="708"/>
          <w:docGrid w:linePitch="360"/>
        </w:sectPr>
      </w:pPr>
    </w:p>
    <w:p w14:paraId="24B37F9F" w14:textId="1C525204" w:rsidR="00EE6BD9" w:rsidRDefault="00EE6BD9" w:rsidP="00EE6BD9">
      <w:pPr>
        <w:pStyle w:val="Heading1"/>
        <w:spacing w:before="0"/>
      </w:pPr>
      <w:bookmarkStart w:id="50" w:name="_Toc67067467"/>
      <w:r>
        <w:lastRenderedPageBreak/>
        <w:t>Summary: Analysis &amp; Evidence</w:t>
      </w:r>
      <w:r>
        <w:tab/>
      </w:r>
      <w:r w:rsidRPr="00E3545D">
        <w:rPr>
          <w:rFonts w:ascii="Arial" w:hAnsi="Arial"/>
          <w:b w:val="0"/>
          <w:bCs w:val="0"/>
        </w:rPr>
        <w:t xml:space="preserve">Policy Option </w:t>
      </w:r>
      <w:r>
        <w:rPr>
          <w:rFonts w:ascii="Arial" w:hAnsi="Arial"/>
          <w:b w:val="0"/>
          <w:bCs w:val="0"/>
        </w:rPr>
        <w:fldChar w:fldCharType="begin"/>
      </w:r>
      <w:r>
        <w:rPr>
          <w:rFonts w:ascii="Arial" w:hAnsi="Arial"/>
          <w:b w:val="0"/>
          <w:bCs w:val="0"/>
        </w:rPr>
        <w:instrText xml:space="preserve"> SEQ Policy </w:instrText>
      </w:r>
      <w:r>
        <w:rPr>
          <w:rFonts w:ascii="Arial" w:hAnsi="Arial"/>
          <w:b w:val="0"/>
          <w:bCs w:val="0"/>
        </w:rPr>
        <w:fldChar w:fldCharType="separate"/>
      </w:r>
      <w:r w:rsidR="00085D64">
        <w:rPr>
          <w:rFonts w:ascii="Arial" w:hAnsi="Arial"/>
          <w:b w:val="0"/>
          <w:bCs w:val="0"/>
          <w:noProof/>
        </w:rPr>
        <w:t>2</w:t>
      </w:r>
      <w:bookmarkEnd w:id="50"/>
      <w:r>
        <w:rPr>
          <w:rFonts w:ascii="Arial" w:hAnsi="Arial"/>
          <w:b w:val="0"/>
          <w:bCs w:val="0"/>
        </w:rPr>
        <w:fldChar w:fldCharType="end"/>
      </w:r>
    </w:p>
    <w:p w14:paraId="1533CAFC" w14:textId="05378DEC" w:rsidR="00EE6BD9" w:rsidRDefault="00EE6BD9" w:rsidP="00EE6BD9">
      <w:pPr>
        <w:pStyle w:val="IAHeadLabel"/>
        <w:spacing w:before="50"/>
      </w:pPr>
      <w:r w:rsidRPr="00892576">
        <w:t xml:space="preserve">Description: </w:t>
      </w:r>
      <w:r w:rsidRPr="006B70AF">
        <w:t xml:space="preserve"> </w:t>
      </w:r>
      <w:r w:rsidR="00FB2718">
        <w:rPr>
          <w:rStyle w:val="IAPODescriptionCharChar"/>
        </w:rPr>
        <w:fldChar w:fldCharType="begin">
          <w:ffData>
            <w:name w:val=""/>
            <w:enabled/>
            <w:calcOnExit w:val="0"/>
            <w:textInput>
              <w:default w:val="Credit limit of 55 MtCO2e"/>
              <w:maxLength w:val="230"/>
            </w:textInput>
          </w:ffData>
        </w:fldChar>
      </w:r>
      <w:r w:rsidR="00FB2718">
        <w:rPr>
          <w:rStyle w:val="IAPODescriptionCharChar"/>
        </w:rPr>
        <w:instrText xml:space="preserve"> FORMTEXT </w:instrText>
      </w:r>
      <w:r w:rsidR="00FB2718">
        <w:rPr>
          <w:rStyle w:val="IAPODescriptionCharChar"/>
        </w:rPr>
      </w:r>
      <w:r w:rsidR="00FB2718">
        <w:rPr>
          <w:rStyle w:val="IAPODescriptionCharChar"/>
        </w:rPr>
        <w:fldChar w:fldCharType="separate"/>
      </w:r>
      <w:r w:rsidR="00FB2718">
        <w:rPr>
          <w:rStyle w:val="IAPODescriptionCharChar"/>
          <w:noProof/>
        </w:rPr>
        <w:t>Credit limit of 55 MtCO2e</w:t>
      </w:r>
      <w:r w:rsidR="00FB2718">
        <w:rPr>
          <w:rStyle w:val="IAPODescriptionCharChar"/>
        </w:rPr>
        <w:fldChar w:fldCharType="end"/>
      </w:r>
    </w:p>
    <w:p w14:paraId="7EFEDF50" w14:textId="77777777" w:rsidR="00EE6BD9" w:rsidRDefault="00EE6BD9" w:rsidP="00EE6BD9">
      <w:pPr>
        <w:pStyle w:val="IAHeadLabel"/>
        <w:spacing w:before="50"/>
      </w:pPr>
      <w:r>
        <w:t>FULL ECONOMIC ASSESSMENT</w:t>
      </w:r>
    </w:p>
    <w:tbl>
      <w:tblPr>
        <w:tblW w:w="5067"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395"/>
        <w:gridCol w:w="1254"/>
        <w:gridCol w:w="1433"/>
        <w:gridCol w:w="1791"/>
        <w:gridCol w:w="1818"/>
        <w:gridCol w:w="2620"/>
      </w:tblGrid>
      <w:tr w:rsidR="00EE6BD9" w:rsidRPr="007E190E" w14:paraId="66E5DC1B" w14:textId="77777777" w:rsidTr="00730139">
        <w:trPr>
          <w:trHeight w:hRule="exact" w:val="312"/>
        </w:trPr>
        <w:tc>
          <w:tcPr>
            <w:tcW w:w="1402" w:type="dxa"/>
            <w:vMerge w:val="restart"/>
            <w:tcBorders>
              <w:top w:val="single" w:sz="12" w:space="0" w:color="auto"/>
              <w:left w:val="single" w:sz="12" w:space="0" w:color="auto"/>
              <w:right w:val="single" w:sz="12" w:space="0" w:color="auto"/>
            </w:tcBorders>
          </w:tcPr>
          <w:p w14:paraId="12CA01FE" w14:textId="77777777" w:rsidR="00EE6BD9" w:rsidRPr="00826F71" w:rsidRDefault="00EE6BD9" w:rsidP="00730139">
            <w:pPr>
              <w:pStyle w:val="POPBY"/>
            </w:pPr>
            <w:r w:rsidRPr="00826F71">
              <w:t>Price Base Year</w:t>
            </w:r>
            <w:r>
              <w:t xml:space="preserve">  </w:t>
            </w:r>
            <w:r>
              <w:rPr>
                <w:b w:val="0"/>
              </w:rPr>
              <w:fldChar w:fldCharType="begin">
                <w:ffData>
                  <w:name w:val="Text55"/>
                  <w:enabled/>
                  <w:calcOnExit w:val="0"/>
                  <w:textInput>
                    <w:default w:val="2019"/>
                    <w:maxLength w:val="4"/>
                  </w:textInput>
                </w:ffData>
              </w:fldChar>
            </w:r>
            <w:r>
              <w:rPr>
                <w:b w:val="0"/>
              </w:rPr>
              <w:instrText xml:space="preserve"> FORMTEXT </w:instrText>
            </w:r>
            <w:r>
              <w:rPr>
                <w:b w:val="0"/>
              </w:rPr>
            </w:r>
            <w:r>
              <w:rPr>
                <w:b w:val="0"/>
              </w:rPr>
              <w:fldChar w:fldCharType="separate"/>
            </w:r>
            <w:r>
              <w:rPr>
                <w:b w:val="0"/>
                <w:noProof/>
              </w:rPr>
              <w:t>2019</w:t>
            </w:r>
            <w:r>
              <w:rPr>
                <w:b w:val="0"/>
              </w:rPr>
              <w:fldChar w:fldCharType="end"/>
            </w:r>
          </w:p>
        </w:tc>
        <w:tc>
          <w:tcPr>
            <w:tcW w:w="1260" w:type="dxa"/>
            <w:vMerge w:val="restart"/>
            <w:tcBorders>
              <w:top w:val="single" w:sz="12" w:space="0" w:color="auto"/>
              <w:left w:val="single" w:sz="12" w:space="0" w:color="auto"/>
              <w:right w:val="single" w:sz="12" w:space="0" w:color="auto"/>
            </w:tcBorders>
          </w:tcPr>
          <w:p w14:paraId="6ABB1F8C" w14:textId="77777777" w:rsidR="00EE6BD9" w:rsidRPr="00826F71" w:rsidRDefault="00EE6BD9" w:rsidP="00730139">
            <w:pPr>
              <w:pStyle w:val="POPVBY"/>
            </w:pPr>
            <w:r w:rsidRPr="00826F71">
              <w:t>PV Base Year</w:t>
            </w:r>
            <w:r>
              <w:t xml:space="preserve">  </w:t>
            </w:r>
            <w:r>
              <w:rPr>
                <w:b w:val="0"/>
              </w:rPr>
              <w:fldChar w:fldCharType="begin">
                <w:ffData>
                  <w:name w:val="Text56"/>
                  <w:enabled/>
                  <w:calcOnExit w:val="0"/>
                  <w:textInput>
                    <w:default w:val="2020"/>
                    <w:maxLength w:val="4"/>
                  </w:textInput>
                </w:ffData>
              </w:fldChar>
            </w:r>
            <w:r>
              <w:rPr>
                <w:b w:val="0"/>
              </w:rPr>
              <w:instrText xml:space="preserve"> FORMTEXT </w:instrText>
            </w:r>
            <w:r>
              <w:rPr>
                <w:b w:val="0"/>
              </w:rPr>
            </w:r>
            <w:r>
              <w:rPr>
                <w:b w:val="0"/>
              </w:rPr>
              <w:fldChar w:fldCharType="separate"/>
            </w:r>
            <w:r>
              <w:rPr>
                <w:b w:val="0"/>
                <w:noProof/>
              </w:rPr>
              <w:t>2020</w:t>
            </w:r>
            <w:r>
              <w:rPr>
                <w:b w:val="0"/>
              </w:rPr>
              <w:fldChar w:fldCharType="end"/>
            </w:r>
          </w:p>
        </w:tc>
        <w:tc>
          <w:tcPr>
            <w:tcW w:w="1440" w:type="dxa"/>
            <w:vMerge w:val="restart"/>
            <w:tcBorders>
              <w:top w:val="single" w:sz="12" w:space="0" w:color="auto"/>
              <w:left w:val="single" w:sz="12" w:space="0" w:color="auto"/>
              <w:right w:val="single" w:sz="12" w:space="0" w:color="auto"/>
            </w:tcBorders>
          </w:tcPr>
          <w:p w14:paraId="27B6397E" w14:textId="77777777" w:rsidR="00EE6BD9" w:rsidRPr="00826F71" w:rsidRDefault="00EE6BD9" w:rsidP="00730139">
            <w:pPr>
              <w:pStyle w:val="POTPY"/>
            </w:pPr>
            <w:r w:rsidRPr="00826F71">
              <w:t>Time Period Years</w:t>
            </w:r>
            <w:r>
              <w:t xml:space="preserve">  </w:t>
            </w:r>
            <w:r w:rsidRPr="007E190E">
              <w:rPr>
                <w:b w:val="0"/>
              </w:rPr>
              <w:fldChar w:fldCharType="begin">
                <w:ffData>
                  <w:name w:val="Text57"/>
                  <w:enabled/>
                  <w:calcOnExit w:val="0"/>
                  <w:textInput>
                    <w:maxLength w:val="4"/>
                  </w:textInput>
                </w:ffData>
              </w:fldChar>
            </w:r>
            <w:r w:rsidRPr="007E190E">
              <w:rPr>
                <w:b w:val="0"/>
              </w:rPr>
              <w:instrText xml:space="preserve"> FORMTEXT </w:instrText>
            </w:r>
            <w:r w:rsidRPr="007E190E">
              <w:rPr>
                <w:b w:val="0"/>
              </w:rPr>
            </w:r>
            <w:r w:rsidRPr="007E190E">
              <w:rPr>
                <w:b w:val="0"/>
              </w:rPr>
              <w:fldChar w:fldCharType="separate"/>
            </w:r>
            <w:r w:rsidRPr="007E190E">
              <w:rPr>
                <w:b w:val="0"/>
                <w:noProof/>
              </w:rPr>
              <w:t> </w:t>
            </w:r>
            <w:r w:rsidRPr="007E190E">
              <w:rPr>
                <w:b w:val="0"/>
                <w:noProof/>
              </w:rPr>
              <w:t> </w:t>
            </w:r>
            <w:r w:rsidRPr="007E190E">
              <w:rPr>
                <w:b w:val="0"/>
                <w:noProof/>
              </w:rPr>
              <w:t> </w:t>
            </w:r>
            <w:r w:rsidRPr="007E190E">
              <w:rPr>
                <w:b w:val="0"/>
                <w:noProof/>
              </w:rPr>
              <w:t> </w:t>
            </w:r>
            <w:r w:rsidRPr="007E190E">
              <w:rPr>
                <w:b w:val="0"/>
              </w:rPr>
              <w:fldChar w:fldCharType="end"/>
            </w:r>
          </w:p>
        </w:tc>
        <w:tc>
          <w:tcPr>
            <w:tcW w:w="6260" w:type="dxa"/>
            <w:gridSpan w:val="3"/>
            <w:tcBorders>
              <w:top w:val="single" w:sz="12" w:space="0" w:color="auto"/>
              <w:left w:val="single" w:sz="12" w:space="0" w:color="auto"/>
              <w:right w:val="single" w:sz="12" w:space="0" w:color="auto"/>
            </w:tcBorders>
            <w:shd w:val="clear" w:color="auto" w:fill="FFFFFF"/>
          </w:tcPr>
          <w:p w14:paraId="14C86560" w14:textId="77777777" w:rsidR="00EE6BD9" w:rsidRPr="00826F71" w:rsidRDefault="00EE6BD9" w:rsidP="00730139">
            <w:pPr>
              <w:pStyle w:val="IATableLabel"/>
              <w:jc w:val="center"/>
            </w:pPr>
            <w:r w:rsidRPr="00826F71">
              <w:t xml:space="preserve">Net </w:t>
            </w:r>
            <w:r w:rsidRPr="0075393B">
              <w:t>B</w:t>
            </w:r>
            <w:r w:rsidRPr="00826F71">
              <w:t>enefit (</w:t>
            </w:r>
            <w:r>
              <w:t>Present Value (</w:t>
            </w:r>
            <w:r w:rsidRPr="00826F71">
              <w:t>PV</w:t>
            </w:r>
            <w:r>
              <w:t>)</w:t>
            </w:r>
            <w:r w:rsidRPr="00826F71">
              <w:t>)</w:t>
            </w:r>
            <w:r>
              <w:t xml:space="preserve"> (£m)</w:t>
            </w:r>
          </w:p>
        </w:tc>
      </w:tr>
      <w:tr w:rsidR="00EE6BD9" w:rsidRPr="007E190E" w14:paraId="0244697E" w14:textId="77777777" w:rsidTr="00730139">
        <w:trPr>
          <w:trHeight w:hRule="exact" w:val="340"/>
        </w:trPr>
        <w:tc>
          <w:tcPr>
            <w:tcW w:w="1402" w:type="dxa"/>
            <w:vMerge/>
            <w:tcBorders>
              <w:left w:val="single" w:sz="12" w:space="0" w:color="auto"/>
              <w:bottom w:val="single" w:sz="12" w:space="0" w:color="auto"/>
              <w:right w:val="single" w:sz="12" w:space="0" w:color="auto"/>
            </w:tcBorders>
          </w:tcPr>
          <w:p w14:paraId="1B39D58C" w14:textId="77777777" w:rsidR="00EE6BD9" w:rsidRPr="007E190E" w:rsidRDefault="00EE6BD9" w:rsidP="00730139">
            <w:pPr>
              <w:pStyle w:val="IATableNotes"/>
              <w:ind w:left="0"/>
              <w:rPr>
                <w:b/>
                <w:sz w:val="20"/>
              </w:rPr>
            </w:pPr>
          </w:p>
        </w:tc>
        <w:tc>
          <w:tcPr>
            <w:tcW w:w="1260" w:type="dxa"/>
            <w:vMerge/>
            <w:tcBorders>
              <w:left w:val="single" w:sz="12" w:space="0" w:color="auto"/>
              <w:bottom w:val="single" w:sz="12" w:space="0" w:color="auto"/>
              <w:right w:val="single" w:sz="12" w:space="0" w:color="auto"/>
            </w:tcBorders>
          </w:tcPr>
          <w:p w14:paraId="14C21841" w14:textId="77777777" w:rsidR="00EE6BD9" w:rsidRPr="007E190E" w:rsidRDefault="00EE6BD9" w:rsidP="00730139">
            <w:pPr>
              <w:pStyle w:val="IATableNotes"/>
              <w:ind w:left="0"/>
              <w:rPr>
                <w:b/>
                <w:sz w:val="20"/>
              </w:rPr>
            </w:pPr>
          </w:p>
        </w:tc>
        <w:tc>
          <w:tcPr>
            <w:tcW w:w="1440" w:type="dxa"/>
            <w:vMerge/>
            <w:tcBorders>
              <w:left w:val="single" w:sz="12" w:space="0" w:color="auto"/>
              <w:bottom w:val="single" w:sz="12" w:space="0" w:color="auto"/>
              <w:right w:val="single" w:sz="12" w:space="0" w:color="auto"/>
            </w:tcBorders>
          </w:tcPr>
          <w:p w14:paraId="75293885" w14:textId="77777777" w:rsidR="00EE6BD9" w:rsidRPr="007E190E" w:rsidRDefault="00EE6BD9" w:rsidP="00730139">
            <w:pPr>
              <w:pStyle w:val="IATableNotes"/>
              <w:ind w:left="0"/>
              <w:rPr>
                <w:b/>
                <w:sz w:val="20"/>
              </w:rPr>
            </w:pPr>
          </w:p>
        </w:tc>
        <w:tc>
          <w:tcPr>
            <w:tcW w:w="1800" w:type="dxa"/>
            <w:tcBorders>
              <w:top w:val="single" w:sz="12" w:space="0" w:color="auto"/>
              <w:left w:val="single" w:sz="12" w:space="0" w:color="auto"/>
              <w:bottom w:val="single" w:sz="12" w:space="0" w:color="auto"/>
              <w:right w:val="single" w:sz="12" w:space="0" w:color="auto"/>
            </w:tcBorders>
          </w:tcPr>
          <w:p w14:paraId="496A4E63" w14:textId="77777777" w:rsidR="00EE6BD9" w:rsidRPr="007E190E" w:rsidRDefault="00EE6BD9" w:rsidP="00730139">
            <w:pPr>
              <w:pStyle w:val="IATableLabel"/>
              <w:rPr>
                <w:bCs/>
              </w:rPr>
            </w:pPr>
            <w:r w:rsidRPr="00304C1D">
              <w:t>Low:</w:t>
            </w:r>
            <w:r w:rsidRPr="00826F71">
              <w:t xml:space="preserve"> </w:t>
            </w:r>
            <w:r>
              <w:rPr>
                <w:rStyle w:val="PONBLowCharChar"/>
                <w:sz w:val="20"/>
                <w:szCs w:val="22"/>
              </w:rPr>
              <w:fldChar w:fldCharType="begin">
                <w:ffData>
                  <w:name w:val="Text58"/>
                  <w:enabled/>
                  <w:calcOnExit w:val="0"/>
                  <w:textInput>
                    <w:default w:val="£0"/>
                    <w:maxLength w:val="8"/>
                  </w:textInput>
                </w:ffData>
              </w:fldChar>
            </w:r>
            <w:r>
              <w:rPr>
                <w:rStyle w:val="PONBLowCharChar"/>
                <w:sz w:val="20"/>
                <w:szCs w:val="22"/>
              </w:rPr>
              <w:instrText xml:space="preserve"> FORMTEXT </w:instrText>
            </w:r>
            <w:r>
              <w:rPr>
                <w:rStyle w:val="PONBLowCharChar"/>
                <w:sz w:val="20"/>
                <w:szCs w:val="22"/>
              </w:rPr>
            </w:r>
            <w:r>
              <w:rPr>
                <w:rStyle w:val="PONBLowCharChar"/>
                <w:sz w:val="20"/>
                <w:szCs w:val="22"/>
              </w:rPr>
              <w:fldChar w:fldCharType="separate"/>
            </w:r>
            <w:r>
              <w:rPr>
                <w:rStyle w:val="PONBLowCharChar"/>
                <w:noProof/>
                <w:sz w:val="20"/>
                <w:szCs w:val="22"/>
              </w:rPr>
              <w:t>£0</w:t>
            </w:r>
            <w:r>
              <w:rPr>
                <w:rStyle w:val="PONBLowCharChar"/>
                <w:sz w:val="20"/>
                <w:szCs w:val="22"/>
              </w:rPr>
              <w:fldChar w:fldCharType="end"/>
            </w:r>
          </w:p>
        </w:tc>
        <w:tc>
          <w:tcPr>
            <w:tcW w:w="1827" w:type="dxa"/>
            <w:tcBorders>
              <w:top w:val="single" w:sz="12" w:space="0" w:color="auto"/>
              <w:left w:val="single" w:sz="12" w:space="0" w:color="auto"/>
              <w:bottom w:val="single" w:sz="12" w:space="0" w:color="auto"/>
              <w:right w:val="single" w:sz="12" w:space="0" w:color="auto"/>
            </w:tcBorders>
          </w:tcPr>
          <w:p w14:paraId="0E4E006A" w14:textId="77777777" w:rsidR="00EE6BD9" w:rsidRPr="007E190E" w:rsidRDefault="00EE6BD9" w:rsidP="00730139">
            <w:pPr>
              <w:pStyle w:val="IATableLabel"/>
              <w:rPr>
                <w:rFonts w:cs="Arial"/>
                <w:bCs/>
                <w:szCs w:val="18"/>
              </w:rPr>
            </w:pPr>
            <w:r w:rsidRPr="00304C1D">
              <w:t>High:</w:t>
            </w:r>
            <w:r w:rsidRPr="00826F71">
              <w:t xml:space="preserve"> </w:t>
            </w:r>
            <w:r>
              <w:rPr>
                <w:rStyle w:val="PONBHighChar"/>
                <w:sz w:val="20"/>
                <w:szCs w:val="22"/>
              </w:rPr>
              <w:fldChar w:fldCharType="begin">
                <w:ffData>
                  <w:name w:val="Text59"/>
                  <w:enabled/>
                  <w:calcOnExit w:val="0"/>
                  <w:textInput>
                    <w:default w:val="£0"/>
                    <w:maxLength w:val="8"/>
                  </w:textInput>
                </w:ffData>
              </w:fldChar>
            </w:r>
            <w:r>
              <w:rPr>
                <w:rStyle w:val="PONBHighChar"/>
                <w:sz w:val="20"/>
                <w:szCs w:val="22"/>
              </w:rPr>
              <w:instrText xml:space="preserve"> FORMTEXT </w:instrText>
            </w:r>
            <w:r>
              <w:rPr>
                <w:rStyle w:val="PONBHighChar"/>
                <w:sz w:val="20"/>
                <w:szCs w:val="22"/>
              </w:rPr>
            </w:r>
            <w:r>
              <w:rPr>
                <w:rStyle w:val="PONBHighChar"/>
                <w:sz w:val="20"/>
                <w:szCs w:val="22"/>
              </w:rPr>
              <w:fldChar w:fldCharType="separate"/>
            </w:r>
            <w:r>
              <w:rPr>
                <w:rStyle w:val="PONBHighChar"/>
                <w:noProof/>
                <w:sz w:val="20"/>
                <w:szCs w:val="22"/>
              </w:rPr>
              <w:t>£0</w:t>
            </w:r>
            <w:r>
              <w:rPr>
                <w:rStyle w:val="PONBHighChar"/>
                <w:sz w:val="20"/>
                <w:szCs w:val="22"/>
              </w:rPr>
              <w:fldChar w:fldCharType="end"/>
            </w:r>
          </w:p>
        </w:tc>
        <w:tc>
          <w:tcPr>
            <w:tcW w:w="2633" w:type="dxa"/>
            <w:tcBorders>
              <w:top w:val="single" w:sz="12" w:space="0" w:color="auto"/>
              <w:left w:val="single" w:sz="12" w:space="0" w:color="auto"/>
              <w:bottom w:val="single" w:sz="12" w:space="0" w:color="auto"/>
              <w:right w:val="single" w:sz="12" w:space="0" w:color="auto"/>
            </w:tcBorders>
            <w:shd w:val="clear" w:color="auto" w:fill="FFFFFF"/>
          </w:tcPr>
          <w:p w14:paraId="61728AD1" w14:textId="77777777" w:rsidR="00EE6BD9" w:rsidRPr="007E190E" w:rsidRDefault="00EE6BD9" w:rsidP="00730139">
            <w:pPr>
              <w:pStyle w:val="IATableLabel"/>
              <w:rPr>
                <w:szCs w:val="18"/>
              </w:rPr>
            </w:pPr>
            <w:r w:rsidRPr="00304C1D">
              <w:t xml:space="preserve">Best </w:t>
            </w:r>
            <w:r>
              <w:t>E</w:t>
            </w:r>
            <w:r w:rsidRPr="00304C1D">
              <w:t>stimate:</w:t>
            </w:r>
            <w:r w:rsidRPr="00826F71">
              <w:t xml:space="preserve"> </w:t>
            </w:r>
            <w:r>
              <w:rPr>
                <w:rStyle w:val="PONBBestEstChar"/>
                <w:sz w:val="20"/>
                <w:szCs w:val="22"/>
              </w:rPr>
              <w:fldChar w:fldCharType="begin">
                <w:ffData>
                  <w:name w:val="Text60"/>
                  <w:enabled/>
                  <w:calcOnExit w:val="0"/>
                  <w:textInput>
                    <w:default w:val="£0"/>
                    <w:maxLength w:val="8"/>
                  </w:textInput>
                </w:ffData>
              </w:fldChar>
            </w:r>
            <w:r>
              <w:rPr>
                <w:rStyle w:val="PONBBestEstChar"/>
                <w:sz w:val="20"/>
                <w:szCs w:val="22"/>
              </w:rPr>
              <w:instrText xml:space="preserve"> FORMTEXT </w:instrText>
            </w:r>
            <w:r>
              <w:rPr>
                <w:rStyle w:val="PONBBestEstChar"/>
                <w:sz w:val="20"/>
                <w:szCs w:val="22"/>
              </w:rPr>
            </w:r>
            <w:r>
              <w:rPr>
                <w:rStyle w:val="PONBBestEstChar"/>
                <w:sz w:val="20"/>
                <w:szCs w:val="22"/>
              </w:rPr>
              <w:fldChar w:fldCharType="separate"/>
            </w:r>
            <w:r>
              <w:rPr>
                <w:rStyle w:val="PONBBestEstChar"/>
                <w:noProof/>
                <w:sz w:val="20"/>
                <w:szCs w:val="22"/>
              </w:rPr>
              <w:t>£0</w:t>
            </w:r>
            <w:r>
              <w:rPr>
                <w:rStyle w:val="PONBBestEstChar"/>
                <w:sz w:val="20"/>
                <w:szCs w:val="22"/>
              </w:rPr>
              <w:fldChar w:fldCharType="end"/>
            </w:r>
          </w:p>
        </w:tc>
      </w:tr>
    </w:tbl>
    <w:p w14:paraId="158FBA07" w14:textId="77777777" w:rsidR="00EE6BD9" w:rsidRDefault="00EE6BD9" w:rsidP="00EE6BD9">
      <w:pPr>
        <w:pStyle w:val="IASpacer"/>
      </w:pPr>
    </w:p>
    <w:tbl>
      <w:tblPr>
        <w:tblW w:w="5062" w:type="pct"/>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1E0" w:firstRow="1" w:lastRow="1" w:firstColumn="1" w:lastColumn="1" w:noHBand="0" w:noVBand="0"/>
      </w:tblPr>
      <w:tblGrid>
        <w:gridCol w:w="2109"/>
        <w:gridCol w:w="1938"/>
        <w:gridCol w:w="786"/>
        <w:gridCol w:w="2848"/>
        <w:gridCol w:w="1765"/>
        <w:gridCol w:w="855"/>
      </w:tblGrid>
      <w:tr w:rsidR="00EE6BD9" w:rsidRPr="007E190E" w14:paraId="53143E50" w14:textId="77777777" w:rsidTr="00730139">
        <w:trPr>
          <w:trHeight w:hRule="exact" w:val="567"/>
        </w:trPr>
        <w:tc>
          <w:tcPr>
            <w:tcW w:w="2122" w:type="dxa"/>
            <w:tcBorders>
              <w:top w:val="single" w:sz="12" w:space="0" w:color="auto"/>
              <w:bottom w:val="single" w:sz="12" w:space="0" w:color="auto"/>
              <w:right w:val="single" w:sz="12" w:space="0" w:color="auto"/>
            </w:tcBorders>
            <w:shd w:val="clear" w:color="auto" w:fill="FFFFFF"/>
          </w:tcPr>
          <w:p w14:paraId="45E05B50" w14:textId="77777777" w:rsidR="00EE6BD9" w:rsidRPr="007E190E" w:rsidRDefault="00EE6BD9" w:rsidP="00730139">
            <w:pPr>
              <w:pStyle w:val="IATableLabel"/>
              <w:rPr>
                <w:sz w:val="24"/>
                <w:szCs w:val="24"/>
              </w:rPr>
            </w:pPr>
            <w:r w:rsidRPr="007E190E">
              <w:rPr>
                <w:sz w:val="24"/>
                <w:szCs w:val="24"/>
              </w:rPr>
              <w:t>COSTS (£m)</w:t>
            </w:r>
          </w:p>
        </w:tc>
        <w:tc>
          <w:tcPr>
            <w:tcW w:w="2739" w:type="dxa"/>
            <w:gridSpan w:val="2"/>
            <w:tcBorders>
              <w:top w:val="single" w:sz="12" w:space="0" w:color="auto"/>
              <w:left w:val="single" w:sz="12" w:space="0" w:color="auto"/>
              <w:right w:val="single" w:sz="12" w:space="0" w:color="auto"/>
            </w:tcBorders>
          </w:tcPr>
          <w:p w14:paraId="4B1BE274" w14:textId="77777777" w:rsidR="00EE6BD9" w:rsidRPr="00826F71" w:rsidRDefault="00EE6BD9" w:rsidP="00730139">
            <w:pPr>
              <w:pStyle w:val="IATableLabel"/>
              <w:tabs>
                <w:tab w:val="right" w:pos="1800"/>
                <w:tab w:val="center" w:pos="2340"/>
              </w:tabs>
              <w:jc w:val="right"/>
            </w:pPr>
            <w:r w:rsidRPr="00826F71">
              <w:t xml:space="preserve">Total Transition </w:t>
            </w:r>
            <w:r>
              <w:br/>
            </w:r>
            <w:r>
              <w:tab/>
            </w:r>
            <w:r w:rsidRPr="007E190E">
              <w:rPr>
                <w:b w:val="0"/>
                <w:sz w:val="18"/>
                <w:szCs w:val="18"/>
              </w:rPr>
              <w:t>(Constant Price)</w:t>
            </w:r>
            <w:r>
              <w:tab/>
            </w:r>
            <w:r w:rsidRPr="007E190E">
              <w:rPr>
                <w:b w:val="0"/>
                <w:sz w:val="18"/>
                <w:szCs w:val="18"/>
              </w:rPr>
              <w:t>Yea</w:t>
            </w:r>
            <w:r w:rsidRPr="007E190E">
              <w:rPr>
                <w:b w:val="0"/>
                <w:bCs/>
                <w:sz w:val="18"/>
                <w:szCs w:val="18"/>
              </w:rPr>
              <w:t>r</w:t>
            </w:r>
            <w:r w:rsidRPr="007E190E">
              <w:rPr>
                <w:b w:val="0"/>
                <w:sz w:val="18"/>
                <w:szCs w:val="18"/>
              </w:rPr>
              <w:t>s</w:t>
            </w:r>
          </w:p>
          <w:p w14:paraId="07CB668B" w14:textId="77777777" w:rsidR="00EE6BD9" w:rsidRPr="00826F71" w:rsidRDefault="00EE6BD9" w:rsidP="00730139">
            <w:pPr>
              <w:pStyle w:val="IATableLabel"/>
              <w:jc w:val="right"/>
            </w:pPr>
            <w:r>
              <w:br/>
            </w:r>
          </w:p>
        </w:tc>
        <w:tc>
          <w:tcPr>
            <w:tcW w:w="2865" w:type="dxa"/>
            <w:tcBorders>
              <w:top w:val="single" w:sz="12" w:space="0" w:color="auto"/>
              <w:left w:val="single" w:sz="12" w:space="0" w:color="auto"/>
              <w:bottom w:val="single" w:sz="12" w:space="0" w:color="auto"/>
              <w:right w:val="single" w:sz="12" w:space="0" w:color="auto"/>
            </w:tcBorders>
          </w:tcPr>
          <w:p w14:paraId="21299347" w14:textId="77777777" w:rsidR="00EE6BD9" w:rsidRPr="007E190E" w:rsidRDefault="00EE6BD9" w:rsidP="00730139">
            <w:pPr>
              <w:pStyle w:val="IATableLabel"/>
              <w:jc w:val="right"/>
              <w:rPr>
                <w:rFonts w:cs="Arial"/>
                <w:bCs/>
              </w:rPr>
            </w:pPr>
            <w:r w:rsidRPr="00826F71">
              <w:t>Average Annual</w:t>
            </w:r>
            <w:r w:rsidRPr="000C031E">
              <w:t xml:space="preserve"> </w:t>
            </w:r>
            <w:r>
              <w:br/>
            </w:r>
            <w:r w:rsidRPr="007E190E">
              <w:rPr>
                <w:b w:val="0"/>
                <w:sz w:val="18"/>
                <w:szCs w:val="18"/>
              </w:rPr>
              <w:t xml:space="preserve">(excl. Transition) </w:t>
            </w:r>
            <w:r w:rsidRPr="007E190E">
              <w:rPr>
                <w:rFonts w:cs="Arial"/>
                <w:b w:val="0"/>
                <w:bCs/>
                <w:sz w:val="18"/>
                <w:szCs w:val="18"/>
              </w:rPr>
              <w:t>(Constant Price)</w:t>
            </w:r>
          </w:p>
        </w:tc>
        <w:tc>
          <w:tcPr>
            <w:tcW w:w="2636" w:type="dxa"/>
            <w:gridSpan w:val="2"/>
            <w:tcBorders>
              <w:top w:val="single" w:sz="12" w:space="0" w:color="auto"/>
              <w:left w:val="single" w:sz="12" w:space="0" w:color="auto"/>
              <w:bottom w:val="single" w:sz="12" w:space="0" w:color="auto"/>
            </w:tcBorders>
          </w:tcPr>
          <w:p w14:paraId="5303C7C9" w14:textId="77777777" w:rsidR="00EE6BD9" w:rsidRPr="00826F71" w:rsidRDefault="00EE6BD9" w:rsidP="00730139">
            <w:pPr>
              <w:pStyle w:val="IATableLabel"/>
              <w:jc w:val="right"/>
            </w:pPr>
            <w:r w:rsidRPr="00826F71">
              <w:t>Total Cost</w:t>
            </w:r>
            <w:r w:rsidRPr="007E190E">
              <w:rPr>
                <w:b w:val="0"/>
                <w:sz w:val="18"/>
                <w:szCs w:val="18"/>
              </w:rPr>
              <w:t xml:space="preserve"> </w:t>
            </w:r>
            <w:r w:rsidRPr="007E190E">
              <w:rPr>
                <w:b w:val="0"/>
                <w:sz w:val="18"/>
                <w:szCs w:val="18"/>
              </w:rPr>
              <w:br/>
              <w:t>(Present Value)</w:t>
            </w:r>
          </w:p>
        </w:tc>
      </w:tr>
      <w:tr w:rsidR="00EE6BD9" w:rsidRPr="007E190E" w14:paraId="3D3CDD4D" w14:textId="77777777" w:rsidTr="00730139">
        <w:trPr>
          <w:trHeight w:hRule="exact" w:val="348"/>
        </w:trPr>
        <w:tc>
          <w:tcPr>
            <w:tcW w:w="2122" w:type="dxa"/>
            <w:tcBorders>
              <w:top w:val="single" w:sz="12" w:space="0" w:color="auto"/>
              <w:bottom w:val="single" w:sz="12" w:space="0" w:color="auto"/>
              <w:right w:val="single" w:sz="12" w:space="0" w:color="auto"/>
            </w:tcBorders>
            <w:vAlign w:val="center"/>
          </w:tcPr>
          <w:p w14:paraId="4AA76A2A" w14:textId="77777777" w:rsidR="00EE6BD9" w:rsidRPr="00F63895" w:rsidRDefault="00EE6BD9" w:rsidP="00730139">
            <w:pPr>
              <w:pStyle w:val="IATableLabel"/>
            </w:pPr>
            <w:r w:rsidRPr="00F63895">
              <w:t xml:space="preserve">Low </w:t>
            </w:r>
          </w:p>
        </w:tc>
        <w:tc>
          <w:tcPr>
            <w:tcW w:w="1949" w:type="dxa"/>
            <w:tcBorders>
              <w:top w:val="single" w:sz="12" w:space="0" w:color="auto"/>
              <w:left w:val="single" w:sz="12" w:space="0" w:color="auto"/>
              <w:bottom w:val="single" w:sz="12" w:space="0" w:color="auto"/>
              <w:right w:val="single" w:sz="12" w:space="0" w:color="auto"/>
            </w:tcBorders>
            <w:vAlign w:val="center"/>
          </w:tcPr>
          <w:p w14:paraId="13A0A4B4" w14:textId="77777777" w:rsidR="00EE6BD9" w:rsidRPr="007E190E" w:rsidRDefault="00EE6BD9" w:rsidP="00730139">
            <w:pPr>
              <w:pStyle w:val="POTTCostsLow"/>
              <w:rPr>
                <w:sz w:val="20"/>
              </w:rPr>
            </w:pPr>
            <w:r>
              <w:rPr>
                <w:sz w:val="20"/>
              </w:rPr>
              <w:fldChar w:fldCharType="begin">
                <w:ffData>
                  <w:name w:val="Text45"/>
                  <w:enabled/>
                  <w:calcOnExit w:val="0"/>
                  <w:textInput>
                    <w:default w:val="£0"/>
                    <w:maxLength w:val="14"/>
                  </w:textInput>
                </w:ffData>
              </w:fldChar>
            </w:r>
            <w:r>
              <w:rPr>
                <w:sz w:val="20"/>
              </w:rPr>
              <w:instrText xml:space="preserve"> FORMTEXT </w:instrText>
            </w:r>
            <w:r>
              <w:rPr>
                <w:sz w:val="20"/>
              </w:rPr>
            </w:r>
            <w:r>
              <w:rPr>
                <w:sz w:val="20"/>
              </w:rPr>
              <w:fldChar w:fldCharType="separate"/>
            </w:r>
            <w:r>
              <w:rPr>
                <w:noProof/>
                <w:sz w:val="20"/>
              </w:rPr>
              <w:t>£0</w:t>
            </w:r>
            <w:r>
              <w:rPr>
                <w:sz w:val="20"/>
              </w:rPr>
              <w:fldChar w:fldCharType="end"/>
            </w:r>
          </w:p>
        </w:tc>
        <w:tc>
          <w:tcPr>
            <w:tcW w:w="790" w:type="dxa"/>
            <w:vMerge w:val="restart"/>
            <w:tcBorders>
              <w:top w:val="single" w:sz="12" w:space="0" w:color="auto"/>
              <w:left w:val="single" w:sz="12" w:space="0" w:color="auto"/>
              <w:right w:val="single" w:sz="12" w:space="0" w:color="auto"/>
            </w:tcBorders>
            <w:vAlign w:val="center"/>
          </w:tcPr>
          <w:p w14:paraId="14DB3FE5" w14:textId="77777777" w:rsidR="00EE6BD9" w:rsidRPr="007E190E" w:rsidRDefault="00EE6BD9" w:rsidP="00730139">
            <w:pPr>
              <w:pStyle w:val="POTTCostsYear"/>
              <w:rPr>
                <w:sz w:val="20"/>
                <w:szCs w:val="20"/>
              </w:rPr>
            </w:pPr>
            <w:r w:rsidRPr="007E190E">
              <w:rPr>
                <w:sz w:val="20"/>
                <w:szCs w:val="20"/>
              </w:rPr>
              <w:fldChar w:fldCharType="begin">
                <w:ffData>
                  <w:name w:val="Text48"/>
                  <w:enabled/>
                  <w:calcOnExit w:val="0"/>
                  <w:textInput>
                    <w:maxLength w:val="3"/>
                  </w:textInput>
                </w:ffData>
              </w:fldChar>
            </w:r>
            <w:r w:rsidRPr="007E190E">
              <w:rPr>
                <w:sz w:val="20"/>
                <w:szCs w:val="20"/>
              </w:rPr>
              <w:instrText xml:space="preserve"> FORMTEXT </w:instrText>
            </w:r>
            <w:r w:rsidRPr="007E190E">
              <w:rPr>
                <w:sz w:val="20"/>
                <w:szCs w:val="20"/>
              </w:rPr>
            </w:r>
            <w:r w:rsidRPr="007E190E">
              <w:rPr>
                <w:sz w:val="20"/>
                <w:szCs w:val="20"/>
              </w:rPr>
              <w:fldChar w:fldCharType="separate"/>
            </w:r>
            <w:r w:rsidRPr="007E190E">
              <w:rPr>
                <w:noProof/>
                <w:sz w:val="20"/>
                <w:szCs w:val="20"/>
              </w:rPr>
              <w:t> </w:t>
            </w:r>
            <w:r w:rsidRPr="007E190E">
              <w:rPr>
                <w:noProof/>
                <w:sz w:val="20"/>
                <w:szCs w:val="20"/>
              </w:rPr>
              <w:t> </w:t>
            </w:r>
            <w:r w:rsidRPr="007E190E">
              <w:rPr>
                <w:noProof/>
                <w:sz w:val="20"/>
                <w:szCs w:val="20"/>
              </w:rPr>
              <w:t> </w:t>
            </w:r>
            <w:r w:rsidRPr="007E190E">
              <w:rPr>
                <w:sz w:val="20"/>
                <w:szCs w:val="20"/>
              </w:rPr>
              <w:fldChar w:fldCharType="end"/>
            </w:r>
          </w:p>
        </w:tc>
        <w:tc>
          <w:tcPr>
            <w:tcW w:w="2865" w:type="dxa"/>
            <w:tcBorders>
              <w:top w:val="single" w:sz="12" w:space="0" w:color="auto"/>
              <w:left w:val="single" w:sz="12" w:space="0" w:color="auto"/>
              <w:bottom w:val="single" w:sz="12" w:space="0" w:color="auto"/>
              <w:right w:val="single" w:sz="12" w:space="0" w:color="auto"/>
            </w:tcBorders>
            <w:vAlign w:val="center"/>
          </w:tcPr>
          <w:p w14:paraId="3A2EF801" w14:textId="77777777" w:rsidR="00EE6BD9" w:rsidRPr="007E190E" w:rsidRDefault="00EE6BD9" w:rsidP="00730139">
            <w:pPr>
              <w:pStyle w:val="POAACostsLow"/>
              <w:rPr>
                <w:sz w:val="20"/>
              </w:rPr>
            </w:pPr>
            <w:r>
              <w:rPr>
                <w:sz w:val="20"/>
              </w:rPr>
              <w:fldChar w:fldCharType="begin">
                <w:ffData>
                  <w:name w:val="Text49"/>
                  <w:enabled/>
                  <w:calcOnExit w:val="0"/>
                  <w:textInput>
                    <w:default w:val="£0"/>
                    <w:maxLength w:val="14"/>
                  </w:textInput>
                </w:ffData>
              </w:fldChar>
            </w:r>
            <w:r>
              <w:rPr>
                <w:sz w:val="20"/>
              </w:rPr>
              <w:instrText xml:space="preserve"> FORMTEXT </w:instrText>
            </w:r>
            <w:r>
              <w:rPr>
                <w:sz w:val="20"/>
              </w:rPr>
            </w:r>
            <w:r>
              <w:rPr>
                <w:sz w:val="20"/>
              </w:rPr>
              <w:fldChar w:fldCharType="separate"/>
            </w:r>
            <w:r>
              <w:rPr>
                <w:noProof/>
                <w:sz w:val="20"/>
              </w:rPr>
              <w:t>£0</w:t>
            </w:r>
            <w:r>
              <w:rPr>
                <w:sz w:val="20"/>
              </w:rPr>
              <w:fldChar w:fldCharType="end"/>
            </w:r>
          </w:p>
        </w:tc>
        <w:tc>
          <w:tcPr>
            <w:tcW w:w="2636" w:type="dxa"/>
            <w:gridSpan w:val="2"/>
            <w:tcBorders>
              <w:top w:val="single" w:sz="12" w:space="0" w:color="auto"/>
              <w:left w:val="single" w:sz="12" w:space="0" w:color="auto"/>
              <w:bottom w:val="single" w:sz="12" w:space="0" w:color="auto"/>
            </w:tcBorders>
            <w:vAlign w:val="center"/>
          </w:tcPr>
          <w:p w14:paraId="36ED009A" w14:textId="77777777" w:rsidR="00EE6BD9" w:rsidRPr="007E190E" w:rsidRDefault="00EE6BD9" w:rsidP="00730139">
            <w:pPr>
              <w:pStyle w:val="POTCCostsLow"/>
              <w:rPr>
                <w:sz w:val="20"/>
              </w:rPr>
            </w:pPr>
            <w:r>
              <w:rPr>
                <w:sz w:val="20"/>
              </w:rPr>
              <w:fldChar w:fldCharType="begin">
                <w:ffData>
                  <w:name w:val="Text52"/>
                  <w:enabled/>
                  <w:calcOnExit w:val="0"/>
                  <w:textInput>
                    <w:default w:val="£0"/>
                    <w:maxLength w:val="14"/>
                  </w:textInput>
                </w:ffData>
              </w:fldChar>
            </w:r>
            <w:r>
              <w:rPr>
                <w:sz w:val="20"/>
              </w:rPr>
              <w:instrText xml:space="preserve"> FORMTEXT </w:instrText>
            </w:r>
            <w:r>
              <w:rPr>
                <w:sz w:val="20"/>
              </w:rPr>
            </w:r>
            <w:r>
              <w:rPr>
                <w:sz w:val="20"/>
              </w:rPr>
              <w:fldChar w:fldCharType="separate"/>
            </w:r>
            <w:r>
              <w:rPr>
                <w:noProof/>
                <w:sz w:val="20"/>
              </w:rPr>
              <w:t>£0</w:t>
            </w:r>
            <w:r>
              <w:rPr>
                <w:sz w:val="20"/>
              </w:rPr>
              <w:fldChar w:fldCharType="end"/>
            </w:r>
          </w:p>
        </w:tc>
      </w:tr>
      <w:tr w:rsidR="00EE6BD9" w:rsidRPr="007E190E" w14:paraId="17916EE6" w14:textId="77777777" w:rsidTr="00730139">
        <w:trPr>
          <w:trHeight w:hRule="exact" w:val="348"/>
        </w:trPr>
        <w:tc>
          <w:tcPr>
            <w:tcW w:w="2122" w:type="dxa"/>
            <w:tcBorders>
              <w:top w:val="single" w:sz="12" w:space="0" w:color="auto"/>
              <w:bottom w:val="single" w:sz="12" w:space="0" w:color="auto"/>
              <w:right w:val="single" w:sz="12" w:space="0" w:color="auto"/>
            </w:tcBorders>
            <w:vAlign w:val="center"/>
          </w:tcPr>
          <w:p w14:paraId="6302A624" w14:textId="77777777" w:rsidR="00EE6BD9" w:rsidRPr="00F63895" w:rsidRDefault="00EE6BD9" w:rsidP="00730139">
            <w:pPr>
              <w:pStyle w:val="IATableLabel"/>
            </w:pPr>
            <w:r w:rsidRPr="00F63895">
              <w:t xml:space="preserve">High </w:t>
            </w:r>
          </w:p>
        </w:tc>
        <w:tc>
          <w:tcPr>
            <w:tcW w:w="1949" w:type="dxa"/>
            <w:tcBorders>
              <w:top w:val="single" w:sz="12" w:space="0" w:color="auto"/>
              <w:left w:val="single" w:sz="12" w:space="0" w:color="auto"/>
              <w:bottom w:val="single" w:sz="12" w:space="0" w:color="auto"/>
              <w:right w:val="single" w:sz="12" w:space="0" w:color="auto"/>
            </w:tcBorders>
            <w:vAlign w:val="center"/>
          </w:tcPr>
          <w:p w14:paraId="77ACA4BE" w14:textId="77777777" w:rsidR="00EE6BD9" w:rsidRPr="007E190E" w:rsidRDefault="00EE6BD9" w:rsidP="00730139">
            <w:pPr>
              <w:pStyle w:val="POTTCostsHigh"/>
              <w:rPr>
                <w:sz w:val="20"/>
              </w:rPr>
            </w:pPr>
            <w:r>
              <w:rPr>
                <w:sz w:val="20"/>
              </w:rPr>
              <w:fldChar w:fldCharType="begin">
                <w:ffData>
                  <w:name w:val="Text46"/>
                  <w:enabled/>
                  <w:calcOnExit w:val="0"/>
                  <w:textInput>
                    <w:default w:val="£0"/>
                    <w:maxLength w:val="14"/>
                  </w:textInput>
                </w:ffData>
              </w:fldChar>
            </w:r>
            <w:r>
              <w:rPr>
                <w:sz w:val="20"/>
              </w:rPr>
              <w:instrText xml:space="preserve"> FORMTEXT </w:instrText>
            </w:r>
            <w:r>
              <w:rPr>
                <w:sz w:val="20"/>
              </w:rPr>
            </w:r>
            <w:r>
              <w:rPr>
                <w:sz w:val="20"/>
              </w:rPr>
              <w:fldChar w:fldCharType="separate"/>
            </w:r>
            <w:r>
              <w:rPr>
                <w:noProof/>
                <w:sz w:val="20"/>
              </w:rPr>
              <w:t>£0</w:t>
            </w:r>
            <w:r>
              <w:rPr>
                <w:sz w:val="20"/>
              </w:rPr>
              <w:fldChar w:fldCharType="end"/>
            </w:r>
          </w:p>
        </w:tc>
        <w:tc>
          <w:tcPr>
            <w:tcW w:w="790" w:type="dxa"/>
            <w:vMerge/>
            <w:tcBorders>
              <w:left w:val="single" w:sz="12" w:space="0" w:color="auto"/>
              <w:right w:val="single" w:sz="12" w:space="0" w:color="auto"/>
            </w:tcBorders>
            <w:shd w:val="clear" w:color="auto" w:fill="FFFFFF"/>
            <w:vAlign w:val="center"/>
          </w:tcPr>
          <w:p w14:paraId="3538FBEB" w14:textId="77777777" w:rsidR="00EE6BD9" w:rsidRPr="007E190E" w:rsidRDefault="00EE6BD9" w:rsidP="00730139">
            <w:pPr>
              <w:pStyle w:val="IATableText"/>
              <w:jc w:val="right"/>
              <w:rPr>
                <w:sz w:val="20"/>
              </w:rPr>
            </w:pPr>
          </w:p>
        </w:tc>
        <w:tc>
          <w:tcPr>
            <w:tcW w:w="2865" w:type="dxa"/>
            <w:tcBorders>
              <w:top w:val="single" w:sz="12" w:space="0" w:color="auto"/>
              <w:left w:val="single" w:sz="12" w:space="0" w:color="auto"/>
              <w:bottom w:val="single" w:sz="12" w:space="0" w:color="auto"/>
              <w:right w:val="single" w:sz="12" w:space="0" w:color="auto"/>
            </w:tcBorders>
            <w:vAlign w:val="center"/>
          </w:tcPr>
          <w:p w14:paraId="6625399D" w14:textId="77777777" w:rsidR="00EE6BD9" w:rsidRPr="007E190E" w:rsidRDefault="00EE6BD9" w:rsidP="00730139">
            <w:pPr>
              <w:pStyle w:val="POAACostsHigh"/>
              <w:rPr>
                <w:sz w:val="20"/>
              </w:rPr>
            </w:pPr>
            <w:r>
              <w:rPr>
                <w:sz w:val="20"/>
              </w:rPr>
              <w:fldChar w:fldCharType="begin">
                <w:ffData>
                  <w:name w:val="Text50"/>
                  <w:enabled/>
                  <w:calcOnExit w:val="0"/>
                  <w:textInput>
                    <w:default w:val="£0"/>
                    <w:maxLength w:val="14"/>
                  </w:textInput>
                </w:ffData>
              </w:fldChar>
            </w:r>
            <w:r>
              <w:rPr>
                <w:sz w:val="20"/>
              </w:rPr>
              <w:instrText xml:space="preserve"> FORMTEXT </w:instrText>
            </w:r>
            <w:r>
              <w:rPr>
                <w:sz w:val="20"/>
              </w:rPr>
            </w:r>
            <w:r>
              <w:rPr>
                <w:sz w:val="20"/>
              </w:rPr>
              <w:fldChar w:fldCharType="separate"/>
            </w:r>
            <w:r>
              <w:rPr>
                <w:noProof/>
                <w:sz w:val="20"/>
              </w:rPr>
              <w:t>£0</w:t>
            </w:r>
            <w:r>
              <w:rPr>
                <w:sz w:val="20"/>
              </w:rPr>
              <w:fldChar w:fldCharType="end"/>
            </w:r>
          </w:p>
        </w:tc>
        <w:tc>
          <w:tcPr>
            <w:tcW w:w="2636" w:type="dxa"/>
            <w:gridSpan w:val="2"/>
            <w:tcBorders>
              <w:top w:val="single" w:sz="12" w:space="0" w:color="auto"/>
              <w:left w:val="single" w:sz="12" w:space="0" w:color="auto"/>
              <w:bottom w:val="single" w:sz="12" w:space="0" w:color="auto"/>
            </w:tcBorders>
            <w:vAlign w:val="center"/>
          </w:tcPr>
          <w:p w14:paraId="3D2034AC" w14:textId="77777777" w:rsidR="00EE6BD9" w:rsidRPr="007E190E" w:rsidRDefault="00EE6BD9" w:rsidP="00730139">
            <w:pPr>
              <w:pStyle w:val="POTCCostsHigh"/>
              <w:rPr>
                <w:sz w:val="20"/>
              </w:rPr>
            </w:pPr>
            <w:r>
              <w:rPr>
                <w:sz w:val="20"/>
              </w:rPr>
              <w:fldChar w:fldCharType="begin">
                <w:ffData>
                  <w:name w:val="Text53"/>
                  <w:enabled/>
                  <w:calcOnExit w:val="0"/>
                  <w:textInput>
                    <w:default w:val="£0"/>
                    <w:maxLength w:val="14"/>
                  </w:textInput>
                </w:ffData>
              </w:fldChar>
            </w:r>
            <w:r>
              <w:rPr>
                <w:sz w:val="20"/>
              </w:rPr>
              <w:instrText xml:space="preserve"> FORMTEXT </w:instrText>
            </w:r>
            <w:r>
              <w:rPr>
                <w:sz w:val="20"/>
              </w:rPr>
            </w:r>
            <w:r>
              <w:rPr>
                <w:sz w:val="20"/>
              </w:rPr>
              <w:fldChar w:fldCharType="separate"/>
            </w:r>
            <w:r>
              <w:rPr>
                <w:noProof/>
                <w:sz w:val="20"/>
              </w:rPr>
              <w:t>£0</w:t>
            </w:r>
            <w:r>
              <w:rPr>
                <w:sz w:val="20"/>
              </w:rPr>
              <w:fldChar w:fldCharType="end"/>
            </w:r>
          </w:p>
        </w:tc>
      </w:tr>
      <w:tr w:rsidR="00EE6BD9" w:rsidRPr="007E190E" w14:paraId="5050D55A" w14:textId="77777777" w:rsidTr="00730139">
        <w:trPr>
          <w:trHeight w:hRule="exact" w:val="348"/>
        </w:trPr>
        <w:tc>
          <w:tcPr>
            <w:tcW w:w="2122" w:type="dxa"/>
            <w:tcBorders>
              <w:top w:val="single" w:sz="12" w:space="0" w:color="auto"/>
              <w:bottom w:val="single" w:sz="12" w:space="0" w:color="auto"/>
              <w:right w:val="single" w:sz="12" w:space="0" w:color="auto"/>
            </w:tcBorders>
            <w:shd w:val="clear" w:color="auto" w:fill="FFFFFF"/>
            <w:vAlign w:val="center"/>
          </w:tcPr>
          <w:p w14:paraId="41581AD0" w14:textId="77777777" w:rsidR="00EE6BD9" w:rsidRPr="00F63895" w:rsidRDefault="00EE6BD9" w:rsidP="00730139">
            <w:pPr>
              <w:pStyle w:val="IATableLabel"/>
            </w:pPr>
            <w:r w:rsidRPr="00F63895">
              <w:t>Best Estimate</w:t>
            </w:r>
          </w:p>
          <w:p w14:paraId="6C096C4F" w14:textId="77777777" w:rsidR="00EE6BD9" w:rsidRPr="007E190E" w:rsidRDefault="00EE6BD9" w:rsidP="00730139">
            <w:pPr>
              <w:pStyle w:val="IATableNotes"/>
              <w:spacing w:beforeLines="40" w:before="96"/>
              <w:ind w:left="0" w:right="-22"/>
              <w:jc w:val="center"/>
              <w:rPr>
                <w:rFonts w:cs="Arial"/>
                <w:b/>
                <w:sz w:val="20"/>
              </w:rPr>
            </w:pPr>
          </w:p>
        </w:tc>
        <w:tc>
          <w:tcPr>
            <w:tcW w:w="1949" w:type="dxa"/>
            <w:tcBorders>
              <w:top w:val="single" w:sz="12" w:space="0" w:color="auto"/>
              <w:left w:val="single" w:sz="12" w:space="0" w:color="auto"/>
              <w:bottom w:val="single" w:sz="12" w:space="0" w:color="auto"/>
              <w:right w:val="single" w:sz="12" w:space="0" w:color="auto"/>
            </w:tcBorders>
            <w:shd w:val="clear" w:color="auto" w:fill="FFFFFF"/>
            <w:vAlign w:val="center"/>
          </w:tcPr>
          <w:p w14:paraId="408D0F3B" w14:textId="77777777" w:rsidR="00EE6BD9" w:rsidRPr="007E190E" w:rsidRDefault="00EE6BD9" w:rsidP="00730139">
            <w:pPr>
              <w:pStyle w:val="POTTCostsBest"/>
              <w:rPr>
                <w:sz w:val="20"/>
              </w:rPr>
            </w:pPr>
            <w:r>
              <w:rPr>
                <w:sz w:val="20"/>
              </w:rPr>
              <w:fldChar w:fldCharType="begin">
                <w:ffData>
                  <w:name w:val="Text51"/>
                  <w:enabled/>
                  <w:calcOnExit w:val="0"/>
                  <w:textInput>
                    <w:default w:val="£0"/>
                    <w:maxLength w:val="14"/>
                  </w:textInput>
                </w:ffData>
              </w:fldChar>
            </w:r>
            <w:r>
              <w:rPr>
                <w:sz w:val="20"/>
              </w:rPr>
              <w:instrText xml:space="preserve"> FORMTEXT </w:instrText>
            </w:r>
            <w:r>
              <w:rPr>
                <w:sz w:val="20"/>
              </w:rPr>
            </w:r>
            <w:r>
              <w:rPr>
                <w:sz w:val="20"/>
              </w:rPr>
              <w:fldChar w:fldCharType="separate"/>
            </w:r>
            <w:r>
              <w:rPr>
                <w:noProof/>
                <w:sz w:val="20"/>
              </w:rPr>
              <w:t>£0</w:t>
            </w:r>
            <w:r>
              <w:rPr>
                <w:sz w:val="20"/>
              </w:rPr>
              <w:fldChar w:fldCharType="end"/>
            </w:r>
          </w:p>
        </w:tc>
        <w:tc>
          <w:tcPr>
            <w:tcW w:w="790" w:type="dxa"/>
            <w:vMerge/>
            <w:tcBorders>
              <w:left w:val="single" w:sz="12" w:space="0" w:color="auto"/>
              <w:right w:val="single" w:sz="12" w:space="0" w:color="auto"/>
            </w:tcBorders>
            <w:shd w:val="clear" w:color="auto" w:fill="FFFFFF"/>
            <w:vAlign w:val="center"/>
          </w:tcPr>
          <w:p w14:paraId="7E8E2013" w14:textId="77777777" w:rsidR="00EE6BD9" w:rsidRPr="007E190E" w:rsidRDefault="00EE6BD9" w:rsidP="00730139">
            <w:pPr>
              <w:pStyle w:val="IATableText"/>
              <w:jc w:val="right"/>
              <w:rPr>
                <w:sz w:val="20"/>
              </w:rPr>
            </w:pPr>
          </w:p>
        </w:tc>
        <w:tc>
          <w:tcPr>
            <w:tcW w:w="2865" w:type="dxa"/>
            <w:tcBorders>
              <w:top w:val="single" w:sz="12" w:space="0" w:color="auto"/>
              <w:left w:val="single" w:sz="12" w:space="0" w:color="auto"/>
              <w:bottom w:val="single" w:sz="12" w:space="0" w:color="auto"/>
              <w:right w:val="single" w:sz="12" w:space="0" w:color="auto"/>
            </w:tcBorders>
            <w:shd w:val="clear" w:color="auto" w:fill="FFFFFF"/>
            <w:vAlign w:val="center"/>
          </w:tcPr>
          <w:p w14:paraId="2D716A58" w14:textId="77777777" w:rsidR="00EE6BD9" w:rsidRPr="007E190E" w:rsidRDefault="00EE6BD9" w:rsidP="00730139">
            <w:pPr>
              <w:pStyle w:val="POAACostsBest"/>
              <w:rPr>
                <w:sz w:val="20"/>
              </w:rPr>
            </w:pPr>
            <w:r>
              <w:rPr>
                <w:sz w:val="20"/>
              </w:rPr>
              <w:fldChar w:fldCharType="begin">
                <w:ffData>
                  <w:name w:val=""/>
                  <w:enabled/>
                  <w:calcOnExit w:val="0"/>
                  <w:textInput>
                    <w:default w:val="£0"/>
                    <w:maxLength w:val="14"/>
                  </w:textInput>
                </w:ffData>
              </w:fldChar>
            </w:r>
            <w:r>
              <w:rPr>
                <w:sz w:val="20"/>
              </w:rPr>
              <w:instrText xml:space="preserve"> FORMTEXT </w:instrText>
            </w:r>
            <w:r>
              <w:rPr>
                <w:sz w:val="20"/>
              </w:rPr>
            </w:r>
            <w:r>
              <w:rPr>
                <w:sz w:val="20"/>
              </w:rPr>
              <w:fldChar w:fldCharType="separate"/>
            </w:r>
            <w:r>
              <w:rPr>
                <w:noProof/>
                <w:sz w:val="20"/>
              </w:rPr>
              <w:t>£0</w:t>
            </w:r>
            <w:r>
              <w:rPr>
                <w:sz w:val="20"/>
              </w:rPr>
              <w:fldChar w:fldCharType="end"/>
            </w:r>
          </w:p>
        </w:tc>
        <w:tc>
          <w:tcPr>
            <w:tcW w:w="2636" w:type="dxa"/>
            <w:gridSpan w:val="2"/>
            <w:tcBorders>
              <w:top w:val="single" w:sz="12" w:space="0" w:color="auto"/>
              <w:left w:val="single" w:sz="12" w:space="0" w:color="auto"/>
              <w:bottom w:val="single" w:sz="12" w:space="0" w:color="auto"/>
            </w:tcBorders>
            <w:shd w:val="clear" w:color="auto" w:fill="FFFFFF"/>
            <w:vAlign w:val="center"/>
          </w:tcPr>
          <w:p w14:paraId="73098C1B" w14:textId="77777777" w:rsidR="00EE6BD9" w:rsidRPr="007E190E" w:rsidRDefault="00EE6BD9" w:rsidP="00730139">
            <w:pPr>
              <w:pStyle w:val="POTCCostsBest"/>
              <w:rPr>
                <w:sz w:val="20"/>
              </w:rPr>
            </w:pPr>
            <w:r>
              <w:rPr>
                <w:sz w:val="20"/>
              </w:rPr>
              <w:fldChar w:fldCharType="begin">
                <w:ffData>
                  <w:name w:val="Text54"/>
                  <w:enabled/>
                  <w:calcOnExit w:val="0"/>
                  <w:textInput>
                    <w:default w:val="£0"/>
                    <w:maxLength w:val="14"/>
                  </w:textInput>
                </w:ffData>
              </w:fldChar>
            </w:r>
            <w:r>
              <w:rPr>
                <w:sz w:val="20"/>
              </w:rPr>
              <w:instrText xml:space="preserve"> FORMTEXT </w:instrText>
            </w:r>
            <w:r>
              <w:rPr>
                <w:sz w:val="20"/>
              </w:rPr>
            </w:r>
            <w:r>
              <w:rPr>
                <w:sz w:val="20"/>
              </w:rPr>
              <w:fldChar w:fldCharType="separate"/>
            </w:r>
            <w:r>
              <w:rPr>
                <w:noProof/>
                <w:sz w:val="20"/>
              </w:rPr>
              <w:t>£0</w:t>
            </w:r>
            <w:r>
              <w:rPr>
                <w:sz w:val="20"/>
              </w:rPr>
              <w:fldChar w:fldCharType="end"/>
            </w:r>
          </w:p>
        </w:tc>
      </w:tr>
      <w:tr w:rsidR="00EE6BD9" w:rsidRPr="00826F71" w14:paraId="39798ED1" w14:textId="77777777" w:rsidTr="000D4F90">
        <w:trPr>
          <w:trHeight w:hRule="exact" w:val="1202"/>
        </w:trPr>
        <w:tc>
          <w:tcPr>
            <w:tcW w:w="10362" w:type="dxa"/>
            <w:gridSpan w:val="6"/>
            <w:tcBorders>
              <w:bottom w:val="single" w:sz="12" w:space="0" w:color="auto"/>
            </w:tcBorders>
          </w:tcPr>
          <w:p w14:paraId="4815CD1D" w14:textId="77777777" w:rsidR="00EE6BD9" w:rsidRPr="007E190E" w:rsidRDefault="00EE6BD9" w:rsidP="00730139">
            <w:pPr>
              <w:pStyle w:val="IAPOQ1"/>
              <w:rPr>
                <w:szCs w:val="22"/>
              </w:rPr>
            </w:pPr>
            <w:r w:rsidRPr="00544292">
              <w:t xml:space="preserve">Description and scale of </w:t>
            </w:r>
            <w:r w:rsidRPr="00826F71">
              <w:t>key monetised costs</w:t>
            </w:r>
            <w:r w:rsidRPr="00544292">
              <w:t xml:space="preserve"> by ‘main affected groups’ </w:t>
            </w:r>
          </w:p>
          <w:p w14:paraId="1DC213AD" w14:textId="3F4C4CFC" w:rsidR="00EE6BD9" w:rsidRPr="00826F71" w:rsidRDefault="00000153" w:rsidP="00000153">
            <w:pPr>
              <w:pStyle w:val="IAPOQ1"/>
            </w:pPr>
            <w:r w:rsidRPr="00000153">
              <w:rPr>
                <w:b w:val="0"/>
                <w:color w:val="auto"/>
                <w:sz w:val="22"/>
              </w:rPr>
              <w:t xml:space="preserve">The setting of the credit limit </w:t>
            </w:r>
            <w:r w:rsidR="004130CB">
              <w:rPr>
                <w:b w:val="0"/>
                <w:color w:val="auto"/>
                <w:sz w:val="22"/>
              </w:rPr>
              <w:t xml:space="preserve">by itself </w:t>
            </w:r>
            <w:r w:rsidRPr="00000153">
              <w:rPr>
                <w:b w:val="0"/>
                <w:color w:val="auto"/>
                <w:sz w:val="22"/>
              </w:rPr>
              <w:t xml:space="preserve">will not lead to any direct costs to </w:t>
            </w:r>
            <w:r w:rsidR="0043755D">
              <w:rPr>
                <w:b w:val="0"/>
                <w:color w:val="auto"/>
                <w:sz w:val="22"/>
              </w:rPr>
              <w:t>g</w:t>
            </w:r>
            <w:r w:rsidRPr="00000153">
              <w:rPr>
                <w:b w:val="0"/>
                <w:color w:val="auto"/>
                <w:sz w:val="22"/>
              </w:rPr>
              <w:t>overnment, business or consumers. If a</w:t>
            </w:r>
            <w:r w:rsidR="004130CB">
              <w:rPr>
                <w:b w:val="0"/>
                <w:color w:val="auto"/>
                <w:sz w:val="22"/>
              </w:rPr>
              <w:t xml:space="preserve"> </w:t>
            </w:r>
            <w:r w:rsidRPr="00000153">
              <w:rPr>
                <w:b w:val="0"/>
                <w:color w:val="auto"/>
                <w:sz w:val="22"/>
              </w:rPr>
              <w:t xml:space="preserve">subsequent decision to purchase credits was made, it would result in a financial cost to the UK (see </w:t>
            </w:r>
            <w:r>
              <w:rPr>
                <w:b w:val="0"/>
                <w:color w:val="auto"/>
                <w:sz w:val="22"/>
              </w:rPr>
              <w:t xml:space="preserve">section 6 </w:t>
            </w:r>
            <w:r w:rsidRPr="00000153">
              <w:rPr>
                <w:b w:val="0"/>
                <w:color w:val="auto"/>
                <w:sz w:val="22"/>
              </w:rPr>
              <w:t>for illustrative scenario</w:t>
            </w:r>
            <w:r>
              <w:rPr>
                <w:b w:val="0"/>
                <w:color w:val="auto"/>
                <w:sz w:val="22"/>
              </w:rPr>
              <w:t>s</w:t>
            </w:r>
            <w:r w:rsidRPr="00000153">
              <w:rPr>
                <w:b w:val="0"/>
                <w:color w:val="auto"/>
                <w:sz w:val="22"/>
              </w:rPr>
              <w:t>).</w:t>
            </w:r>
          </w:p>
        </w:tc>
      </w:tr>
      <w:tr w:rsidR="00EE6BD9" w:rsidRPr="00826F71" w14:paraId="0CDEBECD" w14:textId="77777777" w:rsidTr="000D4F90">
        <w:trPr>
          <w:trHeight w:hRule="exact" w:val="2063"/>
        </w:trPr>
        <w:tc>
          <w:tcPr>
            <w:tcW w:w="10362" w:type="dxa"/>
            <w:gridSpan w:val="6"/>
            <w:tcBorders>
              <w:top w:val="single" w:sz="12" w:space="0" w:color="auto"/>
              <w:bottom w:val="single" w:sz="12" w:space="0" w:color="auto"/>
            </w:tcBorders>
          </w:tcPr>
          <w:p w14:paraId="0768BFE5" w14:textId="77777777" w:rsidR="00EE6BD9" w:rsidRPr="007E190E" w:rsidRDefault="00EE6BD9" w:rsidP="00730139">
            <w:pPr>
              <w:pStyle w:val="IAPOQ2"/>
              <w:rPr>
                <w:szCs w:val="22"/>
              </w:rPr>
            </w:pPr>
            <w:r w:rsidRPr="00544292">
              <w:t>Other</w:t>
            </w:r>
            <w:r w:rsidRPr="00826F71">
              <w:t xml:space="preserve"> key non-monetised costs</w:t>
            </w:r>
            <w:r w:rsidRPr="00544292">
              <w:t xml:space="preserve"> by ‘main affected groups’ </w:t>
            </w:r>
          </w:p>
          <w:p w14:paraId="41C125C4" w14:textId="6D322680" w:rsidR="00B948DB" w:rsidRPr="007126D0" w:rsidRDefault="00B948DB" w:rsidP="007126D0">
            <w:pPr>
              <w:pStyle w:val="IAPOA4"/>
            </w:pPr>
            <w:r w:rsidRPr="007126D0">
              <w:t xml:space="preserve">The scope for the </w:t>
            </w:r>
            <w:r w:rsidR="0043755D" w:rsidRPr="007126D0">
              <w:t>g</w:t>
            </w:r>
            <w:r w:rsidRPr="007126D0">
              <w:t>overnment to use credits to meet the carbon budget could lead investors to expect that</w:t>
            </w:r>
          </w:p>
          <w:p w14:paraId="279B537E" w14:textId="089F91DE" w:rsidR="00EE6BD9" w:rsidRPr="007E190E" w:rsidRDefault="00B948DB" w:rsidP="007126D0">
            <w:pPr>
              <w:pStyle w:val="IAPOA4"/>
              <w:rPr>
                <w:szCs w:val="22"/>
              </w:rPr>
            </w:pPr>
            <w:r w:rsidRPr="007126D0">
              <w:t>policy would target a slower rate of domestic emissions reduction in the near-term. This could affect</w:t>
            </w:r>
            <w:r w:rsidR="000D4F90" w:rsidRPr="007126D0">
              <w:t xml:space="preserve"> </w:t>
            </w:r>
            <w:r w:rsidR="007126D0" w:rsidRPr="007126D0">
              <w:t>i</w:t>
            </w:r>
            <w:r w:rsidRPr="007126D0">
              <w:t>nvestment decisions in low-carbon infrastructure and supply chains, although this impact is likely to be</w:t>
            </w:r>
            <w:r w:rsidR="000D4F90" w:rsidRPr="007126D0">
              <w:t xml:space="preserve"> </w:t>
            </w:r>
            <w:r w:rsidRPr="007126D0">
              <w:t>minimal. A limit of 55 MtCO2e would have a lower risk around investment decisions compared to 90</w:t>
            </w:r>
            <w:r w:rsidR="000D4F90" w:rsidRPr="007126D0">
              <w:t>/</w:t>
            </w:r>
            <w:r w:rsidRPr="007126D0">
              <w:t>tCO2e</w:t>
            </w:r>
            <w:r w:rsidR="000D4F90" w:rsidRPr="007126D0">
              <w:t xml:space="preserve"> </w:t>
            </w:r>
            <w:r w:rsidRPr="007126D0">
              <w:t>as it is equal to the second carbon budget credit limit and places a greater constraint than option 3 on the</w:t>
            </w:r>
            <w:r w:rsidR="000D4F90" w:rsidRPr="007126D0">
              <w:t xml:space="preserve"> </w:t>
            </w:r>
            <w:r w:rsidRPr="007126D0">
              <w:t>Government’s ability to meet the carbon budget through credits.</w:t>
            </w:r>
            <w:r w:rsidRPr="00B72EE5">
              <w:rPr>
                <w:b/>
                <w:szCs w:val="22"/>
              </w:rPr>
              <w:t xml:space="preserve"> </w:t>
            </w:r>
          </w:p>
        </w:tc>
      </w:tr>
      <w:tr w:rsidR="00EE6BD9" w:rsidRPr="007E190E" w14:paraId="0C88EFC0" w14:textId="77777777" w:rsidTr="00730139">
        <w:trPr>
          <w:trHeight w:hRule="exact" w:val="567"/>
        </w:trPr>
        <w:tc>
          <w:tcPr>
            <w:tcW w:w="2122" w:type="dxa"/>
            <w:tcBorders>
              <w:bottom w:val="single" w:sz="12" w:space="0" w:color="auto"/>
              <w:right w:val="single" w:sz="12" w:space="0" w:color="auto"/>
            </w:tcBorders>
            <w:shd w:val="clear" w:color="auto" w:fill="FFFFFF"/>
          </w:tcPr>
          <w:p w14:paraId="584A7086" w14:textId="77777777" w:rsidR="00EE6BD9" w:rsidRPr="007E190E" w:rsidRDefault="00EE6BD9" w:rsidP="00730139">
            <w:pPr>
              <w:pStyle w:val="IATableLabel"/>
              <w:rPr>
                <w:sz w:val="24"/>
                <w:szCs w:val="24"/>
              </w:rPr>
            </w:pPr>
            <w:r w:rsidRPr="007E190E">
              <w:rPr>
                <w:sz w:val="24"/>
                <w:szCs w:val="24"/>
              </w:rPr>
              <w:t xml:space="preserve">BENEFITS </w:t>
            </w:r>
            <w:r>
              <w:rPr>
                <w:sz w:val="24"/>
                <w:szCs w:val="24"/>
              </w:rPr>
              <w:t>(</w:t>
            </w:r>
            <w:r w:rsidRPr="007E190E">
              <w:rPr>
                <w:sz w:val="24"/>
                <w:szCs w:val="24"/>
              </w:rPr>
              <w:t>£m)</w:t>
            </w:r>
          </w:p>
        </w:tc>
        <w:tc>
          <w:tcPr>
            <w:tcW w:w="2739" w:type="dxa"/>
            <w:gridSpan w:val="2"/>
            <w:tcBorders>
              <w:top w:val="single" w:sz="12" w:space="0" w:color="auto"/>
              <w:left w:val="single" w:sz="12" w:space="0" w:color="auto"/>
              <w:right w:val="single" w:sz="12" w:space="0" w:color="auto"/>
            </w:tcBorders>
          </w:tcPr>
          <w:p w14:paraId="3ACBAB68" w14:textId="77777777" w:rsidR="00EE6BD9" w:rsidRPr="00826F71" w:rsidRDefault="00EE6BD9" w:rsidP="00730139">
            <w:pPr>
              <w:pStyle w:val="IATableLabel"/>
              <w:tabs>
                <w:tab w:val="right" w:pos="1797"/>
                <w:tab w:val="center" w:pos="2340"/>
              </w:tabs>
              <w:jc w:val="right"/>
            </w:pPr>
            <w:r w:rsidRPr="00826F71">
              <w:t xml:space="preserve">Total Transition </w:t>
            </w:r>
            <w:r>
              <w:br/>
            </w:r>
            <w:r>
              <w:tab/>
            </w:r>
            <w:r w:rsidRPr="007E190E">
              <w:rPr>
                <w:b w:val="0"/>
                <w:sz w:val="18"/>
                <w:szCs w:val="18"/>
              </w:rPr>
              <w:t>(Constant Price)</w:t>
            </w:r>
            <w:r>
              <w:tab/>
            </w:r>
            <w:r w:rsidRPr="007E190E">
              <w:rPr>
                <w:b w:val="0"/>
                <w:sz w:val="18"/>
                <w:szCs w:val="18"/>
              </w:rPr>
              <w:t>Yea</w:t>
            </w:r>
            <w:r w:rsidRPr="007E190E">
              <w:rPr>
                <w:b w:val="0"/>
                <w:bCs/>
                <w:sz w:val="18"/>
                <w:szCs w:val="18"/>
              </w:rPr>
              <w:t>r</w:t>
            </w:r>
            <w:r w:rsidRPr="007E190E">
              <w:rPr>
                <w:b w:val="0"/>
                <w:sz w:val="18"/>
                <w:szCs w:val="18"/>
              </w:rPr>
              <w:t>s</w:t>
            </w:r>
          </w:p>
          <w:p w14:paraId="327B8FBF" w14:textId="77777777" w:rsidR="00EE6BD9" w:rsidRPr="00826F71" w:rsidRDefault="00EE6BD9" w:rsidP="00730139">
            <w:pPr>
              <w:pStyle w:val="IATableLabel"/>
              <w:jc w:val="right"/>
            </w:pPr>
            <w:r>
              <w:br/>
            </w:r>
          </w:p>
        </w:tc>
        <w:tc>
          <w:tcPr>
            <w:tcW w:w="2865" w:type="dxa"/>
            <w:tcBorders>
              <w:left w:val="single" w:sz="12" w:space="0" w:color="auto"/>
              <w:bottom w:val="single" w:sz="12" w:space="0" w:color="auto"/>
              <w:right w:val="single" w:sz="12" w:space="0" w:color="auto"/>
            </w:tcBorders>
          </w:tcPr>
          <w:p w14:paraId="4946597E" w14:textId="77777777" w:rsidR="00EE6BD9" w:rsidRPr="007E190E" w:rsidRDefault="00EE6BD9" w:rsidP="00730139">
            <w:pPr>
              <w:pStyle w:val="IATableLabel"/>
              <w:jc w:val="right"/>
              <w:rPr>
                <w:rFonts w:cs="Arial"/>
                <w:bCs/>
              </w:rPr>
            </w:pPr>
            <w:r w:rsidRPr="00826F71">
              <w:t>Average Annual</w:t>
            </w:r>
            <w:r w:rsidRPr="000C031E">
              <w:t xml:space="preserve"> </w:t>
            </w:r>
            <w:r>
              <w:br/>
            </w:r>
            <w:r w:rsidRPr="007E190E">
              <w:rPr>
                <w:b w:val="0"/>
                <w:sz w:val="18"/>
                <w:szCs w:val="18"/>
              </w:rPr>
              <w:t xml:space="preserve">(excl. Transition) </w:t>
            </w:r>
            <w:r w:rsidRPr="007E190E">
              <w:rPr>
                <w:rFonts w:cs="Arial"/>
                <w:b w:val="0"/>
                <w:bCs/>
                <w:sz w:val="18"/>
                <w:szCs w:val="18"/>
              </w:rPr>
              <w:t>(Constant Price)</w:t>
            </w:r>
          </w:p>
        </w:tc>
        <w:tc>
          <w:tcPr>
            <w:tcW w:w="2636" w:type="dxa"/>
            <w:gridSpan w:val="2"/>
            <w:tcBorders>
              <w:top w:val="single" w:sz="12" w:space="0" w:color="auto"/>
              <w:left w:val="single" w:sz="12" w:space="0" w:color="auto"/>
              <w:bottom w:val="single" w:sz="12" w:space="0" w:color="auto"/>
            </w:tcBorders>
          </w:tcPr>
          <w:p w14:paraId="2AE41F13" w14:textId="77777777" w:rsidR="00EE6BD9" w:rsidRPr="00826F71" w:rsidRDefault="00EE6BD9" w:rsidP="00730139">
            <w:pPr>
              <w:pStyle w:val="IATableLabel"/>
              <w:jc w:val="right"/>
            </w:pPr>
            <w:r w:rsidRPr="00826F71">
              <w:t xml:space="preserve">Total </w:t>
            </w:r>
            <w:r>
              <w:t>Benefit</w:t>
            </w:r>
            <w:r w:rsidRPr="007E190E">
              <w:rPr>
                <w:b w:val="0"/>
                <w:sz w:val="18"/>
                <w:szCs w:val="18"/>
              </w:rPr>
              <w:t xml:space="preserve"> </w:t>
            </w:r>
            <w:r w:rsidRPr="007E190E">
              <w:rPr>
                <w:b w:val="0"/>
                <w:sz w:val="18"/>
                <w:szCs w:val="18"/>
              </w:rPr>
              <w:br/>
              <w:t>(Present Value)</w:t>
            </w:r>
          </w:p>
        </w:tc>
      </w:tr>
      <w:tr w:rsidR="00EE6BD9" w:rsidRPr="007E190E" w14:paraId="4D63B71C" w14:textId="77777777" w:rsidTr="00730139">
        <w:trPr>
          <w:trHeight w:hRule="exact" w:val="348"/>
        </w:trPr>
        <w:tc>
          <w:tcPr>
            <w:tcW w:w="2122" w:type="dxa"/>
            <w:tcBorders>
              <w:top w:val="single" w:sz="12" w:space="0" w:color="auto"/>
              <w:bottom w:val="single" w:sz="12" w:space="0" w:color="auto"/>
              <w:right w:val="single" w:sz="12" w:space="0" w:color="auto"/>
            </w:tcBorders>
            <w:vAlign w:val="center"/>
          </w:tcPr>
          <w:p w14:paraId="7C62560A" w14:textId="77777777" w:rsidR="00EE6BD9" w:rsidRPr="00826F71" w:rsidRDefault="00EE6BD9" w:rsidP="00730139">
            <w:pPr>
              <w:pStyle w:val="IATableLabel"/>
            </w:pPr>
            <w:r w:rsidRPr="00826F71">
              <w:t xml:space="preserve">Low </w:t>
            </w:r>
          </w:p>
        </w:tc>
        <w:tc>
          <w:tcPr>
            <w:tcW w:w="1949" w:type="dxa"/>
            <w:tcBorders>
              <w:top w:val="single" w:sz="12" w:space="0" w:color="auto"/>
              <w:left w:val="single" w:sz="12" w:space="0" w:color="auto"/>
              <w:bottom w:val="single" w:sz="12" w:space="0" w:color="auto"/>
              <w:right w:val="single" w:sz="12" w:space="0" w:color="auto"/>
            </w:tcBorders>
            <w:vAlign w:val="center"/>
          </w:tcPr>
          <w:p w14:paraId="638BADCC" w14:textId="77777777" w:rsidR="00EE6BD9" w:rsidRPr="007E190E" w:rsidRDefault="00EE6BD9" w:rsidP="00730139">
            <w:pPr>
              <w:pStyle w:val="POTTBenLow"/>
              <w:rPr>
                <w:sz w:val="20"/>
              </w:rPr>
            </w:pPr>
            <w:r>
              <w:rPr>
                <w:sz w:val="20"/>
              </w:rPr>
              <w:fldChar w:fldCharType="begin">
                <w:ffData>
                  <w:name w:val=""/>
                  <w:enabled/>
                  <w:calcOnExit w:val="0"/>
                  <w:textInput>
                    <w:default w:val="£0"/>
                    <w:maxLength w:val="14"/>
                  </w:textInput>
                </w:ffData>
              </w:fldChar>
            </w:r>
            <w:r>
              <w:rPr>
                <w:sz w:val="20"/>
              </w:rPr>
              <w:instrText xml:space="preserve"> FORMTEXT </w:instrText>
            </w:r>
            <w:r>
              <w:rPr>
                <w:sz w:val="20"/>
              </w:rPr>
            </w:r>
            <w:r>
              <w:rPr>
                <w:sz w:val="20"/>
              </w:rPr>
              <w:fldChar w:fldCharType="separate"/>
            </w:r>
            <w:r>
              <w:rPr>
                <w:noProof/>
                <w:sz w:val="20"/>
              </w:rPr>
              <w:t>£0</w:t>
            </w:r>
            <w:r>
              <w:rPr>
                <w:sz w:val="20"/>
              </w:rPr>
              <w:fldChar w:fldCharType="end"/>
            </w:r>
          </w:p>
        </w:tc>
        <w:tc>
          <w:tcPr>
            <w:tcW w:w="790" w:type="dxa"/>
            <w:vMerge w:val="restart"/>
            <w:tcBorders>
              <w:top w:val="single" w:sz="12" w:space="0" w:color="auto"/>
              <w:left w:val="single" w:sz="12" w:space="0" w:color="auto"/>
              <w:right w:val="single" w:sz="12" w:space="0" w:color="auto"/>
            </w:tcBorders>
            <w:vAlign w:val="center"/>
          </w:tcPr>
          <w:p w14:paraId="0097682B" w14:textId="77777777" w:rsidR="00EE6BD9" w:rsidRPr="007E190E" w:rsidRDefault="00EE6BD9" w:rsidP="00730139">
            <w:pPr>
              <w:pStyle w:val="IATableText"/>
              <w:jc w:val="center"/>
              <w:rPr>
                <w:sz w:val="20"/>
              </w:rPr>
            </w:pPr>
            <w:r w:rsidRPr="007E190E">
              <w:rPr>
                <w:sz w:val="20"/>
              </w:rPr>
              <w:fldChar w:fldCharType="begin">
                <w:ffData>
                  <w:name w:val="Text48"/>
                  <w:enabled/>
                  <w:calcOnExit w:val="0"/>
                  <w:textInput>
                    <w:maxLength w:val="3"/>
                  </w:textInput>
                </w:ffData>
              </w:fldChar>
            </w:r>
            <w:r w:rsidRPr="007E190E">
              <w:rPr>
                <w:sz w:val="20"/>
              </w:rPr>
              <w:instrText xml:space="preserve"> FORMTEXT </w:instrText>
            </w:r>
            <w:r w:rsidRPr="007E190E">
              <w:rPr>
                <w:sz w:val="20"/>
              </w:rPr>
            </w:r>
            <w:r w:rsidRPr="007E190E">
              <w:rPr>
                <w:sz w:val="20"/>
              </w:rPr>
              <w:fldChar w:fldCharType="separate"/>
            </w:r>
            <w:r w:rsidRPr="007E190E">
              <w:rPr>
                <w:noProof/>
                <w:sz w:val="20"/>
              </w:rPr>
              <w:t> </w:t>
            </w:r>
            <w:r w:rsidRPr="007E190E">
              <w:rPr>
                <w:noProof/>
                <w:sz w:val="20"/>
              </w:rPr>
              <w:t> </w:t>
            </w:r>
            <w:r w:rsidRPr="007E190E">
              <w:rPr>
                <w:noProof/>
                <w:sz w:val="20"/>
              </w:rPr>
              <w:t> </w:t>
            </w:r>
            <w:r w:rsidRPr="007E190E">
              <w:rPr>
                <w:sz w:val="20"/>
              </w:rPr>
              <w:fldChar w:fldCharType="end"/>
            </w:r>
          </w:p>
        </w:tc>
        <w:tc>
          <w:tcPr>
            <w:tcW w:w="2865" w:type="dxa"/>
            <w:tcBorders>
              <w:top w:val="single" w:sz="12" w:space="0" w:color="auto"/>
              <w:left w:val="single" w:sz="12" w:space="0" w:color="auto"/>
              <w:bottom w:val="single" w:sz="12" w:space="0" w:color="auto"/>
              <w:right w:val="single" w:sz="12" w:space="0" w:color="auto"/>
            </w:tcBorders>
            <w:vAlign w:val="center"/>
          </w:tcPr>
          <w:p w14:paraId="4B83F32A" w14:textId="77777777" w:rsidR="00EE6BD9" w:rsidRPr="007E190E" w:rsidRDefault="00EE6BD9" w:rsidP="00730139">
            <w:pPr>
              <w:pStyle w:val="POAABenLow"/>
              <w:rPr>
                <w:sz w:val="20"/>
              </w:rPr>
            </w:pPr>
            <w:r>
              <w:rPr>
                <w:sz w:val="20"/>
              </w:rPr>
              <w:fldChar w:fldCharType="begin">
                <w:ffData>
                  <w:name w:val=""/>
                  <w:enabled/>
                  <w:calcOnExit w:val="0"/>
                  <w:textInput>
                    <w:default w:val="£0"/>
                    <w:maxLength w:val="14"/>
                  </w:textInput>
                </w:ffData>
              </w:fldChar>
            </w:r>
            <w:r>
              <w:rPr>
                <w:sz w:val="20"/>
              </w:rPr>
              <w:instrText xml:space="preserve"> FORMTEXT </w:instrText>
            </w:r>
            <w:r>
              <w:rPr>
                <w:sz w:val="20"/>
              </w:rPr>
            </w:r>
            <w:r>
              <w:rPr>
                <w:sz w:val="20"/>
              </w:rPr>
              <w:fldChar w:fldCharType="separate"/>
            </w:r>
            <w:r>
              <w:rPr>
                <w:noProof/>
                <w:sz w:val="20"/>
              </w:rPr>
              <w:t>£0</w:t>
            </w:r>
            <w:r>
              <w:rPr>
                <w:sz w:val="20"/>
              </w:rPr>
              <w:fldChar w:fldCharType="end"/>
            </w:r>
          </w:p>
        </w:tc>
        <w:tc>
          <w:tcPr>
            <w:tcW w:w="2636" w:type="dxa"/>
            <w:gridSpan w:val="2"/>
            <w:tcBorders>
              <w:top w:val="single" w:sz="12" w:space="0" w:color="auto"/>
              <w:left w:val="single" w:sz="12" w:space="0" w:color="auto"/>
              <w:bottom w:val="single" w:sz="12" w:space="0" w:color="auto"/>
            </w:tcBorders>
            <w:vAlign w:val="center"/>
          </w:tcPr>
          <w:p w14:paraId="20147F48" w14:textId="77777777" w:rsidR="00EE6BD9" w:rsidRPr="007E190E" w:rsidRDefault="00EE6BD9" w:rsidP="00730139">
            <w:pPr>
              <w:pStyle w:val="POTBBenLow"/>
              <w:rPr>
                <w:sz w:val="20"/>
              </w:rPr>
            </w:pPr>
            <w:r>
              <w:rPr>
                <w:sz w:val="20"/>
              </w:rPr>
              <w:fldChar w:fldCharType="begin">
                <w:ffData>
                  <w:name w:val=""/>
                  <w:enabled/>
                  <w:calcOnExit w:val="0"/>
                  <w:textInput>
                    <w:default w:val="£0"/>
                    <w:maxLength w:val="14"/>
                  </w:textInput>
                </w:ffData>
              </w:fldChar>
            </w:r>
            <w:r>
              <w:rPr>
                <w:sz w:val="20"/>
              </w:rPr>
              <w:instrText xml:space="preserve"> FORMTEXT </w:instrText>
            </w:r>
            <w:r>
              <w:rPr>
                <w:sz w:val="20"/>
              </w:rPr>
            </w:r>
            <w:r>
              <w:rPr>
                <w:sz w:val="20"/>
              </w:rPr>
              <w:fldChar w:fldCharType="separate"/>
            </w:r>
            <w:r>
              <w:rPr>
                <w:noProof/>
                <w:sz w:val="20"/>
              </w:rPr>
              <w:t>£0</w:t>
            </w:r>
            <w:r>
              <w:rPr>
                <w:sz w:val="20"/>
              </w:rPr>
              <w:fldChar w:fldCharType="end"/>
            </w:r>
          </w:p>
        </w:tc>
      </w:tr>
      <w:tr w:rsidR="00EE6BD9" w:rsidRPr="007E190E" w14:paraId="758C8666" w14:textId="77777777" w:rsidTr="00730139">
        <w:trPr>
          <w:trHeight w:hRule="exact" w:val="348"/>
        </w:trPr>
        <w:tc>
          <w:tcPr>
            <w:tcW w:w="2122" w:type="dxa"/>
            <w:tcBorders>
              <w:top w:val="single" w:sz="12" w:space="0" w:color="auto"/>
              <w:bottom w:val="single" w:sz="12" w:space="0" w:color="auto"/>
              <w:right w:val="single" w:sz="12" w:space="0" w:color="auto"/>
            </w:tcBorders>
            <w:vAlign w:val="center"/>
          </w:tcPr>
          <w:p w14:paraId="057491BB" w14:textId="77777777" w:rsidR="00EE6BD9" w:rsidRPr="00826F71" w:rsidRDefault="00EE6BD9" w:rsidP="00730139">
            <w:pPr>
              <w:pStyle w:val="IATableLabel"/>
            </w:pPr>
            <w:r w:rsidRPr="00826F71">
              <w:t xml:space="preserve">High </w:t>
            </w:r>
          </w:p>
        </w:tc>
        <w:tc>
          <w:tcPr>
            <w:tcW w:w="1949" w:type="dxa"/>
            <w:tcBorders>
              <w:top w:val="single" w:sz="12" w:space="0" w:color="auto"/>
              <w:left w:val="single" w:sz="12" w:space="0" w:color="auto"/>
              <w:bottom w:val="single" w:sz="12" w:space="0" w:color="auto"/>
              <w:right w:val="single" w:sz="12" w:space="0" w:color="auto"/>
            </w:tcBorders>
            <w:vAlign w:val="center"/>
          </w:tcPr>
          <w:p w14:paraId="64075D44" w14:textId="77777777" w:rsidR="00EE6BD9" w:rsidRPr="007E190E" w:rsidRDefault="00EE6BD9" w:rsidP="00730139">
            <w:pPr>
              <w:pStyle w:val="POTTBenHigh"/>
              <w:rPr>
                <w:sz w:val="20"/>
              </w:rPr>
            </w:pPr>
            <w:r>
              <w:rPr>
                <w:sz w:val="20"/>
              </w:rPr>
              <w:fldChar w:fldCharType="begin">
                <w:ffData>
                  <w:name w:val=""/>
                  <w:enabled/>
                  <w:calcOnExit w:val="0"/>
                  <w:textInput>
                    <w:default w:val="£0"/>
                    <w:maxLength w:val="14"/>
                  </w:textInput>
                </w:ffData>
              </w:fldChar>
            </w:r>
            <w:r>
              <w:rPr>
                <w:sz w:val="20"/>
              </w:rPr>
              <w:instrText xml:space="preserve"> FORMTEXT </w:instrText>
            </w:r>
            <w:r>
              <w:rPr>
                <w:sz w:val="20"/>
              </w:rPr>
            </w:r>
            <w:r>
              <w:rPr>
                <w:sz w:val="20"/>
              </w:rPr>
              <w:fldChar w:fldCharType="separate"/>
            </w:r>
            <w:r>
              <w:rPr>
                <w:noProof/>
                <w:sz w:val="20"/>
              </w:rPr>
              <w:t>£0</w:t>
            </w:r>
            <w:r>
              <w:rPr>
                <w:sz w:val="20"/>
              </w:rPr>
              <w:fldChar w:fldCharType="end"/>
            </w:r>
          </w:p>
        </w:tc>
        <w:tc>
          <w:tcPr>
            <w:tcW w:w="790" w:type="dxa"/>
            <w:vMerge/>
            <w:tcBorders>
              <w:left w:val="single" w:sz="12" w:space="0" w:color="auto"/>
              <w:right w:val="single" w:sz="12" w:space="0" w:color="auto"/>
            </w:tcBorders>
            <w:shd w:val="clear" w:color="auto" w:fill="FFFFFF"/>
            <w:vAlign w:val="center"/>
          </w:tcPr>
          <w:p w14:paraId="0991EB99" w14:textId="77777777" w:rsidR="00EE6BD9" w:rsidRPr="007E190E" w:rsidRDefault="00EE6BD9" w:rsidP="00730139">
            <w:pPr>
              <w:pStyle w:val="IATableText"/>
              <w:jc w:val="right"/>
              <w:rPr>
                <w:sz w:val="20"/>
              </w:rPr>
            </w:pPr>
          </w:p>
        </w:tc>
        <w:tc>
          <w:tcPr>
            <w:tcW w:w="2865" w:type="dxa"/>
            <w:tcBorders>
              <w:top w:val="single" w:sz="12" w:space="0" w:color="auto"/>
              <w:left w:val="single" w:sz="12" w:space="0" w:color="auto"/>
              <w:bottom w:val="single" w:sz="12" w:space="0" w:color="auto"/>
              <w:right w:val="single" w:sz="12" w:space="0" w:color="auto"/>
            </w:tcBorders>
            <w:vAlign w:val="center"/>
          </w:tcPr>
          <w:p w14:paraId="3E0803A8" w14:textId="77777777" w:rsidR="00EE6BD9" w:rsidRPr="007E190E" w:rsidRDefault="00EE6BD9" w:rsidP="00730139">
            <w:pPr>
              <w:pStyle w:val="POAABenHigh"/>
              <w:rPr>
                <w:sz w:val="20"/>
              </w:rPr>
            </w:pPr>
            <w:r>
              <w:rPr>
                <w:sz w:val="20"/>
              </w:rPr>
              <w:fldChar w:fldCharType="begin">
                <w:ffData>
                  <w:name w:val=""/>
                  <w:enabled/>
                  <w:calcOnExit w:val="0"/>
                  <w:textInput>
                    <w:default w:val="£0"/>
                    <w:maxLength w:val="14"/>
                  </w:textInput>
                </w:ffData>
              </w:fldChar>
            </w:r>
            <w:r>
              <w:rPr>
                <w:sz w:val="20"/>
              </w:rPr>
              <w:instrText xml:space="preserve"> FORMTEXT </w:instrText>
            </w:r>
            <w:r>
              <w:rPr>
                <w:sz w:val="20"/>
              </w:rPr>
            </w:r>
            <w:r>
              <w:rPr>
                <w:sz w:val="20"/>
              </w:rPr>
              <w:fldChar w:fldCharType="separate"/>
            </w:r>
            <w:r>
              <w:rPr>
                <w:noProof/>
                <w:sz w:val="20"/>
              </w:rPr>
              <w:t>£0</w:t>
            </w:r>
            <w:r>
              <w:rPr>
                <w:sz w:val="20"/>
              </w:rPr>
              <w:fldChar w:fldCharType="end"/>
            </w:r>
          </w:p>
        </w:tc>
        <w:tc>
          <w:tcPr>
            <w:tcW w:w="2636" w:type="dxa"/>
            <w:gridSpan w:val="2"/>
            <w:tcBorders>
              <w:top w:val="single" w:sz="12" w:space="0" w:color="auto"/>
              <w:left w:val="single" w:sz="12" w:space="0" w:color="auto"/>
              <w:bottom w:val="single" w:sz="12" w:space="0" w:color="auto"/>
            </w:tcBorders>
            <w:vAlign w:val="center"/>
          </w:tcPr>
          <w:p w14:paraId="54810AEA" w14:textId="77777777" w:rsidR="00EE6BD9" w:rsidRPr="007E190E" w:rsidRDefault="00EE6BD9" w:rsidP="00730139">
            <w:pPr>
              <w:pStyle w:val="POTBBenHigh"/>
              <w:rPr>
                <w:sz w:val="20"/>
              </w:rPr>
            </w:pPr>
            <w:r>
              <w:rPr>
                <w:sz w:val="20"/>
              </w:rPr>
              <w:fldChar w:fldCharType="begin">
                <w:ffData>
                  <w:name w:val=""/>
                  <w:enabled/>
                  <w:calcOnExit w:val="0"/>
                  <w:textInput>
                    <w:default w:val="£0"/>
                    <w:maxLength w:val="14"/>
                  </w:textInput>
                </w:ffData>
              </w:fldChar>
            </w:r>
            <w:r>
              <w:rPr>
                <w:sz w:val="20"/>
              </w:rPr>
              <w:instrText xml:space="preserve"> FORMTEXT </w:instrText>
            </w:r>
            <w:r>
              <w:rPr>
                <w:sz w:val="20"/>
              </w:rPr>
            </w:r>
            <w:r>
              <w:rPr>
                <w:sz w:val="20"/>
              </w:rPr>
              <w:fldChar w:fldCharType="separate"/>
            </w:r>
            <w:r>
              <w:rPr>
                <w:noProof/>
                <w:sz w:val="20"/>
              </w:rPr>
              <w:t>£0</w:t>
            </w:r>
            <w:r>
              <w:rPr>
                <w:sz w:val="20"/>
              </w:rPr>
              <w:fldChar w:fldCharType="end"/>
            </w:r>
          </w:p>
        </w:tc>
      </w:tr>
      <w:tr w:rsidR="00EE6BD9" w:rsidRPr="007E190E" w14:paraId="542A9AD2" w14:textId="77777777" w:rsidTr="00730139">
        <w:trPr>
          <w:trHeight w:hRule="exact" w:val="348"/>
        </w:trPr>
        <w:tc>
          <w:tcPr>
            <w:tcW w:w="2122" w:type="dxa"/>
            <w:tcBorders>
              <w:top w:val="single" w:sz="12" w:space="0" w:color="auto"/>
              <w:bottom w:val="single" w:sz="12" w:space="0" w:color="auto"/>
              <w:right w:val="single" w:sz="12" w:space="0" w:color="auto"/>
            </w:tcBorders>
            <w:shd w:val="clear" w:color="auto" w:fill="FFFFFF"/>
            <w:vAlign w:val="center"/>
          </w:tcPr>
          <w:p w14:paraId="2B0CFDA1" w14:textId="77777777" w:rsidR="00EE6BD9" w:rsidRPr="00826F71" w:rsidRDefault="00EE6BD9" w:rsidP="00730139">
            <w:pPr>
              <w:pStyle w:val="IATableLabel"/>
            </w:pPr>
            <w:r w:rsidRPr="00826F71">
              <w:t xml:space="preserve">Best </w:t>
            </w:r>
            <w:r>
              <w:t>E</w:t>
            </w:r>
            <w:r w:rsidRPr="00826F71">
              <w:t>stimate</w:t>
            </w:r>
          </w:p>
          <w:p w14:paraId="2C6AC5A8" w14:textId="77777777" w:rsidR="00EE6BD9" w:rsidRPr="007E190E" w:rsidRDefault="00EE6BD9" w:rsidP="00730139">
            <w:pPr>
              <w:pStyle w:val="IATableNotes"/>
              <w:spacing w:beforeLines="40" w:before="96"/>
              <w:ind w:left="0" w:right="-22"/>
              <w:jc w:val="center"/>
              <w:rPr>
                <w:rFonts w:cs="Arial"/>
                <w:b/>
                <w:sz w:val="20"/>
              </w:rPr>
            </w:pPr>
          </w:p>
        </w:tc>
        <w:tc>
          <w:tcPr>
            <w:tcW w:w="1949" w:type="dxa"/>
            <w:tcBorders>
              <w:top w:val="single" w:sz="12" w:space="0" w:color="auto"/>
              <w:left w:val="single" w:sz="12" w:space="0" w:color="auto"/>
              <w:bottom w:val="single" w:sz="12" w:space="0" w:color="auto"/>
              <w:right w:val="single" w:sz="12" w:space="0" w:color="auto"/>
            </w:tcBorders>
            <w:shd w:val="clear" w:color="auto" w:fill="FFFFFF"/>
            <w:vAlign w:val="center"/>
          </w:tcPr>
          <w:p w14:paraId="172D9267" w14:textId="77777777" w:rsidR="00EE6BD9" w:rsidRPr="007E190E" w:rsidRDefault="00EE6BD9" w:rsidP="00730139">
            <w:pPr>
              <w:pStyle w:val="POTTBenBest"/>
              <w:rPr>
                <w:sz w:val="20"/>
              </w:rPr>
            </w:pPr>
            <w:r>
              <w:rPr>
                <w:sz w:val="20"/>
              </w:rPr>
              <w:fldChar w:fldCharType="begin">
                <w:ffData>
                  <w:name w:val=""/>
                  <w:enabled/>
                  <w:calcOnExit w:val="0"/>
                  <w:textInput>
                    <w:default w:val="£0"/>
                    <w:maxLength w:val="14"/>
                  </w:textInput>
                </w:ffData>
              </w:fldChar>
            </w:r>
            <w:r>
              <w:rPr>
                <w:sz w:val="20"/>
              </w:rPr>
              <w:instrText xml:space="preserve"> FORMTEXT </w:instrText>
            </w:r>
            <w:r>
              <w:rPr>
                <w:sz w:val="20"/>
              </w:rPr>
            </w:r>
            <w:r>
              <w:rPr>
                <w:sz w:val="20"/>
              </w:rPr>
              <w:fldChar w:fldCharType="separate"/>
            </w:r>
            <w:r>
              <w:rPr>
                <w:noProof/>
                <w:sz w:val="20"/>
              </w:rPr>
              <w:t>£0</w:t>
            </w:r>
            <w:r>
              <w:rPr>
                <w:sz w:val="20"/>
              </w:rPr>
              <w:fldChar w:fldCharType="end"/>
            </w:r>
          </w:p>
        </w:tc>
        <w:tc>
          <w:tcPr>
            <w:tcW w:w="790" w:type="dxa"/>
            <w:vMerge/>
            <w:tcBorders>
              <w:left w:val="single" w:sz="12" w:space="0" w:color="auto"/>
              <w:bottom w:val="single" w:sz="12" w:space="0" w:color="auto"/>
              <w:right w:val="single" w:sz="12" w:space="0" w:color="auto"/>
            </w:tcBorders>
            <w:shd w:val="clear" w:color="auto" w:fill="FFFFFF"/>
            <w:vAlign w:val="center"/>
          </w:tcPr>
          <w:p w14:paraId="4A564120" w14:textId="77777777" w:rsidR="00EE6BD9" w:rsidRPr="007E190E" w:rsidRDefault="00EE6BD9" w:rsidP="00730139">
            <w:pPr>
              <w:pStyle w:val="IATableText"/>
              <w:jc w:val="right"/>
              <w:rPr>
                <w:sz w:val="20"/>
              </w:rPr>
            </w:pPr>
          </w:p>
        </w:tc>
        <w:tc>
          <w:tcPr>
            <w:tcW w:w="2865" w:type="dxa"/>
            <w:tcBorders>
              <w:top w:val="single" w:sz="12" w:space="0" w:color="auto"/>
              <w:left w:val="single" w:sz="12" w:space="0" w:color="auto"/>
              <w:bottom w:val="single" w:sz="12" w:space="0" w:color="auto"/>
              <w:right w:val="single" w:sz="12" w:space="0" w:color="auto"/>
            </w:tcBorders>
            <w:shd w:val="clear" w:color="auto" w:fill="FFFFFF"/>
            <w:vAlign w:val="center"/>
          </w:tcPr>
          <w:p w14:paraId="6A0D3BF1" w14:textId="77777777" w:rsidR="00EE6BD9" w:rsidRPr="007E190E" w:rsidRDefault="00EE6BD9" w:rsidP="00730139">
            <w:pPr>
              <w:pStyle w:val="POAABenBest"/>
              <w:rPr>
                <w:sz w:val="20"/>
              </w:rPr>
            </w:pPr>
            <w:r>
              <w:rPr>
                <w:sz w:val="20"/>
              </w:rPr>
              <w:fldChar w:fldCharType="begin">
                <w:ffData>
                  <w:name w:val=""/>
                  <w:enabled/>
                  <w:calcOnExit w:val="0"/>
                  <w:textInput>
                    <w:default w:val="£0"/>
                    <w:maxLength w:val="14"/>
                  </w:textInput>
                </w:ffData>
              </w:fldChar>
            </w:r>
            <w:r>
              <w:rPr>
                <w:sz w:val="20"/>
              </w:rPr>
              <w:instrText xml:space="preserve"> FORMTEXT </w:instrText>
            </w:r>
            <w:r>
              <w:rPr>
                <w:sz w:val="20"/>
              </w:rPr>
            </w:r>
            <w:r>
              <w:rPr>
                <w:sz w:val="20"/>
              </w:rPr>
              <w:fldChar w:fldCharType="separate"/>
            </w:r>
            <w:r>
              <w:rPr>
                <w:noProof/>
                <w:sz w:val="20"/>
              </w:rPr>
              <w:t>£0</w:t>
            </w:r>
            <w:r>
              <w:rPr>
                <w:sz w:val="20"/>
              </w:rPr>
              <w:fldChar w:fldCharType="end"/>
            </w:r>
          </w:p>
        </w:tc>
        <w:tc>
          <w:tcPr>
            <w:tcW w:w="2636" w:type="dxa"/>
            <w:gridSpan w:val="2"/>
            <w:tcBorders>
              <w:top w:val="single" w:sz="12" w:space="0" w:color="auto"/>
              <w:left w:val="single" w:sz="12" w:space="0" w:color="auto"/>
              <w:bottom w:val="single" w:sz="12" w:space="0" w:color="auto"/>
            </w:tcBorders>
            <w:shd w:val="clear" w:color="auto" w:fill="FFFFFF"/>
            <w:vAlign w:val="center"/>
          </w:tcPr>
          <w:p w14:paraId="18C18C28" w14:textId="77777777" w:rsidR="00EE6BD9" w:rsidRPr="007E190E" w:rsidRDefault="00EE6BD9" w:rsidP="00730139">
            <w:pPr>
              <w:pStyle w:val="POTBBenBest"/>
              <w:rPr>
                <w:sz w:val="20"/>
              </w:rPr>
            </w:pPr>
            <w:r>
              <w:rPr>
                <w:sz w:val="20"/>
              </w:rPr>
              <w:fldChar w:fldCharType="begin">
                <w:ffData>
                  <w:name w:val=""/>
                  <w:enabled/>
                  <w:calcOnExit w:val="0"/>
                  <w:textInput>
                    <w:default w:val="£0"/>
                    <w:maxLength w:val="14"/>
                  </w:textInput>
                </w:ffData>
              </w:fldChar>
            </w:r>
            <w:r>
              <w:rPr>
                <w:sz w:val="20"/>
              </w:rPr>
              <w:instrText xml:space="preserve"> FORMTEXT </w:instrText>
            </w:r>
            <w:r>
              <w:rPr>
                <w:sz w:val="20"/>
              </w:rPr>
            </w:r>
            <w:r>
              <w:rPr>
                <w:sz w:val="20"/>
              </w:rPr>
              <w:fldChar w:fldCharType="separate"/>
            </w:r>
            <w:r>
              <w:rPr>
                <w:noProof/>
                <w:sz w:val="20"/>
              </w:rPr>
              <w:t>£0</w:t>
            </w:r>
            <w:r>
              <w:rPr>
                <w:sz w:val="20"/>
              </w:rPr>
              <w:fldChar w:fldCharType="end"/>
            </w:r>
          </w:p>
        </w:tc>
      </w:tr>
      <w:tr w:rsidR="00EE6BD9" w:rsidRPr="00826F71" w14:paraId="6E7321CF" w14:textId="77777777" w:rsidTr="0085056C">
        <w:trPr>
          <w:trHeight w:hRule="exact" w:val="1302"/>
        </w:trPr>
        <w:tc>
          <w:tcPr>
            <w:tcW w:w="10362" w:type="dxa"/>
            <w:gridSpan w:val="6"/>
            <w:tcBorders>
              <w:bottom w:val="single" w:sz="12" w:space="0" w:color="auto"/>
            </w:tcBorders>
          </w:tcPr>
          <w:p w14:paraId="01823E4A" w14:textId="77777777" w:rsidR="00EE6BD9" w:rsidRPr="007E190E" w:rsidRDefault="00EE6BD9" w:rsidP="00730139">
            <w:pPr>
              <w:pStyle w:val="IPPOQ3"/>
              <w:rPr>
                <w:szCs w:val="22"/>
              </w:rPr>
            </w:pPr>
            <w:r w:rsidRPr="00544292">
              <w:t xml:space="preserve">Description and scale of </w:t>
            </w:r>
            <w:r w:rsidRPr="00826F71">
              <w:t xml:space="preserve">key monetised </w:t>
            </w:r>
            <w:r>
              <w:t>benefits</w:t>
            </w:r>
            <w:r w:rsidRPr="00544292">
              <w:t xml:space="preserve"> by ‘main affected groups’ </w:t>
            </w:r>
          </w:p>
          <w:p w14:paraId="61086BE7" w14:textId="592E764E" w:rsidR="00B948DB" w:rsidRDefault="00B948DB" w:rsidP="00B948DB">
            <w:pPr>
              <w:pStyle w:val="IAPOA3"/>
            </w:pPr>
            <w:r>
              <w:t xml:space="preserve">The setting of the credit limit will not itself lead to any benefits to </w:t>
            </w:r>
            <w:r w:rsidR="0043755D">
              <w:t>g</w:t>
            </w:r>
            <w:r>
              <w:t>overnment, business or consumers as it</w:t>
            </w:r>
          </w:p>
          <w:p w14:paraId="1B207661" w14:textId="77777777" w:rsidR="00B948DB" w:rsidRDefault="00B948DB" w:rsidP="00B948DB">
            <w:pPr>
              <w:pStyle w:val="IAPOA3"/>
            </w:pPr>
            <w:r>
              <w:t>does not commit the Government to purchasing any such credits. Were credits to be purchased, there</w:t>
            </w:r>
          </w:p>
          <w:p w14:paraId="54E4F40B" w14:textId="476A2B93" w:rsidR="00EE6BD9" w:rsidRPr="00826F71" w:rsidRDefault="00B948DB" w:rsidP="00B948DB">
            <w:pPr>
              <w:pStyle w:val="IAPOA3"/>
            </w:pPr>
            <w:r>
              <w:t>could be an avoided cost of undertaking domestic emissions reductions</w:t>
            </w:r>
          </w:p>
        </w:tc>
      </w:tr>
      <w:tr w:rsidR="00EE6BD9" w:rsidRPr="00826F71" w14:paraId="3E3C8BDA" w14:textId="77777777" w:rsidTr="00880BF1">
        <w:trPr>
          <w:trHeight w:hRule="exact" w:val="2261"/>
        </w:trPr>
        <w:tc>
          <w:tcPr>
            <w:tcW w:w="10362" w:type="dxa"/>
            <w:gridSpan w:val="6"/>
            <w:tcBorders>
              <w:top w:val="single" w:sz="12" w:space="0" w:color="auto"/>
            </w:tcBorders>
          </w:tcPr>
          <w:p w14:paraId="51E4FDE8" w14:textId="77777777" w:rsidR="00EE6BD9" w:rsidRPr="007E190E" w:rsidRDefault="00EE6BD9" w:rsidP="00730139">
            <w:pPr>
              <w:pStyle w:val="IAPOQ4"/>
              <w:rPr>
                <w:szCs w:val="22"/>
              </w:rPr>
            </w:pPr>
            <w:r w:rsidRPr="00544292">
              <w:t>Other</w:t>
            </w:r>
            <w:r w:rsidRPr="00826F71">
              <w:t xml:space="preserve"> key non-monetised </w:t>
            </w:r>
            <w:r>
              <w:t>benefits</w:t>
            </w:r>
            <w:r w:rsidRPr="00544292">
              <w:t xml:space="preserve"> by ‘main affected groups’ </w:t>
            </w:r>
          </w:p>
          <w:p w14:paraId="324B998A" w14:textId="735F5965" w:rsidR="00880BF1" w:rsidRDefault="00880BF1" w:rsidP="00880BF1">
            <w:pPr>
              <w:pStyle w:val="IAPOA4"/>
            </w:pPr>
            <w:r>
              <w:t xml:space="preserve">Setting a positive limit on the use of credits would provide the UK greater flexibility to meet the </w:t>
            </w:r>
            <w:r w:rsidR="00DE3D5C">
              <w:t xml:space="preserve">fourth </w:t>
            </w:r>
            <w:r>
              <w:t>carbon</w:t>
            </w:r>
          </w:p>
          <w:p w14:paraId="194E02F9" w14:textId="77777777" w:rsidR="00880BF1" w:rsidRDefault="00880BF1" w:rsidP="00880BF1">
            <w:pPr>
              <w:pStyle w:val="IAPOA4"/>
            </w:pPr>
            <w:r>
              <w:t>budget. Credits could manage the uncertainty in emissions projections and account for uncertain historic</w:t>
            </w:r>
          </w:p>
          <w:p w14:paraId="60D4DB01" w14:textId="77777777" w:rsidR="00880BF1" w:rsidRDefault="00880BF1" w:rsidP="00880BF1">
            <w:pPr>
              <w:pStyle w:val="IAPOA4"/>
            </w:pPr>
            <w:r>
              <w:t>and future emissions. This could also increase long-term investor confidence by making the overall climate</w:t>
            </w:r>
          </w:p>
          <w:p w14:paraId="60E29951" w14:textId="77777777" w:rsidR="00880BF1" w:rsidRDefault="00880BF1" w:rsidP="00880BF1">
            <w:pPr>
              <w:pStyle w:val="IAPOA4"/>
            </w:pPr>
            <w:r>
              <w:t>policy framework more resilient to unexpected changes in future emissions. A positive limit on the use of</w:t>
            </w:r>
          </w:p>
          <w:p w14:paraId="70209E1A" w14:textId="667D7F2D" w:rsidR="00880BF1" w:rsidRDefault="00880BF1" w:rsidP="00880BF1">
            <w:pPr>
              <w:pStyle w:val="IAPOA4"/>
            </w:pPr>
            <w:r>
              <w:t xml:space="preserve">credits could signal the </w:t>
            </w:r>
            <w:r w:rsidR="0043755D">
              <w:t>g</w:t>
            </w:r>
            <w:r>
              <w:t>overnment’s continued support of global carbon markets. If credits were</w:t>
            </w:r>
          </w:p>
          <w:p w14:paraId="2E5E37F1" w14:textId="77777777" w:rsidR="00880BF1" w:rsidRDefault="00880BF1" w:rsidP="00880BF1">
            <w:pPr>
              <w:pStyle w:val="IAPOA4"/>
            </w:pPr>
            <w:r>
              <w:t>purchased, this would have a benefit of driving increased financial flows to low-carbon development projects</w:t>
            </w:r>
          </w:p>
          <w:p w14:paraId="50CF5D56" w14:textId="6F594583" w:rsidR="00EE6BD9" w:rsidRPr="00826F71" w:rsidRDefault="00880BF1" w:rsidP="00880BF1">
            <w:pPr>
              <w:pStyle w:val="IAPOA4"/>
            </w:pPr>
            <w:r>
              <w:t>that deliver cost-effective mitigation</w:t>
            </w:r>
            <w:r w:rsidR="00AD4C0B">
              <w:t xml:space="preserve"> and </w:t>
            </w:r>
            <w:r w:rsidR="004130CB">
              <w:t xml:space="preserve">also </w:t>
            </w:r>
            <w:r w:rsidR="00AD4C0B">
              <w:t>non-carbon benefits</w:t>
            </w:r>
            <w:r>
              <w:t xml:space="preserve"> overseas.</w:t>
            </w:r>
          </w:p>
        </w:tc>
      </w:tr>
      <w:tr w:rsidR="00EE6BD9" w:rsidRPr="00826F71" w14:paraId="0D310043" w14:textId="77777777" w:rsidTr="00730139">
        <w:trPr>
          <w:trHeight w:hRule="exact" w:val="346"/>
        </w:trPr>
        <w:tc>
          <w:tcPr>
            <w:tcW w:w="9502" w:type="dxa"/>
            <w:gridSpan w:val="5"/>
            <w:tcBorders>
              <w:top w:val="single" w:sz="12" w:space="0" w:color="auto"/>
              <w:bottom w:val="single" w:sz="12" w:space="0" w:color="auto"/>
              <w:right w:val="single" w:sz="12" w:space="0" w:color="auto"/>
            </w:tcBorders>
          </w:tcPr>
          <w:p w14:paraId="33CDFB58" w14:textId="77777777" w:rsidR="00EE6BD9" w:rsidRDefault="00EE6BD9" w:rsidP="00730139">
            <w:pPr>
              <w:pStyle w:val="IATableLabel"/>
              <w:tabs>
                <w:tab w:val="left" w:pos="7655"/>
              </w:tabs>
            </w:pPr>
            <w:r w:rsidRPr="00F1653E">
              <w:rPr>
                <w:rStyle w:val="IAPOQ5Char"/>
                <w:b/>
              </w:rPr>
              <w:t>Key assumptions/sensitivities/risks</w:t>
            </w:r>
            <w:r>
              <w:tab/>
              <w:t>Discount rate (%)</w:t>
            </w:r>
          </w:p>
          <w:p w14:paraId="00302DF3" w14:textId="77777777" w:rsidR="00EE6BD9" w:rsidRPr="00455895" w:rsidRDefault="00EE6BD9" w:rsidP="00730139">
            <w:pPr>
              <w:pStyle w:val="IATableLabel"/>
            </w:pPr>
          </w:p>
        </w:tc>
        <w:tc>
          <w:tcPr>
            <w:tcW w:w="860" w:type="dxa"/>
            <w:tcBorders>
              <w:top w:val="single" w:sz="12" w:space="0" w:color="auto"/>
              <w:left w:val="single" w:sz="12" w:space="0" w:color="auto"/>
              <w:bottom w:val="single" w:sz="12" w:space="0" w:color="auto"/>
            </w:tcBorders>
          </w:tcPr>
          <w:p w14:paraId="535F619F" w14:textId="77777777" w:rsidR="00EE6BD9" w:rsidRPr="007E6CF8" w:rsidRDefault="00EE6BD9" w:rsidP="00730139">
            <w:pPr>
              <w:pStyle w:val="IAPODisRate"/>
            </w:pPr>
            <w:r>
              <w:fldChar w:fldCharType="begin">
                <w:ffData>
                  <w:name w:val=""/>
                  <w:enabled/>
                  <w:calcOnExit w:val="0"/>
                  <w:textInput>
                    <w:default w:val="3.5%"/>
                    <w:maxLength w:val="5"/>
                  </w:textInput>
                </w:ffData>
              </w:fldChar>
            </w:r>
            <w:r>
              <w:instrText xml:space="preserve"> FORMTEXT </w:instrText>
            </w:r>
            <w:r>
              <w:fldChar w:fldCharType="separate"/>
            </w:r>
            <w:r>
              <w:rPr>
                <w:noProof/>
              </w:rPr>
              <w:t>3.5%</w:t>
            </w:r>
            <w:r>
              <w:fldChar w:fldCharType="end"/>
            </w:r>
          </w:p>
        </w:tc>
      </w:tr>
      <w:tr w:rsidR="00EE6BD9" w:rsidRPr="007E190E" w14:paraId="0A9B467A" w14:textId="77777777" w:rsidTr="00730139">
        <w:trPr>
          <w:trHeight w:hRule="exact" w:val="1375"/>
        </w:trPr>
        <w:tc>
          <w:tcPr>
            <w:tcW w:w="10362" w:type="dxa"/>
            <w:gridSpan w:val="6"/>
            <w:tcBorders>
              <w:top w:val="nil"/>
              <w:bottom w:val="single" w:sz="12" w:space="0" w:color="auto"/>
            </w:tcBorders>
          </w:tcPr>
          <w:p w14:paraId="0D582BF6" w14:textId="1CC1490F" w:rsidR="00EE6BD9" w:rsidRPr="00544292" w:rsidRDefault="002F38B7" w:rsidP="00F836DE">
            <w:pPr>
              <w:pStyle w:val="IAPOA5"/>
            </w:pPr>
            <w:r>
              <w:t>Based on central projections the fourth carbon budget is likely to be achieved through planned and known government policy</w:t>
            </w:r>
            <w:r w:rsidR="0061780E">
              <w:t>. However, it’s possible that a substantial change to the methodology underpinning the emissions inventory over the period 2023 to 2027, combined with unexpectedly high emissions relative to current projections, could still lead to emissions being higher than the level of the fourth carbon budget. The cost and benefits of this option in this hypothetical scenario are presented in section 6.</w:t>
            </w:r>
          </w:p>
        </w:tc>
      </w:tr>
    </w:tbl>
    <w:p w14:paraId="01EB5C17" w14:textId="77777777" w:rsidR="00EE6BD9" w:rsidRDefault="00EE6BD9" w:rsidP="00EE6BD9">
      <w:pPr>
        <w:pStyle w:val="IASpacer"/>
      </w:pPr>
    </w:p>
    <w:p w14:paraId="3D388073" w14:textId="77777777" w:rsidR="00EE6BD9" w:rsidRDefault="00EE6BD9" w:rsidP="00EE6BD9">
      <w:pPr>
        <w:pStyle w:val="IAHeadLabel"/>
        <w:spacing w:before="50"/>
      </w:pPr>
    </w:p>
    <w:p w14:paraId="3BA4880F" w14:textId="1C7057FE" w:rsidR="00EE6BD9" w:rsidRDefault="00EE6BD9" w:rsidP="00EE6BD9">
      <w:pPr>
        <w:pStyle w:val="IAHeadLabel"/>
        <w:spacing w:before="50"/>
      </w:pPr>
      <w:r>
        <w:t xml:space="preserve">BUSINESS ASSESSMENT (Option </w:t>
      </w:r>
      <w:r>
        <w:rPr>
          <w:noProof/>
        </w:rPr>
        <w:fldChar w:fldCharType="begin"/>
      </w:r>
      <w:r>
        <w:rPr>
          <w:noProof/>
        </w:rPr>
        <w:instrText xml:space="preserve"> SEQ BA </w:instrText>
      </w:r>
      <w:r>
        <w:rPr>
          <w:noProof/>
        </w:rPr>
        <w:fldChar w:fldCharType="separate"/>
      </w:r>
      <w:r w:rsidR="00085D64">
        <w:rPr>
          <w:noProof/>
        </w:rPr>
        <w:t>2</w:t>
      </w:r>
      <w:r>
        <w:rPr>
          <w:noProof/>
        </w:rPr>
        <w:fldChar w:fldCharType="end"/>
      </w:r>
      <w:r>
        <w:t>)</w:t>
      </w:r>
    </w:p>
    <w:tbl>
      <w:tblPr>
        <w:tblW w:w="5067" w:type="pct"/>
        <w:tblInd w:w="-137"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1E0" w:firstRow="1" w:lastRow="1" w:firstColumn="1" w:lastColumn="1" w:noHBand="0" w:noVBand="0"/>
      </w:tblPr>
      <w:tblGrid>
        <w:gridCol w:w="1977"/>
        <w:gridCol w:w="1836"/>
        <w:gridCol w:w="1694"/>
        <w:gridCol w:w="4804"/>
      </w:tblGrid>
      <w:tr w:rsidR="00EE6BD9" w:rsidRPr="000E02BE" w14:paraId="37FDDF6B" w14:textId="77777777" w:rsidTr="00730139">
        <w:trPr>
          <w:trHeight w:hRule="exact" w:val="384"/>
        </w:trPr>
        <w:tc>
          <w:tcPr>
            <w:tcW w:w="5529" w:type="dxa"/>
            <w:gridSpan w:val="3"/>
            <w:tcBorders>
              <w:top w:val="single" w:sz="12" w:space="0" w:color="auto"/>
              <w:left w:val="single" w:sz="12" w:space="0" w:color="auto"/>
              <w:bottom w:val="nil"/>
              <w:right w:val="single" w:sz="12" w:space="0" w:color="auto"/>
            </w:tcBorders>
          </w:tcPr>
          <w:p w14:paraId="32046E7B" w14:textId="77777777" w:rsidR="00EE6BD9" w:rsidRPr="000E02BE" w:rsidRDefault="00EE6BD9" w:rsidP="00730139">
            <w:pPr>
              <w:pStyle w:val="IATableLabel"/>
            </w:pPr>
            <w:r w:rsidRPr="000E02BE">
              <w:t xml:space="preserve">Direct impact on </w:t>
            </w:r>
            <w:r>
              <w:t>business (Equivalent Annual) £m</w:t>
            </w:r>
            <w:r w:rsidRPr="000E02BE">
              <w:t xml:space="preserve">: </w:t>
            </w:r>
          </w:p>
        </w:tc>
        <w:tc>
          <w:tcPr>
            <w:tcW w:w="4823" w:type="dxa"/>
            <w:vMerge w:val="restart"/>
            <w:tcBorders>
              <w:top w:val="single" w:sz="12" w:space="0" w:color="auto"/>
              <w:left w:val="single" w:sz="12" w:space="0" w:color="auto"/>
              <w:right w:val="single" w:sz="12" w:space="0" w:color="auto"/>
            </w:tcBorders>
          </w:tcPr>
          <w:p w14:paraId="6F0F4603" w14:textId="77777777" w:rsidR="00EE6BD9" w:rsidRPr="000E02BE" w:rsidRDefault="00EE6BD9" w:rsidP="00730139">
            <w:pPr>
              <w:pStyle w:val="IATableLabel"/>
            </w:pPr>
            <w:r>
              <w:t>Score for Business Impact Target (qualifying provisions only) £m:</w:t>
            </w:r>
          </w:p>
        </w:tc>
      </w:tr>
      <w:tr w:rsidR="00EE6BD9" w:rsidRPr="00E75380" w14:paraId="4C17C184" w14:textId="77777777" w:rsidTr="00730139">
        <w:trPr>
          <w:trHeight w:hRule="exact" w:val="340"/>
        </w:trPr>
        <w:tc>
          <w:tcPr>
            <w:tcW w:w="1985" w:type="dxa"/>
            <w:vMerge w:val="restart"/>
            <w:tcBorders>
              <w:top w:val="single" w:sz="12" w:space="0" w:color="auto"/>
              <w:left w:val="single" w:sz="12" w:space="0" w:color="auto"/>
              <w:right w:val="single" w:sz="12" w:space="0" w:color="auto"/>
            </w:tcBorders>
            <w:shd w:val="clear" w:color="auto" w:fill="FFFFFF"/>
          </w:tcPr>
          <w:p w14:paraId="2170EF4E" w14:textId="53049D55" w:rsidR="00EE6BD9" w:rsidRPr="00F63895" w:rsidRDefault="00EE6BD9" w:rsidP="00730139">
            <w:pPr>
              <w:pStyle w:val="IATableLabel"/>
            </w:pPr>
            <w:r w:rsidRPr="00F63895">
              <w:t xml:space="preserve">Costs: </w:t>
            </w:r>
            <w:r w:rsidR="0085056C">
              <w:rPr>
                <w:rStyle w:val="IAPODICostChar"/>
                <w:b/>
                <w:sz w:val="20"/>
              </w:rPr>
              <w:fldChar w:fldCharType="begin">
                <w:ffData>
                  <w:name w:val=""/>
                  <w:enabled/>
                  <w:calcOnExit w:val="0"/>
                  <w:textInput>
                    <w:default w:val="£0"/>
                    <w:maxLength w:val="9"/>
                  </w:textInput>
                </w:ffData>
              </w:fldChar>
            </w:r>
            <w:r w:rsidR="0085056C">
              <w:rPr>
                <w:rStyle w:val="IAPODICostChar"/>
                <w:b/>
                <w:sz w:val="20"/>
              </w:rPr>
              <w:instrText xml:space="preserve"> FORMTEXT </w:instrText>
            </w:r>
            <w:r w:rsidR="0085056C">
              <w:rPr>
                <w:rStyle w:val="IAPODICostChar"/>
                <w:b/>
                <w:sz w:val="20"/>
              </w:rPr>
            </w:r>
            <w:r w:rsidR="0085056C">
              <w:rPr>
                <w:rStyle w:val="IAPODICostChar"/>
                <w:b/>
                <w:sz w:val="20"/>
              </w:rPr>
              <w:fldChar w:fldCharType="separate"/>
            </w:r>
            <w:r w:rsidR="0085056C">
              <w:rPr>
                <w:rStyle w:val="IAPODICostChar"/>
                <w:b/>
                <w:noProof/>
                <w:sz w:val="20"/>
              </w:rPr>
              <w:t>£0</w:t>
            </w:r>
            <w:r w:rsidR="0085056C">
              <w:rPr>
                <w:rStyle w:val="IAPODICostChar"/>
                <w:b/>
                <w:sz w:val="20"/>
              </w:rPr>
              <w:fldChar w:fldCharType="end"/>
            </w:r>
          </w:p>
        </w:tc>
        <w:tc>
          <w:tcPr>
            <w:tcW w:w="1843" w:type="dxa"/>
            <w:vMerge w:val="restart"/>
            <w:tcBorders>
              <w:top w:val="single" w:sz="12" w:space="0" w:color="auto"/>
              <w:left w:val="single" w:sz="12" w:space="0" w:color="auto"/>
              <w:right w:val="single" w:sz="12" w:space="0" w:color="auto"/>
            </w:tcBorders>
            <w:shd w:val="clear" w:color="auto" w:fill="FFFFFF"/>
          </w:tcPr>
          <w:p w14:paraId="0499383D" w14:textId="1D647390" w:rsidR="00EE6BD9" w:rsidRPr="00F63895" w:rsidRDefault="00EE6BD9" w:rsidP="00730139">
            <w:pPr>
              <w:pStyle w:val="IATableLabel"/>
            </w:pPr>
            <w:r w:rsidRPr="00F63895">
              <w:t xml:space="preserve">Benefits: </w:t>
            </w:r>
            <w:r w:rsidR="0085056C">
              <w:rPr>
                <w:rStyle w:val="IAPODIBenChar"/>
                <w:sz w:val="20"/>
              </w:rPr>
              <w:fldChar w:fldCharType="begin">
                <w:ffData>
                  <w:name w:val=""/>
                  <w:enabled/>
                  <w:calcOnExit w:val="0"/>
                  <w:textInput>
                    <w:default w:val="£0"/>
                    <w:maxLength w:val="9"/>
                  </w:textInput>
                </w:ffData>
              </w:fldChar>
            </w:r>
            <w:r w:rsidR="0085056C">
              <w:rPr>
                <w:rStyle w:val="IAPODIBenChar"/>
                <w:sz w:val="20"/>
              </w:rPr>
              <w:instrText xml:space="preserve"> FORMTEXT </w:instrText>
            </w:r>
            <w:r w:rsidR="0085056C">
              <w:rPr>
                <w:rStyle w:val="IAPODIBenChar"/>
                <w:sz w:val="20"/>
              </w:rPr>
            </w:r>
            <w:r w:rsidR="0085056C">
              <w:rPr>
                <w:rStyle w:val="IAPODIBenChar"/>
                <w:sz w:val="20"/>
              </w:rPr>
              <w:fldChar w:fldCharType="separate"/>
            </w:r>
            <w:r w:rsidR="0085056C">
              <w:rPr>
                <w:rStyle w:val="IAPODIBenChar"/>
                <w:noProof/>
                <w:sz w:val="20"/>
              </w:rPr>
              <w:t>£0</w:t>
            </w:r>
            <w:r w:rsidR="0085056C">
              <w:rPr>
                <w:rStyle w:val="IAPODIBenChar"/>
                <w:sz w:val="20"/>
              </w:rPr>
              <w:fldChar w:fldCharType="end"/>
            </w:r>
          </w:p>
        </w:tc>
        <w:tc>
          <w:tcPr>
            <w:tcW w:w="1701" w:type="dxa"/>
            <w:vMerge w:val="restart"/>
            <w:tcBorders>
              <w:top w:val="single" w:sz="12" w:space="0" w:color="auto"/>
              <w:left w:val="single" w:sz="12" w:space="0" w:color="auto"/>
              <w:right w:val="single" w:sz="12" w:space="0" w:color="auto"/>
            </w:tcBorders>
            <w:shd w:val="clear" w:color="auto" w:fill="FFFFFF"/>
          </w:tcPr>
          <w:p w14:paraId="050F38C8" w14:textId="2C0FF774" w:rsidR="00EE6BD9" w:rsidRPr="00F63895" w:rsidRDefault="00EE6BD9" w:rsidP="00730139">
            <w:pPr>
              <w:pStyle w:val="IATableLabel"/>
            </w:pPr>
            <w:r w:rsidRPr="00F63895">
              <w:t xml:space="preserve">Net: </w:t>
            </w:r>
            <w:r w:rsidR="0085056C">
              <w:rPr>
                <w:rStyle w:val="IAPODINetChar"/>
                <w:sz w:val="20"/>
              </w:rPr>
              <w:fldChar w:fldCharType="begin">
                <w:ffData>
                  <w:name w:val=""/>
                  <w:enabled/>
                  <w:calcOnExit w:val="0"/>
                  <w:textInput>
                    <w:default w:val="£0"/>
                    <w:maxLength w:val="9"/>
                  </w:textInput>
                </w:ffData>
              </w:fldChar>
            </w:r>
            <w:r w:rsidR="0085056C">
              <w:rPr>
                <w:rStyle w:val="IAPODINetChar"/>
                <w:sz w:val="20"/>
              </w:rPr>
              <w:instrText xml:space="preserve"> FORMTEXT </w:instrText>
            </w:r>
            <w:r w:rsidR="0085056C">
              <w:rPr>
                <w:rStyle w:val="IAPODINetChar"/>
                <w:sz w:val="20"/>
              </w:rPr>
            </w:r>
            <w:r w:rsidR="0085056C">
              <w:rPr>
                <w:rStyle w:val="IAPODINetChar"/>
                <w:sz w:val="20"/>
              </w:rPr>
              <w:fldChar w:fldCharType="separate"/>
            </w:r>
            <w:r w:rsidR="0085056C">
              <w:rPr>
                <w:rStyle w:val="IAPODINetChar"/>
                <w:noProof/>
                <w:sz w:val="20"/>
              </w:rPr>
              <w:t>£0</w:t>
            </w:r>
            <w:r w:rsidR="0085056C">
              <w:rPr>
                <w:rStyle w:val="IAPODINetChar"/>
                <w:sz w:val="20"/>
              </w:rPr>
              <w:fldChar w:fldCharType="end"/>
            </w:r>
          </w:p>
        </w:tc>
        <w:tc>
          <w:tcPr>
            <w:tcW w:w="4823" w:type="dxa"/>
            <w:vMerge/>
            <w:tcBorders>
              <w:left w:val="single" w:sz="12" w:space="0" w:color="auto"/>
              <w:bottom w:val="single" w:sz="12" w:space="0" w:color="auto"/>
              <w:right w:val="single" w:sz="12" w:space="0" w:color="auto"/>
            </w:tcBorders>
            <w:shd w:val="clear" w:color="auto" w:fill="FFFFFF"/>
          </w:tcPr>
          <w:p w14:paraId="3402021C" w14:textId="77777777" w:rsidR="00EE6BD9" w:rsidRPr="00F63895" w:rsidRDefault="00EE6BD9" w:rsidP="00730139">
            <w:pPr>
              <w:pStyle w:val="IAPODIMQ"/>
            </w:pPr>
          </w:p>
        </w:tc>
      </w:tr>
      <w:tr w:rsidR="00EE6BD9" w:rsidRPr="00E75380" w14:paraId="25DACB79" w14:textId="77777777" w:rsidTr="00730139">
        <w:trPr>
          <w:trHeight w:hRule="exact" w:val="340"/>
        </w:trPr>
        <w:tc>
          <w:tcPr>
            <w:tcW w:w="1985" w:type="dxa"/>
            <w:vMerge/>
            <w:tcBorders>
              <w:left w:val="single" w:sz="12" w:space="0" w:color="auto"/>
              <w:bottom w:val="single" w:sz="12" w:space="0" w:color="auto"/>
              <w:right w:val="single" w:sz="12" w:space="0" w:color="auto"/>
            </w:tcBorders>
            <w:shd w:val="clear" w:color="auto" w:fill="FFFFFF"/>
          </w:tcPr>
          <w:p w14:paraId="4667BA85" w14:textId="77777777" w:rsidR="00EE6BD9" w:rsidRPr="00F63895" w:rsidRDefault="00EE6BD9" w:rsidP="00730139">
            <w:pPr>
              <w:pStyle w:val="IATableLabel"/>
            </w:pPr>
          </w:p>
        </w:tc>
        <w:tc>
          <w:tcPr>
            <w:tcW w:w="1843" w:type="dxa"/>
            <w:vMerge/>
            <w:tcBorders>
              <w:left w:val="single" w:sz="12" w:space="0" w:color="auto"/>
              <w:bottom w:val="single" w:sz="12" w:space="0" w:color="auto"/>
              <w:right w:val="single" w:sz="12" w:space="0" w:color="auto"/>
            </w:tcBorders>
            <w:shd w:val="clear" w:color="auto" w:fill="FFFFFF"/>
          </w:tcPr>
          <w:p w14:paraId="146B6ACB" w14:textId="77777777" w:rsidR="00EE6BD9" w:rsidRPr="00F63895" w:rsidRDefault="00EE6BD9" w:rsidP="00730139">
            <w:pPr>
              <w:pStyle w:val="IATableLabel"/>
            </w:pPr>
          </w:p>
        </w:tc>
        <w:tc>
          <w:tcPr>
            <w:tcW w:w="1701" w:type="dxa"/>
            <w:vMerge/>
            <w:tcBorders>
              <w:left w:val="single" w:sz="12" w:space="0" w:color="auto"/>
              <w:bottom w:val="single" w:sz="12" w:space="0" w:color="auto"/>
              <w:right w:val="single" w:sz="12" w:space="0" w:color="auto"/>
            </w:tcBorders>
            <w:shd w:val="clear" w:color="auto" w:fill="FFFFFF"/>
          </w:tcPr>
          <w:p w14:paraId="77ECA57D" w14:textId="77777777" w:rsidR="00EE6BD9" w:rsidRPr="00F63895" w:rsidRDefault="00EE6BD9" w:rsidP="00730139">
            <w:pPr>
              <w:pStyle w:val="IATableLabel"/>
            </w:pPr>
          </w:p>
        </w:tc>
        <w:tc>
          <w:tcPr>
            <w:tcW w:w="4823" w:type="dxa"/>
            <w:tcBorders>
              <w:top w:val="single" w:sz="12" w:space="0" w:color="auto"/>
              <w:left w:val="single" w:sz="12" w:space="0" w:color="auto"/>
              <w:bottom w:val="single" w:sz="12" w:space="0" w:color="auto"/>
              <w:right w:val="single" w:sz="12" w:space="0" w:color="auto"/>
            </w:tcBorders>
            <w:shd w:val="clear" w:color="auto" w:fill="FFFFFF"/>
          </w:tcPr>
          <w:p w14:paraId="4C95B202" w14:textId="77777777" w:rsidR="00EE6BD9" w:rsidRPr="00F63895" w:rsidRDefault="00EE6BD9" w:rsidP="00730139">
            <w:pPr>
              <w:pStyle w:val="IAPODIMQ"/>
            </w:pPr>
            <w:r>
              <w:fldChar w:fldCharType="begin">
                <w:ffData>
                  <w:name w:val="Text7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bl>
    <w:p w14:paraId="55BCA524" w14:textId="77777777" w:rsidR="00EE6BD9" w:rsidRDefault="00EE6BD9" w:rsidP="00EE6BD9">
      <w:pPr>
        <w:sectPr w:rsidR="00EE6BD9" w:rsidSect="00F1328C">
          <w:footnotePr>
            <w:numRestart w:val="eachSect"/>
          </w:footnotePr>
          <w:pgSz w:w="11907" w:h="16840" w:code="9"/>
          <w:pgMar w:top="680" w:right="851" w:bottom="680" w:left="851" w:header="284" w:footer="284" w:gutter="0"/>
          <w:cols w:space="708"/>
          <w:docGrid w:linePitch="360"/>
        </w:sectPr>
      </w:pPr>
    </w:p>
    <w:p w14:paraId="63E48E0C" w14:textId="369953C8" w:rsidR="0085056C" w:rsidRDefault="0085056C" w:rsidP="0085056C">
      <w:pPr>
        <w:pStyle w:val="Heading1"/>
        <w:spacing w:before="0"/>
      </w:pPr>
      <w:bookmarkStart w:id="51" w:name="_Toc67067468"/>
      <w:r>
        <w:lastRenderedPageBreak/>
        <w:t>Summary: Analysis &amp; Evidence</w:t>
      </w:r>
      <w:r>
        <w:tab/>
      </w:r>
      <w:r w:rsidRPr="00E3545D">
        <w:rPr>
          <w:rFonts w:ascii="Arial" w:hAnsi="Arial"/>
          <w:b w:val="0"/>
          <w:bCs w:val="0"/>
        </w:rPr>
        <w:t xml:space="preserve">Policy Option </w:t>
      </w:r>
      <w:r>
        <w:rPr>
          <w:rFonts w:ascii="Arial" w:hAnsi="Arial"/>
          <w:b w:val="0"/>
          <w:bCs w:val="0"/>
        </w:rPr>
        <w:fldChar w:fldCharType="begin"/>
      </w:r>
      <w:r>
        <w:rPr>
          <w:rFonts w:ascii="Arial" w:hAnsi="Arial"/>
          <w:b w:val="0"/>
          <w:bCs w:val="0"/>
        </w:rPr>
        <w:instrText xml:space="preserve"> SEQ Policy </w:instrText>
      </w:r>
      <w:r>
        <w:rPr>
          <w:rFonts w:ascii="Arial" w:hAnsi="Arial"/>
          <w:b w:val="0"/>
          <w:bCs w:val="0"/>
        </w:rPr>
        <w:fldChar w:fldCharType="separate"/>
      </w:r>
      <w:r w:rsidR="00085D64">
        <w:rPr>
          <w:rFonts w:ascii="Arial" w:hAnsi="Arial"/>
          <w:b w:val="0"/>
          <w:bCs w:val="0"/>
          <w:noProof/>
        </w:rPr>
        <w:t>3</w:t>
      </w:r>
      <w:bookmarkEnd w:id="51"/>
      <w:r>
        <w:rPr>
          <w:rFonts w:ascii="Arial" w:hAnsi="Arial"/>
          <w:b w:val="0"/>
          <w:bCs w:val="0"/>
        </w:rPr>
        <w:fldChar w:fldCharType="end"/>
      </w:r>
    </w:p>
    <w:p w14:paraId="522A5C91" w14:textId="28C1F562" w:rsidR="0085056C" w:rsidRDefault="0085056C" w:rsidP="0085056C">
      <w:pPr>
        <w:pStyle w:val="IAHeadLabel"/>
        <w:spacing w:before="50"/>
      </w:pPr>
      <w:r w:rsidRPr="00892576">
        <w:t xml:space="preserve">Description: </w:t>
      </w:r>
      <w:r w:rsidRPr="006B70AF">
        <w:t xml:space="preserve"> </w:t>
      </w:r>
      <w:r>
        <w:rPr>
          <w:rStyle w:val="IAPODescriptionCharChar"/>
        </w:rPr>
        <w:fldChar w:fldCharType="begin">
          <w:ffData>
            <w:name w:val=""/>
            <w:enabled/>
            <w:calcOnExit w:val="0"/>
            <w:textInput>
              <w:default w:val="Credit limit of 90 MtCO2e"/>
              <w:maxLength w:val="230"/>
            </w:textInput>
          </w:ffData>
        </w:fldChar>
      </w:r>
      <w:r>
        <w:rPr>
          <w:rStyle w:val="IAPODescriptionCharChar"/>
        </w:rPr>
        <w:instrText xml:space="preserve"> FORMTEXT </w:instrText>
      </w:r>
      <w:r>
        <w:rPr>
          <w:rStyle w:val="IAPODescriptionCharChar"/>
        </w:rPr>
      </w:r>
      <w:r>
        <w:rPr>
          <w:rStyle w:val="IAPODescriptionCharChar"/>
        </w:rPr>
        <w:fldChar w:fldCharType="separate"/>
      </w:r>
      <w:r>
        <w:rPr>
          <w:rStyle w:val="IAPODescriptionCharChar"/>
          <w:noProof/>
        </w:rPr>
        <w:t>Credit limit of 90 MtCO2e</w:t>
      </w:r>
      <w:r>
        <w:rPr>
          <w:rStyle w:val="IAPODescriptionCharChar"/>
        </w:rPr>
        <w:fldChar w:fldCharType="end"/>
      </w:r>
    </w:p>
    <w:p w14:paraId="3E2E0A55" w14:textId="77777777" w:rsidR="0085056C" w:rsidRDefault="0085056C" w:rsidP="0085056C">
      <w:pPr>
        <w:pStyle w:val="IAHeadLabel"/>
        <w:spacing w:before="50"/>
      </w:pPr>
      <w:r>
        <w:t>FULL ECONOMIC ASSESSMENT</w:t>
      </w:r>
    </w:p>
    <w:tbl>
      <w:tblPr>
        <w:tblW w:w="5067"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395"/>
        <w:gridCol w:w="1254"/>
        <w:gridCol w:w="1433"/>
        <w:gridCol w:w="1791"/>
        <w:gridCol w:w="1818"/>
        <w:gridCol w:w="2620"/>
      </w:tblGrid>
      <w:tr w:rsidR="0085056C" w:rsidRPr="007E190E" w14:paraId="205FB2F5" w14:textId="77777777" w:rsidTr="00730139">
        <w:trPr>
          <w:trHeight w:hRule="exact" w:val="312"/>
        </w:trPr>
        <w:tc>
          <w:tcPr>
            <w:tcW w:w="1402" w:type="dxa"/>
            <w:vMerge w:val="restart"/>
            <w:tcBorders>
              <w:top w:val="single" w:sz="12" w:space="0" w:color="auto"/>
              <w:left w:val="single" w:sz="12" w:space="0" w:color="auto"/>
              <w:right w:val="single" w:sz="12" w:space="0" w:color="auto"/>
            </w:tcBorders>
          </w:tcPr>
          <w:p w14:paraId="074F28B0" w14:textId="77777777" w:rsidR="0085056C" w:rsidRPr="00826F71" w:rsidRDefault="0085056C" w:rsidP="00730139">
            <w:pPr>
              <w:pStyle w:val="POPBY"/>
            </w:pPr>
            <w:r w:rsidRPr="00826F71">
              <w:t>Price Base Year</w:t>
            </w:r>
            <w:r>
              <w:t xml:space="preserve">  </w:t>
            </w:r>
            <w:r>
              <w:rPr>
                <w:b w:val="0"/>
              </w:rPr>
              <w:fldChar w:fldCharType="begin">
                <w:ffData>
                  <w:name w:val="Text55"/>
                  <w:enabled/>
                  <w:calcOnExit w:val="0"/>
                  <w:textInput>
                    <w:default w:val="2019"/>
                    <w:maxLength w:val="4"/>
                  </w:textInput>
                </w:ffData>
              </w:fldChar>
            </w:r>
            <w:r>
              <w:rPr>
                <w:b w:val="0"/>
              </w:rPr>
              <w:instrText xml:space="preserve"> FORMTEXT </w:instrText>
            </w:r>
            <w:r>
              <w:rPr>
                <w:b w:val="0"/>
              </w:rPr>
            </w:r>
            <w:r>
              <w:rPr>
                <w:b w:val="0"/>
              </w:rPr>
              <w:fldChar w:fldCharType="separate"/>
            </w:r>
            <w:r>
              <w:rPr>
                <w:b w:val="0"/>
                <w:noProof/>
              </w:rPr>
              <w:t>2019</w:t>
            </w:r>
            <w:r>
              <w:rPr>
                <w:b w:val="0"/>
              </w:rPr>
              <w:fldChar w:fldCharType="end"/>
            </w:r>
          </w:p>
        </w:tc>
        <w:tc>
          <w:tcPr>
            <w:tcW w:w="1260" w:type="dxa"/>
            <w:vMerge w:val="restart"/>
            <w:tcBorders>
              <w:top w:val="single" w:sz="12" w:space="0" w:color="auto"/>
              <w:left w:val="single" w:sz="12" w:space="0" w:color="auto"/>
              <w:right w:val="single" w:sz="12" w:space="0" w:color="auto"/>
            </w:tcBorders>
          </w:tcPr>
          <w:p w14:paraId="02D89832" w14:textId="77777777" w:rsidR="0085056C" w:rsidRPr="00826F71" w:rsidRDefault="0085056C" w:rsidP="00730139">
            <w:pPr>
              <w:pStyle w:val="POPVBY"/>
            </w:pPr>
            <w:r w:rsidRPr="00826F71">
              <w:t>PV Base Year</w:t>
            </w:r>
            <w:r>
              <w:t xml:space="preserve">  </w:t>
            </w:r>
            <w:r>
              <w:rPr>
                <w:b w:val="0"/>
              </w:rPr>
              <w:fldChar w:fldCharType="begin">
                <w:ffData>
                  <w:name w:val="Text56"/>
                  <w:enabled/>
                  <w:calcOnExit w:val="0"/>
                  <w:textInput>
                    <w:default w:val="2020"/>
                    <w:maxLength w:val="4"/>
                  </w:textInput>
                </w:ffData>
              </w:fldChar>
            </w:r>
            <w:r>
              <w:rPr>
                <w:b w:val="0"/>
              </w:rPr>
              <w:instrText xml:space="preserve"> FORMTEXT </w:instrText>
            </w:r>
            <w:r>
              <w:rPr>
                <w:b w:val="0"/>
              </w:rPr>
            </w:r>
            <w:r>
              <w:rPr>
                <w:b w:val="0"/>
              </w:rPr>
              <w:fldChar w:fldCharType="separate"/>
            </w:r>
            <w:r>
              <w:rPr>
                <w:b w:val="0"/>
                <w:noProof/>
              </w:rPr>
              <w:t>2020</w:t>
            </w:r>
            <w:r>
              <w:rPr>
                <w:b w:val="0"/>
              </w:rPr>
              <w:fldChar w:fldCharType="end"/>
            </w:r>
          </w:p>
        </w:tc>
        <w:tc>
          <w:tcPr>
            <w:tcW w:w="1440" w:type="dxa"/>
            <w:vMerge w:val="restart"/>
            <w:tcBorders>
              <w:top w:val="single" w:sz="12" w:space="0" w:color="auto"/>
              <w:left w:val="single" w:sz="12" w:space="0" w:color="auto"/>
              <w:right w:val="single" w:sz="12" w:space="0" w:color="auto"/>
            </w:tcBorders>
          </w:tcPr>
          <w:p w14:paraId="4A5368BE" w14:textId="77777777" w:rsidR="0085056C" w:rsidRPr="00826F71" w:rsidRDefault="0085056C" w:rsidP="00730139">
            <w:pPr>
              <w:pStyle w:val="POTPY"/>
            </w:pPr>
            <w:r w:rsidRPr="00826F71">
              <w:t>Time Period Years</w:t>
            </w:r>
            <w:r>
              <w:t xml:space="preserve">  </w:t>
            </w:r>
            <w:r w:rsidRPr="007E190E">
              <w:rPr>
                <w:b w:val="0"/>
              </w:rPr>
              <w:fldChar w:fldCharType="begin">
                <w:ffData>
                  <w:name w:val="Text57"/>
                  <w:enabled/>
                  <w:calcOnExit w:val="0"/>
                  <w:textInput>
                    <w:maxLength w:val="4"/>
                  </w:textInput>
                </w:ffData>
              </w:fldChar>
            </w:r>
            <w:r w:rsidRPr="007E190E">
              <w:rPr>
                <w:b w:val="0"/>
              </w:rPr>
              <w:instrText xml:space="preserve"> FORMTEXT </w:instrText>
            </w:r>
            <w:r w:rsidRPr="007E190E">
              <w:rPr>
                <w:b w:val="0"/>
              </w:rPr>
            </w:r>
            <w:r w:rsidRPr="007E190E">
              <w:rPr>
                <w:b w:val="0"/>
              </w:rPr>
              <w:fldChar w:fldCharType="separate"/>
            </w:r>
            <w:r w:rsidRPr="007E190E">
              <w:rPr>
                <w:b w:val="0"/>
                <w:noProof/>
              </w:rPr>
              <w:t> </w:t>
            </w:r>
            <w:r w:rsidRPr="007E190E">
              <w:rPr>
                <w:b w:val="0"/>
                <w:noProof/>
              </w:rPr>
              <w:t> </w:t>
            </w:r>
            <w:r w:rsidRPr="007E190E">
              <w:rPr>
                <w:b w:val="0"/>
                <w:noProof/>
              </w:rPr>
              <w:t> </w:t>
            </w:r>
            <w:r w:rsidRPr="007E190E">
              <w:rPr>
                <w:b w:val="0"/>
                <w:noProof/>
              </w:rPr>
              <w:t> </w:t>
            </w:r>
            <w:r w:rsidRPr="007E190E">
              <w:rPr>
                <w:b w:val="0"/>
              </w:rPr>
              <w:fldChar w:fldCharType="end"/>
            </w:r>
          </w:p>
        </w:tc>
        <w:tc>
          <w:tcPr>
            <w:tcW w:w="6260" w:type="dxa"/>
            <w:gridSpan w:val="3"/>
            <w:tcBorders>
              <w:top w:val="single" w:sz="12" w:space="0" w:color="auto"/>
              <w:left w:val="single" w:sz="12" w:space="0" w:color="auto"/>
              <w:right w:val="single" w:sz="12" w:space="0" w:color="auto"/>
            </w:tcBorders>
            <w:shd w:val="clear" w:color="auto" w:fill="FFFFFF"/>
          </w:tcPr>
          <w:p w14:paraId="7CE60BCD" w14:textId="77777777" w:rsidR="0085056C" w:rsidRPr="00826F71" w:rsidRDefault="0085056C" w:rsidP="00730139">
            <w:pPr>
              <w:pStyle w:val="IATableLabel"/>
              <w:jc w:val="center"/>
            </w:pPr>
            <w:r w:rsidRPr="00826F71">
              <w:t xml:space="preserve">Net </w:t>
            </w:r>
            <w:r w:rsidRPr="0075393B">
              <w:t>B</w:t>
            </w:r>
            <w:r w:rsidRPr="00826F71">
              <w:t>enefit (</w:t>
            </w:r>
            <w:r>
              <w:t>Present Value (</w:t>
            </w:r>
            <w:r w:rsidRPr="00826F71">
              <w:t>PV</w:t>
            </w:r>
            <w:r>
              <w:t>)</w:t>
            </w:r>
            <w:r w:rsidRPr="00826F71">
              <w:t>)</w:t>
            </w:r>
            <w:r>
              <w:t xml:space="preserve"> (£m)</w:t>
            </w:r>
          </w:p>
        </w:tc>
      </w:tr>
      <w:tr w:rsidR="0085056C" w:rsidRPr="007E190E" w14:paraId="1E1FF351" w14:textId="77777777" w:rsidTr="00730139">
        <w:trPr>
          <w:trHeight w:hRule="exact" w:val="340"/>
        </w:trPr>
        <w:tc>
          <w:tcPr>
            <w:tcW w:w="1402" w:type="dxa"/>
            <w:vMerge/>
            <w:tcBorders>
              <w:left w:val="single" w:sz="12" w:space="0" w:color="auto"/>
              <w:bottom w:val="single" w:sz="12" w:space="0" w:color="auto"/>
              <w:right w:val="single" w:sz="12" w:space="0" w:color="auto"/>
            </w:tcBorders>
          </w:tcPr>
          <w:p w14:paraId="126121AC" w14:textId="77777777" w:rsidR="0085056C" w:rsidRPr="007E190E" w:rsidRDefault="0085056C" w:rsidP="00730139">
            <w:pPr>
              <w:pStyle w:val="IATableNotes"/>
              <w:ind w:left="0"/>
              <w:rPr>
                <w:b/>
                <w:sz w:val="20"/>
              </w:rPr>
            </w:pPr>
          </w:p>
        </w:tc>
        <w:tc>
          <w:tcPr>
            <w:tcW w:w="1260" w:type="dxa"/>
            <w:vMerge/>
            <w:tcBorders>
              <w:left w:val="single" w:sz="12" w:space="0" w:color="auto"/>
              <w:bottom w:val="single" w:sz="12" w:space="0" w:color="auto"/>
              <w:right w:val="single" w:sz="12" w:space="0" w:color="auto"/>
            </w:tcBorders>
          </w:tcPr>
          <w:p w14:paraId="33556D98" w14:textId="77777777" w:rsidR="0085056C" w:rsidRPr="007E190E" w:rsidRDefault="0085056C" w:rsidP="00730139">
            <w:pPr>
              <w:pStyle w:val="IATableNotes"/>
              <w:ind w:left="0"/>
              <w:rPr>
                <w:b/>
                <w:sz w:val="20"/>
              </w:rPr>
            </w:pPr>
          </w:p>
        </w:tc>
        <w:tc>
          <w:tcPr>
            <w:tcW w:w="1440" w:type="dxa"/>
            <w:vMerge/>
            <w:tcBorders>
              <w:left w:val="single" w:sz="12" w:space="0" w:color="auto"/>
              <w:bottom w:val="single" w:sz="12" w:space="0" w:color="auto"/>
              <w:right w:val="single" w:sz="12" w:space="0" w:color="auto"/>
            </w:tcBorders>
          </w:tcPr>
          <w:p w14:paraId="6F5A3D34" w14:textId="77777777" w:rsidR="0085056C" w:rsidRPr="007E190E" w:rsidRDefault="0085056C" w:rsidP="00730139">
            <w:pPr>
              <w:pStyle w:val="IATableNotes"/>
              <w:ind w:left="0"/>
              <w:rPr>
                <w:b/>
                <w:sz w:val="20"/>
              </w:rPr>
            </w:pPr>
          </w:p>
        </w:tc>
        <w:tc>
          <w:tcPr>
            <w:tcW w:w="1800" w:type="dxa"/>
            <w:tcBorders>
              <w:top w:val="single" w:sz="12" w:space="0" w:color="auto"/>
              <w:left w:val="single" w:sz="12" w:space="0" w:color="auto"/>
              <w:bottom w:val="single" w:sz="12" w:space="0" w:color="auto"/>
              <w:right w:val="single" w:sz="12" w:space="0" w:color="auto"/>
            </w:tcBorders>
          </w:tcPr>
          <w:p w14:paraId="73EADDB0" w14:textId="77777777" w:rsidR="0085056C" w:rsidRPr="007E190E" w:rsidRDefault="0085056C" w:rsidP="00730139">
            <w:pPr>
              <w:pStyle w:val="IATableLabel"/>
              <w:rPr>
                <w:bCs/>
              </w:rPr>
            </w:pPr>
            <w:r w:rsidRPr="00304C1D">
              <w:t>Low:</w:t>
            </w:r>
            <w:r w:rsidRPr="00826F71">
              <w:t xml:space="preserve"> </w:t>
            </w:r>
            <w:r>
              <w:rPr>
                <w:rStyle w:val="PONBLowCharChar"/>
                <w:sz w:val="20"/>
                <w:szCs w:val="22"/>
              </w:rPr>
              <w:fldChar w:fldCharType="begin">
                <w:ffData>
                  <w:name w:val="Text58"/>
                  <w:enabled/>
                  <w:calcOnExit w:val="0"/>
                  <w:textInput>
                    <w:default w:val="£0"/>
                    <w:maxLength w:val="8"/>
                  </w:textInput>
                </w:ffData>
              </w:fldChar>
            </w:r>
            <w:r>
              <w:rPr>
                <w:rStyle w:val="PONBLowCharChar"/>
                <w:sz w:val="20"/>
                <w:szCs w:val="22"/>
              </w:rPr>
              <w:instrText xml:space="preserve"> FORMTEXT </w:instrText>
            </w:r>
            <w:r>
              <w:rPr>
                <w:rStyle w:val="PONBLowCharChar"/>
                <w:sz w:val="20"/>
                <w:szCs w:val="22"/>
              </w:rPr>
            </w:r>
            <w:r>
              <w:rPr>
                <w:rStyle w:val="PONBLowCharChar"/>
                <w:sz w:val="20"/>
                <w:szCs w:val="22"/>
              </w:rPr>
              <w:fldChar w:fldCharType="separate"/>
            </w:r>
            <w:r>
              <w:rPr>
                <w:rStyle w:val="PONBLowCharChar"/>
                <w:noProof/>
                <w:sz w:val="20"/>
                <w:szCs w:val="22"/>
              </w:rPr>
              <w:t>£0</w:t>
            </w:r>
            <w:r>
              <w:rPr>
                <w:rStyle w:val="PONBLowCharChar"/>
                <w:sz w:val="20"/>
                <w:szCs w:val="22"/>
              </w:rPr>
              <w:fldChar w:fldCharType="end"/>
            </w:r>
          </w:p>
        </w:tc>
        <w:tc>
          <w:tcPr>
            <w:tcW w:w="1827" w:type="dxa"/>
            <w:tcBorders>
              <w:top w:val="single" w:sz="12" w:space="0" w:color="auto"/>
              <w:left w:val="single" w:sz="12" w:space="0" w:color="auto"/>
              <w:bottom w:val="single" w:sz="12" w:space="0" w:color="auto"/>
              <w:right w:val="single" w:sz="12" w:space="0" w:color="auto"/>
            </w:tcBorders>
          </w:tcPr>
          <w:p w14:paraId="14479510" w14:textId="77777777" w:rsidR="0085056C" w:rsidRPr="007E190E" w:rsidRDefault="0085056C" w:rsidP="00730139">
            <w:pPr>
              <w:pStyle w:val="IATableLabel"/>
              <w:rPr>
                <w:rFonts w:cs="Arial"/>
                <w:bCs/>
                <w:szCs w:val="18"/>
              </w:rPr>
            </w:pPr>
            <w:r w:rsidRPr="00304C1D">
              <w:t>High:</w:t>
            </w:r>
            <w:r w:rsidRPr="00826F71">
              <w:t xml:space="preserve"> </w:t>
            </w:r>
            <w:r>
              <w:rPr>
                <w:rStyle w:val="PONBHighChar"/>
                <w:sz w:val="20"/>
                <w:szCs w:val="22"/>
              </w:rPr>
              <w:fldChar w:fldCharType="begin">
                <w:ffData>
                  <w:name w:val="Text59"/>
                  <w:enabled/>
                  <w:calcOnExit w:val="0"/>
                  <w:textInput>
                    <w:default w:val="£0"/>
                    <w:maxLength w:val="8"/>
                  </w:textInput>
                </w:ffData>
              </w:fldChar>
            </w:r>
            <w:r>
              <w:rPr>
                <w:rStyle w:val="PONBHighChar"/>
                <w:sz w:val="20"/>
                <w:szCs w:val="22"/>
              </w:rPr>
              <w:instrText xml:space="preserve"> FORMTEXT </w:instrText>
            </w:r>
            <w:r>
              <w:rPr>
                <w:rStyle w:val="PONBHighChar"/>
                <w:sz w:val="20"/>
                <w:szCs w:val="22"/>
              </w:rPr>
            </w:r>
            <w:r>
              <w:rPr>
                <w:rStyle w:val="PONBHighChar"/>
                <w:sz w:val="20"/>
                <w:szCs w:val="22"/>
              </w:rPr>
              <w:fldChar w:fldCharType="separate"/>
            </w:r>
            <w:r>
              <w:rPr>
                <w:rStyle w:val="PONBHighChar"/>
                <w:noProof/>
                <w:sz w:val="20"/>
                <w:szCs w:val="22"/>
              </w:rPr>
              <w:t>£0</w:t>
            </w:r>
            <w:r>
              <w:rPr>
                <w:rStyle w:val="PONBHighChar"/>
                <w:sz w:val="20"/>
                <w:szCs w:val="22"/>
              </w:rPr>
              <w:fldChar w:fldCharType="end"/>
            </w:r>
          </w:p>
        </w:tc>
        <w:tc>
          <w:tcPr>
            <w:tcW w:w="2633" w:type="dxa"/>
            <w:tcBorders>
              <w:top w:val="single" w:sz="12" w:space="0" w:color="auto"/>
              <w:left w:val="single" w:sz="12" w:space="0" w:color="auto"/>
              <w:bottom w:val="single" w:sz="12" w:space="0" w:color="auto"/>
              <w:right w:val="single" w:sz="12" w:space="0" w:color="auto"/>
            </w:tcBorders>
            <w:shd w:val="clear" w:color="auto" w:fill="FFFFFF"/>
          </w:tcPr>
          <w:p w14:paraId="192E3E7D" w14:textId="77777777" w:rsidR="0085056C" w:rsidRPr="007E190E" w:rsidRDefault="0085056C" w:rsidP="00730139">
            <w:pPr>
              <w:pStyle w:val="IATableLabel"/>
              <w:rPr>
                <w:szCs w:val="18"/>
              </w:rPr>
            </w:pPr>
            <w:r w:rsidRPr="00304C1D">
              <w:t xml:space="preserve">Best </w:t>
            </w:r>
            <w:r>
              <w:t>E</w:t>
            </w:r>
            <w:r w:rsidRPr="00304C1D">
              <w:t>stimate:</w:t>
            </w:r>
            <w:r w:rsidRPr="00826F71">
              <w:t xml:space="preserve"> </w:t>
            </w:r>
            <w:r>
              <w:rPr>
                <w:rStyle w:val="PONBBestEstChar"/>
                <w:sz w:val="20"/>
                <w:szCs w:val="22"/>
              </w:rPr>
              <w:fldChar w:fldCharType="begin">
                <w:ffData>
                  <w:name w:val="Text60"/>
                  <w:enabled/>
                  <w:calcOnExit w:val="0"/>
                  <w:textInput>
                    <w:default w:val="£0"/>
                    <w:maxLength w:val="8"/>
                  </w:textInput>
                </w:ffData>
              </w:fldChar>
            </w:r>
            <w:r>
              <w:rPr>
                <w:rStyle w:val="PONBBestEstChar"/>
                <w:sz w:val="20"/>
                <w:szCs w:val="22"/>
              </w:rPr>
              <w:instrText xml:space="preserve"> FORMTEXT </w:instrText>
            </w:r>
            <w:r>
              <w:rPr>
                <w:rStyle w:val="PONBBestEstChar"/>
                <w:sz w:val="20"/>
                <w:szCs w:val="22"/>
              </w:rPr>
            </w:r>
            <w:r>
              <w:rPr>
                <w:rStyle w:val="PONBBestEstChar"/>
                <w:sz w:val="20"/>
                <w:szCs w:val="22"/>
              </w:rPr>
              <w:fldChar w:fldCharType="separate"/>
            </w:r>
            <w:r>
              <w:rPr>
                <w:rStyle w:val="PONBBestEstChar"/>
                <w:noProof/>
                <w:sz w:val="20"/>
                <w:szCs w:val="22"/>
              </w:rPr>
              <w:t>£0</w:t>
            </w:r>
            <w:r>
              <w:rPr>
                <w:rStyle w:val="PONBBestEstChar"/>
                <w:sz w:val="20"/>
                <w:szCs w:val="22"/>
              </w:rPr>
              <w:fldChar w:fldCharType="end"/>
            </w:r>
          </w:p>
        </w:tc>
      </w:tr>
    </w:tbl>
    <w:p w14:paraId="4AC61CDA" w14:textId="77777777" w:rsidR="0085056C" w:rsidRDefault="0085056C" w:rsidP="0085056C">
      <w:pPr>
        <w:pStyle w:val="IASpacer"/>
      </w:pPr>
    </w:p>
    <w:tbl>
      <w:tblPr>
        <w:tblW w:w="5062" w:type="pct"/>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1E0" w:firstRow="1" w:lastRow="1" w:firstColumn="1" w:lastColumn="1" w:noHBand="0" w:noVBand="0"/>
      </w:tblPr>
      <w:tblGrid>
        <w:gridCol w:w="2109"/>
        <w:gridCol w:w="1938"/>
        <w:gridCol w:w="786"/>
        <w:gridCol w:w="2848"/>
        <w:gridCol w:w="1765"/>
        <w:gridCol w:w="855"/>
      </w:tblGrid>
      <w:tr w:rsidR="0085056C" w:rsidRPr="007E190E" w14:paraId="535821A4" w14:textId="77777777" w:rsidTr="00730139">
        <w:trPr>
          <w:trHeight w:hRule="exact" w:val="567"/>
        </w:trPr>
        <w:tc>
          <w:tcPr>
            <w:tcW w:w="2122" w:type="dxa"/>
            <w:tcBorders>
              <w:top w:val="single" w:sz="12" w:space="0" w:color="auto"/>
              <w:bottom w:val="single" w:sz="12" w:space="0" w:color="auto"/>
              <w:right w:val="single" w:sz="12" w:space="0" w:color="auto"/>
            </w:tcBorders>
            <w:shd w:val="clear" w:color="auto" w:fill="FFFFFF"/>
          </w:tcPr>
          <w:p w14:paraId="2D4DBA67" w14:textId="77777777" w:rsidR="0085056C" w:rsidRPr="007E190E" w:rsidRDefault="0085056C" w:rsidP="00730139">
            <w:pPr>
              <w:pStyle w:val="IATableLabel"/>
              <w:rPr>
                <w:sz w:val="24"/>
                <w:szCs w:val="24"/>
              </w:rPr>
            </w:pPr>
            <w:r w:rsidRPr="007E190E">
              <w:rPr>
                <w:sz w:val="24"/>
                <w:szCs w:val="24"/>
              </w:rPr>
              <w:t>COSTS (£m)</w:t>
            </w:r>
          </w:p>
        </w:tc>
        <w:tc>
          <w:tcPr>
            <w:tcW w:w="2739" w:type="dxa"/>
            <w:gridSpan w:val="2"/>
            <w:tcBorders>
              <w:top w:val="single" w:sz="12" w:space="0" w:color="auto"/>
              <w:left w:val="single" w:sz="12" w:space="0" w:color="auto"/>
              <w:right w:val="single" w:sz="12" w:space="0" w:color="auto"/>
            </w:tcBorders>
          </w:tcPr>
          <w:p w14:paraId="19F4C7C7" w14:textId="77777777" w:rsidR="0085056C" w:rsidRPr="00826F71" w:rsidRDefault="0085056C" w:rsidP="00730139">
            <w:pPr>
              <w:pStyle w:val="IATableLabel"/>
              <w:tabs>
                <w:tab w:val="right" w:pos="1800"/>
                <w:tab w:val="center" w:pos="2340"/>
              </w:tabs>
              <w:jc w:val="right"/>
            </w:pPr>
            <w:r w:rsidRPr="00826F71">
              <w:t xml:space="preserve">Total Transition </w:t>
            </w:r>
            <w:r>
              <w:br/>
            </w:r>
            <w:r>
              <w:tab/>
            </w:r>
            <w:r w:rsidRPr="007E190E">
              <w:rPr>
                <w:b w:val="0"/>
                <w:sz w:val="18"/>
                <w:szCs w:val="18"/>
              </w:rPr>
              <w:t>(Constant Price)</w:t>
            </w:r>
            <w:r>
              <w:tab/>
            </w:r>
            <w:r w:rsidRPr="007E190E">
              <w:rPr>
                <w:b w:val="0"/>
                <w:sz w:val="18"/>
                <w:szCs w:val="18"/>
              </w:rPr>
              <w:t>Yea</w:t>
            </w:r>
            <w:r w:rsidRPr="007E190E">
              <w:rPr>
                <w:b w:val="0"/>
                <w:bCs/>
                <w:sz w:val="18"/>
                <w:szCs w:val="18"/>
              </w:rPr>
              <w:t>r</w:t>
            </w:r>
            <w:r w:rsidRPr="007E190E">
              <w:rPr>
                <w:b w:val="0"/>
                <w:sz w:val="18"/>
                <w:szCs w:val="18"/>
              </w:rPr>
              <w:t>s</w:t>
            </w:r>
          </w:p>
          <w:p w14:paraId="5EA0E646" w14:textId="77777777" w:rsidR="0085056C" w:rsidRPr="00826F71" w:rsidRDefault="0085056C" w:rsidP="00730139">
            <w:pPr>
              <w:pStyle w:val="IATableLabel"/>
              <w:jc w:val="right"/>
            </w:pPr>
            <w:r>
              <w:br/>
            </w:r>
          </w:p>
        </w:tc>
        <w:tc>
          <w:tcPr>
            <w:tcW w:w="2865" w:type="dxa"/>
            <w:tcBorders>
              <w:top w:val="single" w:sz="12" w:space="0" w:color="auto"/>
              <w:left w:val="single" w:sz="12" w:space="0" w:color="auto"/>
              <w:bottom w:val="single" w:sz="12" w:space="0" w:color="auto"/>
              <w:right w:val="single" w:sz="12" w:space="0" w:color="auto"/>
            </w:tcBorders>
          </w:tcPr>
          <w:p w14:paraId="5DAEE21F" w14:textId="77777777" w:rsidR="0085056C" w:rsidRPr="007E190E" w:rsidRDefault="0085056C" w:rsidP="00730139">
            <w:pPr>
              <w:pStyle w:val="IATableLabel"/>
              <w:jc w:val="right"/>
              <w:rPr>
                <w:rFonts w:cs="Arial"/>
                <w:bCs/>
              </w:rPr>
            </w:pPr>
            <w:r w:rsidRPr="00826F71">
              <w:t>Average Annual</w:t>
            </w:r>
            <w:r w:rsidRPr="000C031E">
              <w:t xml:space="preserve"> </w:t>
            </w:r>
            <w:r>
              <w:br/>
            </w:r>
            <w:r w:rsidRPr="007E190E">
              <w:rPr>
                <w:b w:val="0"/>
                <w:sz w:val="18"/>
                <w:szCs w:val="18"/>
              </w:rPr>
              <w:t xml:space="preserve">(excl. Transition) </w:t>
            </w:r>
            <w:r w:rsidRPr="007E190E">
              <w:rPr>
                <w:rFonts w:cs="Arial"/>
                <w:b w:val="0"/>
                <w:bCs/>
                <w:sz w:val="18"/>
                <w:szCs w:val="18"/>
              </w:rPr>
              <w:t>(Constant Price)</w:t>
            </w:r>
          </w:p>
        </w:tc>
        <w:tc>
          <w:tcPr>
            <w:tcW w:w="2636" w:type="dxa"/>
            <w:gridSpan w:val="2"/>
            <w:tcBorders>
              <w:top w:val="single" w:sz="12" w:space="0" w:color="auto"/>
              <w:left w:val="single" w:sz="12" w:space="0" w:color="auto"/>
              <w:bottom w:val="single" w:sz="12" w:space="0" w:color="auto"/>
            </w:tcBorders>
          </w:tcPr>
          <w:p w14:paraId="19259F2C" w14:textId="77777777" w:rsidR="0085056C" w:rsidRPr="00826F71" w:rsidRDefault="0085056C" w:rsidP="00730139">
            <w:pPr>
              <w:pStyle w:val="IATableLabel"/>
              <w:jc w:val="right"/>
            </w:pPr>
            <w:r w:rsidRPr="00826F71">
              <w:t>Total Cost</w:t>
            </w:r>
            <w:r w:rsidRPr="007E190E">
              <w:rPr>
                <w:b w:val="0"/>
                <w:sz w:val="18"/>
                <w:szCs w:val="18"/>
              </w:rPr>
              <w:t xml:space="preserve"> </w:t>
            </w:r>
            <w:r w:rsidRPr="007E190E">
              <w:rPr>
                <w:b w:val="0"/>
                <w:sz w:val="18"/>
                <w:szCs w:val="18"/>
              </w:rPr>
              <w:br/>
              <w:t>(Present Value)</w:t>
            </w:r>
          </w:p>
        </w:tc>
      </w:tr>
      <w:tr w:rsidR="0085056C" w:rsidRPr="007E190E" w14:paraId="7E86E083" w14:textId="77777777" w:rsidTr="00730139">
        <w:trPr>
          <w:trHeight w:hRule="exact" w:val="348"/>
        </w:trPr>
        <w:tc>
          <w:tcPr>
            <w:tcW w:w="2122" w:type="dxa"/>
            <w:tcBorders>
              <w:top w:val="single" w:sz="12" w:space="0" w:color="auto"/>
              <w:bottom w:val="single" w:sz="12" w:space="0" w:color="auto"/>
              <w:right w:val="single" w:sz="12" w:space="0" w:color="auto"/>
            </w:tcBorders>
            <w:vAlign w:val="center"/>
          </w:tcPr>
          <w:p w14:paraId="770F756E" w14:textId="77777777" w:rsidR="0085056C" w:rsidRPr="00F63895" w:rsidRDefault="0085056C" w:rsidP="00730139">
            <w:pPr>
              <w:pStyle w:val="IATableLabel"/>
            </w:pPr>
            <w:r w:rsidRPr="00F63895">
              <w:t xml:space="preserve">Low </w:t>
            </w:r>
          </w:p>
        </w:tc>
        <w:tc>
          <w:tcPr>
            <w:tcW w:w="1949" w:type="dxa"/>
            <w:tcBorders>
              <w:top w:val="single" w:sz="12" w:space="0" w:color="auto"/>
              <w:left w:val="single" w:sz="12" w:space="0" w:color="auto"/>
              <w:bottom w:val="single" w:sz="12" w:space="0" w:color="auto"/>
              <w:right w:val="single" w:sz="12" w:space="0" w:color="auto"/>
            </w:tcBorders>
            <w:vAlign w:val="center"/>
          </w:tcPr>
          <w:p w14:paraId="2718E989" w14:textId="77777777" w:rsidR="0085056C" w:rsidRPr="007E190E" w:rsidRDefault="0085056C" w:rsidP="00730139">
            <w:pPr>
              <w:pStyle w:val="POTTCostsLow"/>
              <w:rPr>
                <w:sz w:val="20"/>
              </w:rPr>
            </w:pPr>
            <w:r>
              <w:rPr>
                <w:sz w:val="20"/>
              </w:rPr>
              <w:fldChar w:fldCharType="begin">
                <w:ffData>
                  <w:name w:val="Text45"/>
                  <w:enabled/>
                  <w:calcOnExit w:val="0"/>
                  <w:textInput>
                    <w:default w:val="£0"/>
                    <w:maxLength w:val="14"/>
                  </w:textInput>
                </w:ffData>
              </w:fldChar>
            </w:r>
            <w:r>
              <w:rPr>
                <w:sz w:val="20"/>
              </w:rPr>
              <w:instrText xml:space="preserve"> FORMTEXT </w:instrText>
            </w:r>
            <w:r>
              <w:rPr>
                <w:sz w:val="20"/>
              </w:rPr>
            </w:r>
            <w:r>
              <w:rPr>
                <w:sz w:val="20"/>
              </w:rPr>
              <w:fldChar w:fldCharType="separate"/>
            </w:r>
            <w:r>
              <w:rPr>
                <w:noProof/>
                <w:sz w:val="20"/>
              </w:rPr>
              <w:t>£0</w:t>
            </w:r>
            <w:r>
              <w:rPr>
                <w:sz w:val="20"/>
              </w:rPr>
              <w:fldChar w:fldCharType="end"/>
            </w:r>
          </w:p>
        </w:tc>
        <w:tc>
          <w:tcPr>
            <w:tcW w:w="790" w:type="dxa"/>
            <w:vMerge w:val="restart"/>
            <w:tcBorders>
              <w:top w:val="single" w:sz="12" w:space="0" w:color="auto"/>
              <w:left w:val="single" w:sz="12" w:space="0" w:color="auto"/>
              <w:right w:val="single" w:sz="12" w:space="0" w:color="auto"/>
            </w:tcBorders>
            <w:vAlign w:val="center"/>
          </w:tcPr>
          <w:p w14:paraId="01C3E7E4" w14:textId="77777777" w:rsidR="0085056C" w:rsidRPr="007E190E" w:rsidRDefault="0085056C" w:rsidP="00730139">
            <w:pPr>
              <w:pStyle w:val="POTTCostsYear"/>
              <w:rPr>
                <w:sz w:val="20"/>
                <w:szCs w:val="20"/>
              </w:rPr>
            </w:pPr>
            <w:r w:rsidRPr="007E190E">
              <w:rPr>
                <w:sz w:val="20"/>
                <w:szCs w:val="20"/>
              </w:rPr>
              <w:fldChar w:fldCharType="begin">
                <w:ffData>
                  <w:name w:val="Text48"/>
                  <w:enabled/>
                  <w:calcOnExit w:val="0"/>
                  <w:textInput>
                    <w:maxLength w:val="3"/>
                  </w:textInput>
                </w:ffData>
              </w:fldChar>
            </w:r>
            <w:r w:rsidRPr="007E190E">
              <w:rPr>
                <w:sz w:val="20"/>
                <w:szCs w:val="20"/>
              </w:rPr>
              <w:instrText xml:space="preserve"> FORMTEXT </w:instrText>
            </w:r>
            <w:r w:rsidRPr="007E190E">
              <w:rPr>
                <w:sz w:val="20"/>
                <w:szCs w:val="20"/>
              </w:rPr>
            </w:r>
            <w:r w:rsidRPr="007E190E">
              <w:rPr>
                <w:sz w:val="20"/>
                <w:szCs w:val="20"/>
              </w:rPr>
              <w:fldChar w:fldCharType="separate"/>
            </w:r>
            <w:r w:rsidRPr="007E190E">
              <w:rPr>
                <w:noProof/>
                <w:sz w:val="20"/>
                <w:szCs w:val="20"/>
              </w:rPr>
              <w:t> </w:t>
            </w:r>
            <w:r w:rsidRPr="007E190E">
              <w:rPr>
                <w:noProof/>
                <w:sz w:val="20"/>
                <w:szCs w:val="20"/>
              </w:rPr>
              <w:t> </w:t>
            </w:r>
            <w:r w:rsidRPr="007E190E">
              <w:rPr>
                <w:noProof/>
                <w:sz w:val="20"/>
                <w:szCs w:val="20"/>
              </w:rPr>
              <w:t> </w:t>
            </w:r>
            <w:r w:rsidRPr="007E190E">
              <w:rPr>
                <w:sz w:val="20"/>
                <w:szCs w:val="20"/>
              </w:rPr>
              <w:fldChar w:fldCharType="end"/>
            </w:r>
          </w:p>
        </w:tc>
        <w:tc>
          <w:tcPr>
            <w:tcW w:w="2865" w:type="dxa"/>
            <w:tcBorders>
              <w:top w:val="single" w:sz="12" w:space="0" w:color="auto"/>
              <w:left w:val="single" w:sz="12" w:space="0" w:color="auto"/>
              <w:bottom w:val="single" w:sz="12" w:space="0" w:color="auto"/>
              <w:right w:val="single" w:sz="12" w:space="0" w:color="auto"/>
            </w:tcBorders>
            <w:vAlign w:val="center"/>
          </w:tcPr>
          <w:p w14:paraId="53A3D55E" w14:textId="77777777" w:rsidR="0085056C" w:rsidRPr="007E190E" w:rsidRDefault="0085056C" w:rsidP="00730139">
            <w:pPr>
              <w:pStyle w:val="POAACostsLow"/>
              <w:rPr>
                <w:sz w:val="20"/>
              </w:rPr>
            </w:pPr>
            <w:r>
              <w:rPr>
                <w:sz w:val="20"/>
              </w:rPr>
              <w:fldChar w:fldCharType="begin">
                <w:ffData>
                  <w:name w:val="Text49"/>
                  <w:enabled/>
                  <w:calcOnExit w:val="0"/>
                  <w:textInput>
                    <w:default w:val="£0"/>
                    <w:maxLength w:val="14"/>
                  </w:textInput>
                </w:ffData>
              </w:fldChar>
            </w:r>
            <w:r>
              <w:rPr>
                <w:sz w:val="20"/>
              </w:rPr>
              <w:instrText xml:space="preserve"> FORMTEXT </w:instrText>
            </w:r>
            <w:r>
              <w:rPr>
                <w:sz w:val="20"/>
              </w:rPr>
            </w:r>
            <w:r>
              <w:rPr>
                <w:sz w:val="20"/>
              </w:rPr>
              <w:fldChar w:fldCharType="separate"/>
            </w:r>
            <w:r>
              <w:rPr>
                <w:noProof/>
                <w:sz w:val="20"/>
              </w:rPr>
              <w:t>£0</w:t>
            </w:r>
            <w:r>
              <w:rPr>
                <w:sz w:val="20"/>
              </w:rPr>
              <w:fldChar w:fldCharType="end"/>
            </w:r>
          </w:p>
        </w:tc>
        <w:tc>
          <w:tcPr>
            <w:tcW w:w="2636" w:type="dxa"/>
            <w:gridSpan w:val="2"/>
            <w:tcBorders>
              <w:top w:val="single" w:sz="12" w:space="0" w:color="auto"/>
              <w:left w:val="single" w:sz="12" w:space="0" w:color="auto"/>
              <w:bottom w:val="single" w:sz="12" w:space="0" w:color="auto"/>
            </w:tcBorders>
            <w:vAlign w:val="center"/>
          </w:tcPr>
          <w:p w14:paraId="4F3D5230" w14:textId="77777777" w:rsidR="0085056C" w:rsidRPr="007E190E" w:rsidRDefault="0085056C" w:rsidP="00730139">
            <w:pPr>
              <w:pStyle w:val="POTCCostsLow"/>
              <w:rPr>
                <w:sz w:val="20"/>
              </w:rPr>
            </w:pPr>
            <w:r>
              <w:rPr>
                <w:sz w:val="20"/>
              </w:rPr>
              <w:fldChar w:fldCharType="begin">
                <w:ffData>
                  <w:name w:val="Text52"/>
                  <w:enabled/>
                  <w:calcOnExit w:val="0"/>
                  <w:textInput>
                    <w:default w:val="£0"/>
                    <w:maxLength w:val="14"/>
                  </w:textInput>
                </w:ffData>
              </w:fldChar>
            </w:r>
            <w:r>
              <w:rPr>
                <w:sz w:val="20"/>
              </w:rPr>
              <w:instrText xml:space="preserve"> FORMTEXT </w:instrText>
            </w:r>
            <w:r>
              <w:rPr>
                <w:sz w:val="20"/>
              </w:rPr>
            </w:r>
            <w:r>
              <w:rPr>
                <w:sz w:val="20"/>
              </w:rPr>
              <w:fldChar w:fldCharType="separate"/>
            </w:r>
            <w:r>
              <w:rPr>
                <w:noProof/>
                <w:sz w:val="20"/>
              </w:rPr>
              <w:t>£0</w:t>
            </w:r>
            <w:r>
              <w:rPr>
                <w:sz w:val="20"/>
              </w:rPr>
              <w:fldChar w:fldCharType="end"/>
            </w:r>
          </w:p>
        </w:tc>
      </w:tr>
      <w:tr w:rsidR="0085056C" w:rsidRPr="007E190E" w14:paraId="1453235A" w14:textId="77777777" w:rsidTr="00730139">
        <w:trPr>
          <w:trHeight w:hRule="exact" w:val="348"/>
        </w:trPr>
        <w:tc>
          <w:tcPr>
            <w:tcW w:w="2122" w:type="dxa"/>
            <w:tcBorders>
              <w:top w:val="single" w:sz="12" w:space="0" w:color="auto"/>
              <w:bottom w:val="single" w:sz="12" w:space="0" w:color="auto"/>
              <w:right w:val="single" w:sz="12" w:space="0" w:color="auto"/>
            </w:tcBorders>
            <w:vAlign w:val="center"/>
          </w:tcPr>
          <w:p w14:paraId="17600312" w14:textId="77777777" w:rsidR="0085056C" w:rsidRPr="00F63895" w:rsidRDefault="0085056C" w:rsidP="00730139">
            <w:pPr>
              <w:pStyle w:val="IATableLabel"/>
            </w:pPr>
            <w:r w:rsidRPr="00F63895">
              <w:t xml:space="preserve">High </w:t>
            </w:r>
          </w:p>
        </w:tc>
        <w:tc>
          <w:tcPr>
            <w:tcW w:w="1949" w:type="dxa"/>
            <w:tcBorders>
              <w:top w:val="single" w:sz="12" w:space="0" w:color="auto"/>
              <w:left w:val="single" w:sz="12" w:space="0" w:color="auto"/>
              <w:bottom w:val="single" w:sz="12" w:space="0" w:color="auto"/>
              <w:right w:val="single" w:sz="12" w:space="0" w:color="auto"/>
            </w:tcBorders>
            <w:vAlign w:val="center"/>
          </w:tcPr>
          <w:p w14:paraId="59627838" w14:textId="77777777" w:rsidR="0085056C" w:rsidRPr="007E190E" w:rsidRDefault="0085056C" w:rsidP="00730139">
            <w:pPr>
              <w:pStyle w:val="POTTCostsHigh"/>
              <w:rPr>
                <w:sz w:val="20"/>
              </w:rPr>
            </w:pPr>
            <w:r>
              <w:rPr>
                <w:sz w:val="20"/>
              </w:rPr>
              <w:fldChar w:fldCharType="begin">
                <w:ffData>
                  <w:name w:val="Text46"/>
                  <w:enabled/>
                  <w:calcOnExit w:val="0"/>
                  <w:textInput>
                    <w:default w:val="£0"/>
                    <w:maxLength w:val="14"/>
                  </w:textInput>
                </w:ffData>
              </w:fldChar>
            </w:r>
            <w:r>
              <w:rPr>
                <w:sz w:val="20"/>
              </w:rPr>
              <w:instrText xml:space="preserve"> FORMTEXT </w:instrText>
            </w:r>
            <w:r>
              <w:rPr>
                <w:sz w:val="20"/>
              </w:rPr>
            </w:r>
            <w:r>
              <w:rPr>
                <w:sz w:val="20"/>
              </w:rPr>
              <w:fldChar w:fldCharType="separate"/>
            </w:r>
            <w:r>
              <w:rPr>
                <w:noProof/>
                <w:sz w:val="20"/>
              </w:rPr>
              <w:t>£0</w:t>
            </w:r>
            <w:r>
              <w:rPr>
                <w:sz w:val="20"/>
              </w:rPr>
              <w:fldChar w:fldCharType="end"/>
            </w:r>
          </w:p>
        </w:tc>
        <w:tc>
          <w:tcPr>
            <w:tcW w:w="790" w:type="dxa"/>
            <w:vMerge/>
            <w:tcBorders>
              <w:left w:val="single" w:sz="12" w:space="0" w:color="auto"/>
              <w:right w:val="single" w:sz="12" w:space="0" w:color="auto"/>
            </w:tcBorders>
            <w:shd w:val="clear" w:color="auto" w:fill="FFFFFF"/>
            <w:vAlign w:val="center"/>
          </w:tcPr>
          <w:p w14:paraId="31AADC67" w14:textId="77777777" w:rsidR="0085056C" w:rsidRPr="007E190E" w:rsidRDefault="0085056C" w:rsidP="00730139">
            <w:pPr>
              <w:pStyle w:val="IATableText"/>
              <w:jc w:val="right"/>
              <w:rPr>
                <w:sz w:val="20"/>
              </w:rPr>
            </w:pPr>
          </w:p>
        </w:tc>
        <w:tc>
          <w:tcPr>
            <w:tcW w:w="2865" w:type="dxa"/>
            <w:tcBorders>
              <w:top w:val="single" w:sz="12" w:space="0" w:color="auto"/>
              <w:left w:val="single" w:sz="12" w:space="0" w:color="auto"/>
              <w:bottom w:val="single" w:sz="12" w:space="0" w:color="auto"/>
              <w:right w:val="single" w:sz="12" w:space="0" w:color="auto"/>
            </w:tcBorders>
            <w:vAlign w:val="center"/>
          </w:tcPr>
          <w:p w14:paraId="02D63004" w14:textId="77777777" w:rsidR="0085056C" w:rsidRPr="007E190E" w:rsidRDefault="0085056C" w:rsidP="00730139">
            <w:pPr>
              <w:pStyle w:val="POAACostsHigh"/>
              <w:rPr>
                <w:sz w:val="20"/>
              </w:rPr>
            </w:pPr>
            <w:r>
              <w:rPr>
                <w:sz w:val="20"/>
              </w:rPr>
              <w:fldChar w:fldCharType="begin">
                <w:ffData>
                  <w:name w:val="Text50"/>
                  <w:enabled/>
                  <w:calcOnExit w:val="0"/>
                  <w:textInput>
                    <w:default w:val="£0"/>
                    <w:maxLength w:val="14"/>
                  </w:textInput>
                </w:ffData>
              </w:fldChar>
            </w:r>
            <w:r>
              <w:rPr>
                <w:sz w:val="20"/>
              </w:rPr>
              <w:instrText xml:space="preserve"> FORMTEXT </w:instrText>
            </w:r>
            <w:r>
              <w:rPr>
                <w:sz w:val="20"/>
              </w:rPr>
            </w:r>
            <w:r>
              <w:rPr>
                <w:sz w:val="20"/>
              </w:rPr>
              <w:fldChar w:fldCharType="separate"/>
            </w:r>
            <w:r>
              <w:rPr>
                <w:noProof/>
                <w:sz w:val="20"/>
              </w:rPr>
              <w:t>£0</w:t>
            </w:r>
            <w:r>
              <w:rPr>
                <w:sz w:val="20"/>
              </w:rPr>
              <w:fldChar w:fldCharType="end"/>
            </w:r>
          </w:p>
        </w:tc>
        <w:tc>
          <w:tcPr>
            <w:tcW w:w="2636" w:type="dxa"/>
            <w:gridSpan w:val="2"/>
            <w:tcBorders>
              <w:top w:val="single" w:sz="12" w:space="0" w:color="auto"/>
              <w:left w:val="single" w:sz="12" w:space="0" w:color="auto"/>
              <w:bottom w:val="single" w:sz="12" w:space="0" w:color="auto"/>
            </w:tcBorders>
            <w:vAlign w:val="center"/>
          </w:tcPr>
          <w:p w14:paraId="6DFCBFB3" w14:textId="77777777" w:rsidR="0085056C" w:rsidRPr="007E190E" w:rsidRDefault="0085056C" w:rsidP="00730139">
            <w:pPr>
              <w:pStyle w:val="POTCCostsHigh"/>
              <w:rPr>
                <w:sz w:val="20"/>
              </w:rPr>
            </w:pPr>
            <w:r>
              <w:rPr>
                <w:sz w:val="20"/>
              </w:rPr>
              <w:fldChar w:fldCharType="begin">
                <w:ffData>
                  <w:name w:val="Text53"/>
                  <w:enabled/>
                  <w:calcOnExit w:val="0"/>
                  <w:textInput>
                    <w:default w:val="£0"/>
                    <w:maxLength w:val="14"/>
                  </w:textInput>
                </w:ffData>
              </w:fldChar>
            </w:r>
            <w:r>
              <w:rPr>
                <w:sz w:val="20"/>
              </w:rPr>
              <w:instrText xml:space="preserve"> FORMTEXT </w:instrText>
            </w:r>
            <w:r>
              <w:rPr>
                <w:sz w:val="20"/>
              </w:rPr>
            </w:r>
            <w:r>
              <w:rPr>
                <w:sz w:val="20"/>
              </w:rPr>
              <w:fldChar w:fldCharType="separate"/>
            </w:r>
            <w:r>
              <w:rPr>
                <w:noProof/>
                <w:sz w:val="20"/>
              </w:rPr>
              <w:t>£0</w:t>
            </w:r>
            <w:r>
              <w:rPr>
                <w:sz w:val="20"/>
              </w:rPr>
              <w:fldChar w:fldCharType="end"/>
            </w:r>
          </w:p>
        </w:tc>
      </w:tr>
      <w:tr w:rsidR="0085056C" w:rsidRPr="007E190E" w14:paraId="79740C0A" w14:textId="77777777" w:rsidTr="00730139">
        <w:trPr>
          <w:trHeight w:hRule="exact" w:val="348"/>
        </w:trPr>
        <w:tc>
          <w:tcPr>
            <w:tcW w:w="2122" w:type="dxa"/>
            <w:tcBorders>
              <w:top w:val="single" w:sz="12" w:space="0" w:color="auto"/>
              <w:bottom w:val="single" w:sz="12" w:space="0" w:color="auto"/>
              <w:right w:val="single" w:sz="12" w:space="0" w:color="auto"/>
            </w:tcBorders>
            <w:shd w:val="clear" w:color="auto" w:fill="FFFFFF"/>
            <w:vAlign w:val="center"/>
          </w:tcPr>
          <w:p w14:paraId="547FFEB3" w14:textId="77777777" w:rsidR="0085056C" w:rsidRPr="00F63895" w:rsidRDefault="0085056C" w:rsidP="00730139">
            <w:pPr>
              <w:pStyle w:val="IATableLabel"/>
            </w:pPr>
            <w:r w:rsidRPr="00F63895">
              <w:t>Best Estimate</w:t>
            </w:r>
          </w:p>
          <w:p w14:paraId="4D5AEC0C" w14:textId="77777777" w:rsidR="0085056C" w:rsidRPr="007E190E" w:rsidRDefault="0085056C" w:rsidP="00730139">
            <w:pPr>
              <w:pStyle w:val="IATableNotes"/>
              <w:spacing w:beforeLines="40" w:before="96"/>
              <w:ind w:left="0" w:right="-22"/>
              <w:jc w:val="center"/>
              <w:rPr>
                <w:rFonts w:cs="Arial"/>
                <w:b/>
                <w:sz w:val="20"/>
              </w:rPr>
            </w:pPr>
          </w:p>
        </w:tc>
        <w:tc>
          <w:tcPr>
            <w:tcW w:w="1949" w:type="dxa"/>
            <w:tcBorders>
              <w:top w:val="single" w:sz="12" w:space="0" w:color="auto"/>
              <w:left w:val="single" w:sz="12" w:space="0" w:color="auto"/>
              <w:bottom w:val="single" w:sz="12" w:space="0" w:color="auto"/>
              <w:right w:val="single" w:sz="12" w:space="0" w:color="auto"/>
            </w:tcBorders>
            <w:shd w:val="clear" w:color="auto" w:fill="FFFFFF"/>
            <w:vAlign w:val="center"/>
          </w:tcPr>
          <w:p w14:paraId="341E6C17" w14:textId="77777777" w:rsidR="0085056C" w:rsidRPr="007E190E" w:rsidRDefault="0085056C" w:rsidP="00730139">
            <w:pPr>
              <w:pStyle w:val="POTTCostsBest"/>
              <w:rPr>
                <w:sz w:val="20"/>
              </w:rPr>
            </w:pPr>
            <w:r>
              <w:rPr>
                <w:sz w:val="20"/>
              </w:rPr>
              <w:fldChar w:fldCharType="begin">
                <w:ffData>
                  <w:name w:val="Text51"/>
                  <w:enabled/>
                  <w:calcOnExit w:val="0"/>
                  <w:textInput>
                    <w:default w:val="£0"/>
                    <w:maxLength w:val="14"/>
                  </w:textInput>
                </w:ffData>
              </w:fldChar>
            </w:r>
            <w:r>
              <w:rPr>
                <w:sz w:val="20"/>
              </w:rPr>
              <w:instrText xml:space="preserve"> FORMTEXT </w:instrText>
            </w:r>
            <w:r>
              <w:rPr>
                <w:sz w:val="20"/>
              </w:rPr>
            </w:r>
            <w:r>
              <w:rPr>
                <w:sz w:val="20"/>
              </w:rPr>
              <w:fldChar w:fldCharType="separate"/>
            </w:r>
            <w:r>
              <w:rPr>
                <w:noProof/>
                <w:sz w:val="20"/>
              </w:rPr>
              <w:t>£0</w:t>
            </w:r>
            <w:r>
              <w:rPr>
                <w:sz w:val="20"/>
              </w:rPr>
              <w:fldChar w:fldCharType="end"/>
            </w:r>
          </w:p>
        </w:tc>
        <w:tc>
          <w:tcPr>
            <w:tcW w:w="790" w:type="dxa"/>
            <w:vMerge/>
            <w:tcBorders>
              <w:left w:val="single" w:sz="12" w:space="0" w:color="auto"/>
              <w:right w:val="single" w:sz="12" w:space="0" w:color="auto"/>
            </w:tcBorders>
            <w:shd w:val="clear" w:color="auto" w:fill="FFFFFF"/>
            <w:vAlign w:val="center"/>
          </w:tcPr>
          <w:p w14:paraId="0E257F22" w14:textId="77777777" w:rsidR="0085056C" w:rsidRPr="007E190E" w:rsidRDefault="0085056C" w:rsidP="00730139">
            <w:pPr>
              <w:pStyle w:val="IATableText"/>
              <w:jc w:val="right"/>
              <w:rPr>
                <w:sz w:val="20"/>
              </w:rPr>
            </w:pPr>
          </w:p>
        </w:tc>
        <w:tc>
          <w:tcPr>
            <w:tcW w:w="2865" w:type="dxa"/>
            <w:tcBorders>
              <w:top w:val="single" w:sz="12" w:space="0" w:color="auto"/>
              <w:left w:val="single" w:sz="12" w:space="0" w:color="auto"/>
              <w:bottom w:val="single" w:sz="12" w:space="0" w:color="auto"/>
              <w:right w:val="single" w:sz="12" w:space="0" w:color="auto"/>
            </w:tcBorders>
            <w:shd w:val="clear" w:color="auto" w:fill="FFFFFF"/>
            <w:vAlign w:val="center"/>
          </w:tcPr>
          <w:p w14:paraId="4F8AE77C" w14:textId="77777777" w:rsidR="0085056C" w:rsidRPr="007E190E" w:rsidRDefault="0085056C" w:rsidP="00730139">
            <w:pPr>
              <w:pStyle w:val="POAACostsBest"/>
              <w:rPr>
                <w:sz w:val="20"/>
              </w:rPr>
            </w:pPr>
            <w:r>
              <w:rPr>
                <w:sz w:val="20"/>
              </w:rPr>
              <w:fldChar w:fldCharType="begin">
                <w:ffData>
                  <w:name w:val=""/>
                  <w:enabled/>
                  <w:calcOnExit w:val="0"/>
                  <w:textInput>
                    <w:default w:val="£0"/>
                    <w:maxLength w:val="14"/>
                  </w:textInput>
                </w:ffData>
              </w:fldChar>
            </w:r>
            <w:r>
              <w:rPr>
                <w:sz w:val="20"/>
              </w:rPr>
              <w:instrText xml:space="preserve"> FORMTEXT </w:instrText>
            </w:r>
            <w:r>
              <w:rPr>
                <w:sz w:val="20"/>
              </w:rPr>
            </w:r>
            <w:r>
              <w:rPr>
                <w:sz w:val="20"/>
              </w:rPr>
              <w:fldChar w:fldCharType="separate"/>
            </w:r>
            <w:r>
              <w:rPr>
                <w:noProof/>
                <w:sz w:val="20"/>
              </w:rPr>
              <w:t>£0</w:t>
            </w:r>
            <w:r>
              <w:rPr>
                <w:sz w:val="20"/>
              </w:rPr>
              <w:fldChar w:fldCharType="end"/>
            </w:r>
          </w:p>
        </w:tc>
        <w:tc>
          <w:tcPr>
            <w:tcW w:w="2636" w:type="dxa"/>
            <w:gridSpan w:val="2"/>
            <w:tcBorders>
              <w:top w:val="single" w:sz="12" w:space="0" w:color="auto"/>
              <w:left w:val="single" w:sz="12" w:space="0" w:color="auto"/>
              <w:bottom w:val="single" w:sz="12" w:space="0" w:color="auto"/>
            </w:tcBorders>
            <w:shd w:val="clear" w:color="auto" w:fill="FFFFFF"/>
            <w:vAlign w:val="center"/>
          </w:tcPr>
          <w:p w14:paraId="1EDF595D" w14:textId="77777777" w:rsidR="0085056C" w:rsidRPr="007E190E" w:rsidRDefault="0085056C" w:rsidP="00730139">
            <w:pPr>
              <w:pStyle w:val="POTCCostsBest"/>
              <w:rPr>
                <w:sz w:val="20"/>
              </w:rPr>
            </w:pPr>
            <w:r>
              <w:rPr>
                <w:sz w:val="20"/>
              </w:rPr>
              <w:fldChar w:fldCharType="begin">
                <w:ffData>
                  <w:name w:val="Text54"/>
                  <w:enabled/>
                  <w:calcOnExit w:val="0"/>
                  <w:textInput>
                    <w:default w:val="£0"/>
                    <w:maxLength w:val="14"/>
                  </w:textInput>
                </w:ffData>
              </w:fldChar>
            </w:r>
            <w:r>
              <w:rPr>
                <w:sz w:val="20"/>
              </w:rPr>
              <w:instrText xml:space="preserve"> FORMTEXT </w:instrText>
            </w:r>
            <w:r>
              <w:rPr>
                <w:sz w:val="20"/>
              </w:rPr>
            </w:r>
            <w:r>
              <w:rPr>
                <w:sz w:val="20"/>
              </w:rPr>
              <w:fldChar w:fldCharType="separate"/>
            </w:r>
            <w:r>
              <w:rPr>
                <w:noProof/>
                <w:sz w:val="20"/>
              </w:rPr>
              <w:t>£0</w:t>
            </w:r>
            <w:r>
              <w:rPr>
                <w:sz w:val="20"/>
              </w:rPr>
              <w:fldChar w:fldCharType="end"/>
            </w:r>
          </w:p>
        </w:tc>
      </w:tr>
      <w:tr w:rsidR="0085056C" w:rsidRPr="00826F71" w14:paraId="1532BF78" w14:textId="77777777" w:rsidTr="000D4F90">
        <w:trPr>
          <w:trHeight w:hRule="exact" w:val="1344"/>
        </w:trPr>
        <w:tc>
          <w:tcPr>
            <w:tcW w:w="10362" w:type="dxa"/>
            <w:gridSpan w:val="6"/>
            <w:tcBorders>
              <w:bottom w:val="single" w:sz="12" w:space="0" w:color="auto"/>
            </w:tcBorders>
          </w:tcPr>
          <w:p w14:paraId="73FED1DE" w14:textId="77777777" w:rsidR="0085056C" w:rsidRPr="007E190E" w:rsidRDefault="0085056C" w:rsidP="00730139">
            <w:pPr>
              <w:pStyle w:val="IAPOQ1"/>
              <w:rPr>
                <w:szCs w:val="22"/>
              </w:rPr>
            </w:pPr>
            <w:r w:rsidRPr="00544292">
              <w:t xml:space="preserve">Description and scale of </w:t>
            </w:r>
            <w:r w:rsidRPr="00826F71">
              <w:t>key monetised costs</w:t>
            </w:r>
            <w:r w:rsidRPr="00544292">
              <w:t xml:space="preserve"> by ‘main affected groups’ </w:t>
            </w:r>
          </w:p>
          <w:p w14:paraId="7956E241" w14:textId="7784D050" w:rsidR="0085056C" w:rsidRPr="00826F71" w:rsidRDefault="0085056C" w:rsidP="00730139">
            <w:pPr>
              <w:pStyle w:val="IAPOQ1"/>
            </w:pPr>
            <w:r w:rsidRPr="00000153">
              <w:rPr>
                <w:b w:val="0"/>
                <w:color w:val="auto"/>
                <w:sz w:val="22"/>
              </w:rPr>
              <w:t xml:space="preserve">The setting of the credit limit </w:t>
            </w:r>
            <w:r w:rsidR="004130CB">
              <w:rPr>
                <w:b w:val="0"/>
                <w:color w:val="auto"/>
                <w:sz w:val="22"/>
              </w:rPr>
              <w:t>by</w:t>
            </w:r>
            <w:r w:rsidR="00045901">
              <w:rPr>
                <w:b w:val="0"/>
                <w:color w:val="auto"/>
                <w:sz w:val="22"/>
              </w:rPr>
              <w:t xml:space="preserve"> itself</w:t>
            </w:r>
            <w:r w:rsidRPr="00000153">
              <w:rPr>
                <w:b w:val="0"/>
                <w:color w:val="auto"/>
                <w:sz w:val="22"/>
              </w:rPr>
              <w:t xml:space="preserve"> will not lead to any direct costs to </w:t>
            </w:r>
            <w:r w:rsidR="00ED5CF1">
              <w:rPr>
                <w:b w:val="0"/>
                <w:color w:val="auto"/>
                <w:sz w:val="22"/>
              </w:rPr>
              <w:t>g</w:t>
            </w:r>
            <w:r w:rsidRPr="00000153">
              <w:rPr>
                <w:b w:val="0"/>
                <w:color w:val="auto"/>
                <w:sz w:val="22"/>
              </w:rPr>
              <w:t>overnment, business or consumers. If a</w:t>
            </w:r>
            <w:r w:rsidR="00AC3937">
              <w:rPr>
                <w:b w:val="0"/>
                <w:color w:val="auto"/>
                <w:sz w:val="22"/>
              </w:rPr>
              <w:t xml:space="preserve"> </w:t>
            </w:r>
            <w:r w:rsidRPr="00000153">
              <w:rPr>
                <w:b w:val="0"/>
                <w:color w:val="auto"/>
                <w:sz w:val="22"/>
              </w:rPr>
              <w:t xml:space="preserve">subsequent decision to purchase credits was made, it would result in a financial cost to the UK (see </w:t>
            </w:r>
            <w:r>
              <w:rPr>
                <w:b w:val="0"/>
                <w:color w:val="auto"/>
                <w:sz w:val="22"/>
              </w:rPr>
              <w:t xml:space="preserve">section 6 </w:t>
            </w:r>
            <w:r w:rsidRPr="00000153">
              <w:rPr>
                <w:b w:val="0"/>
                <w:color w:val="auto"/>
                <w:sz w:val="22"/>
              </w:rPr>
              <w:t>for illustrative scenario</w:t>
            </w:r>
            <w:r>
              <w:rPr>
                <w:b w:val="0"/>
                <w:color w:val="auto"/>
                <w:sz w:val="22"/>
              </w:rPr>
              <w:t>s</w:t>
            </w:r>
            <w:r w:rsidRPr="00000153">
              <w:rPr>
                <w:b w:val="0"/>
                <w:color w:val="auto"/>
                <w:sz w:val="22"/>
              </w:rPr>
              <w:t>).</w:t>
            </w:r>
          </w:p>
        </w:tc>
      </w:tr>
      <w:tr w:rsidR="0085056C" w:rsidRPr="00826F71" w14:paraId="52E6CFA5" w14:textId="77777777" w:rsidTr="000D4F90">
        <w:trPr>
          <w:trHeight w:hRule="exact" w:val="1496"/>
        </w:trPr>
        <w:tc>
          <w:tcPr>
            <w:tcW w:w="10362" w:type="dxa"/>
            <w:gridSpan w:val="6"/>
            <w:tcBorders>
              <w:top w:val="single" w:sz="12" w:space="0" w:color="auto"/>
              <w:bottom w:val="single" w:sz="12" w:space="0" w:color="auto"/>
            </w:tcBorders>
          </w:tcPr>
          <w:p w14:paraId="56E808C7" w14:textId="77777777" w:rsidR="0085056C" w:rsidRPr="007E190E" w:rsidRDefault="0085056C" w:rsidP="00730139">
            <w:pPr>
              <w:pStyle w:val="IAPOQ2"/>
              <w:rPr>
                <w:szCs w:val="22"/>
              </w:rPr>
            </w:pPr>
            <w:r w:rsidRPr="00544292">
              <w:t>Other</w:t>
            </w:r>
            <w:r w:rsidRPr="00826F71">
              <w:t xml:space="preserve"> key non-monetised costs</w:t>
            </w:r>
            <w:r w:rsidRPr="00544292">
              <w:t xml:space="preserve"> by ‘main affected groups’ </w:t>
            </w:r>
          </w:p>
          <w:p w14:paraId="1EA59E40" w14:textId="3D388DA4" w:rsidR="0085056C" w:rsidRPr="00ED5CF1" w:rsidRDefault="0085056C" w:rsidP="00C5128D">
            <w:pPr>
              <w:pStyle w:val="IAPOA3"/>
            </w:pPr>
            <w:r w:rsidRPr="00ED5CF1">
              <w:t xml:space="preserve">The scope for the </w:t>
            </w:r>
            <w:r w:rsidR="00ED5CF1">
              <w:t>g</w:t>
            </w:r>
            <w:r w:rsidRPr="00ED5CF1">
              <w:t>overnment to use credits to meet the carbon budget could lead investors to expect that</w:t>
            </w:r>
          </w:p>
          <w:p w14:paraId="52B4BC90" w14:textId="77777777" w:rsidR="0085056C" w:rsidRPr="00C5128D" w:rsidRDefault="0085056C" w:rsidP="00C5128D">
            <w:pPr>
              <w:pStyle w:val="IAPOA3"/>
              <w:rPr>
                <w:b/>
              </w:rPr>
            </w:pPr>
            <w:r w:rsidRPr="007F59E3">
              <w:t>policy would target a slower rate of domestic emissions reduction in the near-term. This could aff</w:t>
            </w:r>
            <w:r w:rsidRPr="008971BE">
              <w:t>ect</w:t>
            </w:r>
          </w:p>
          <w:p w14:paraId="7AB2CCCE" w14:textId="77777777" w:rsidR="0085056C" w:rsidRPr="00C5128D" w:rsidRDefault="0085056C" w:rsidP="00C5128D">
            <w:pPr>
              <w:pStyle w:val="IAPOA3"/>
              <w:rPr>
                <w:b/>
              </w:rPr>
            </w:pPr>
            <w:r w:rsidRPr="007F59E3">
              <w:t>investment decisions in low-carbon infrastructure and supply chains, although this impact is likely to be</w:t>
            </w:r>
          </w:p>
          <w:p w14:paraId="2DB0F105" w14:textId="29052502" w:rsidR="000D4F90" w:rsidRPr="0024223F" w:rsidRDefault="0085056C" w:rsidP="00C5128D">
            <w:pPr>
              <w:pStyle w:val="IAPOA3"/>
            </w:pPr>
            <w:r w:rsidRPr="008971BE">
              <w:t>minimal</w:t>
            </w:r>
            <w:r w:rsidR="000D4F90" w:rsidRPr="00BB2350">
              <w:t>.</w:t>
            </w:r>
          </w:p>
          <w:p w14:paraId="5B833075" w14:textId="7729E70A" w:rsidR="0085056C" w:rsidRPr="007E190E" w:rsidRDefault="0085056C" w:rsidP="00730139">
            <w:pPr>
              <w:pStyle w:val="IAPOA2"/>
              <w:rPr>
                <w:szCs w:val="22"/>
              </w:rPr>
            </w:pPr>
          </w:p>
        </w:tc>
      </w:tr>
      <w:tr w:rsidR="0085056C" w:rsidRPr="007E190E" w14:paraId="59A4C75F" w14:textId="77777777" w:rsidTr="00730139">
        <w:trPr>
          <w:trHeight w:hRule="exact" w:val="567"/>
        </w:trPr>
        <w:tc>
          <w:tcPr>
            <w:tcW w:w="2122" w:type="dxa"/>
            <w:tcBorders>
              <w:bottom w:val="single" w:sz="12" w:space="0" w:color="auto"/>
              <w:right w:val="single" w:sz="12" w:space="0" w:color="auto"/>
            </w:tcBorders>
            <w:shd w:val="clear" w:color="auto" w:fill="FFFFFF"/>
          </w:tcPr>
          <w:p w14:paraId="7BB8D04B" w14:textId="77777777" w:rsidR="0085056C" w:rsidRPr="007E190E" w:rsidRDefault="0085056C" w:rsidP="00730139">
            <w:pPr>
              <w:pStyle w:val="IATableLabel"/>
              <w:rPr>
                <w:sz w:val="24"/>
                <w:szCs w:val="24"/>
              </w:rPr>
            </w:pPr>
            <w:r w:rsidRPr="007E190E">
              <w:rPr>
                <w:sz w:val="24"/>
                <w:szCs w:val="24"/>
              </w:rPr>
              <w:t xml:space="preserve">BENEFITS </w:t>
            </w:r>
            <w:r>
              <w:rPr>
                <w:sz w:val="24"/>
                <w:szCs w:val="24"/>
              </w:rPr>
              <w:t>(</w:t>
            </w:r>
            <w:r w:rsidRPr="007E190E">
              <w:rPr>
                <w:sz w:val="24"/>
                <w:szCs w:val="24"/>
              </w:rPr>
              <w:t>£m)</w:t>
            </w:r>
          </w:p>
        </w:tc>
        <w:tc>
          <w:tcPr>
            <w:tcW w:w="2739" w:type="dxa"/>
            <w:gridSpan w:val="2"/>
            <w:tcBorders>
              <w:top w:val="single" w:sz="12" w:space="0" w:color="auto"/>
              <w:left w:val="single" w:sz="12" w:space="0" w:color="auto"/>
              <w:right w:val="single" w:sz="12" w:space="0" w:color="auto"/>
            </w:tcBorders>
          </w:tcPr>
          <w:p w14:paraId="7C1BC7E6" w14:textId="77777777" w:rsidR="0085056C" w:rsidRPr="00826F71" w:rsidRDefault="0085056C" w:rsidP="00730139">
            <w:pPr>
              <w:pStyle w:val="IATableLabel"/>
              <w:tabs>
                <w:tab w:val="right" w:pos="1797"/>
                <w:tab w:val="center" w:pos="2340"/>
              </w:tabs>
              <w:jc w:val="right"/>
            </w:pPr>
            <w:r w:rsidRPr="00826F71">
              <w:t xml:space="preserve">Total Transition </w:t>
            </w:r>
            <w:r>
              <w:br/>
            </w:r>
            <w:r>
              <w:tab/>
            </w:r>
            <w:r w:rsidRPr="007E190E">
              <w:rPr>
                <w:b w:val="0"/>
                <w:sz w:val="18"/>
                <w:szCs w:val="18"/>
              </w:rPr>
              <w:t>(Constant Price)</w:t>
            </w:r>
            <w:r>
              <w:tab/>
            </w:r>
            <w:r w:rsidRPr="007E190E">
              <w:rPr>
                <w:b w:val="0"/>
                <w:sz w:val="18"/>
                <w:szCs w:val="18"/>
              </w:rPr>
              <w:t>Yea</w:t>
            </w:r>
            <w:r w:rsidRPr="007E190E">
              <w:rPr>
                <w:b w:val="0"/>
                <w:bCs/>
                <w:sz w:val="18"/>
                <w:szCs w:val="18"/>
              </w:rPr>
              <w:t>r</w:t>
            </w:r>
            <w:r w:rsidRPr="007E190E">
              <w:rPr>
                <w:b w:val="0"/>
                <w:sz w:val="18"/>
                <w:szCs w:val="18"/>
              </w:rPr>
              <w:t>s</w:t>
            </w:r>
          </w:p>
          <w:p w14:paraId="50D0D018" w14:textId="77777777" w:rsidR="0085056C" w:rsidRPr="00826F71" w:rsidRDefault="0085056C" w:rsidP="00730139">
            <w:pPr>
              <w:pStyle w:val="IATableLabel"/>
              <w:jc w:val="right"/>
            </w:pPr>
            <w:r>
              <w:br/>
            </w:r>
          </w:p>
        </w:tc>
        <w:tc>
          <w:tcPr>
            <w:tcW w:w="2865" w:type="dxa"/>
            <w:tcBorders>
              <w:left w:val="single" w:sz="12" w:space="0" w:color="auto"/>
              <w:bottom w:val="single" w:sz="12" w:space="0" w:color="auto"/>
              <w:right w:val="single" w:sz="12" w:space="0" w:color="auto"/>
            </w:tcBorders>
          </w:tcPr>
          <w:p w14:paraId="75CC0733" w14:textId="77777777" w:rsidR="0085056C" w:rsidRPr="007E190E" w:rsidRDefault="0085056C" w:rsidP="00730139">
            <w:pPr>
              <w:pStyle w:val="IATableLabel"/>
              <w:jc w:val="right"/>
              <w:rPr>
                <w:rFonts w:cs="Arial"/>
                <w:bCs/>
              </w:rPr>
            </w:pPr>
            <w:r w:rsidRPr="00826F71">
              <w:t>Average Annual</w:t>
            </w:r>
            <w:r w:rsidRPr="000C031E">
              <w:t xml:space="preserve"> </w:t>
            </w:r>
            <w:r>
              <w:br/>
            </w:r>
            <w:r w:rsidRPr="007E190E">
              <w:rPr>
                <w:b w:val="0"/>
                <w:sz w:val="18"/>
                <w:szCs w:val="18"/>
              </w:rPr>
              <w:t xml:space="preserve">(excl. Transition) </w:t>
            </w:r>
            <w:r w:rsidRPr="007E190E">
              <w:rPr>
                <w:rFonts w:cs="Arial"/>
                <w:b w:val="0"/>
                <w:bCs/>
                <w:sz w:val="18"/>
                <w:szCs w:val="18"/>
              </w:rPr>
              <w:t>(Constant Price)</w:t>
            </w:r>
          </w:p>
        </w:tc>
        <w:tc>
          <w:tcPr>
            <w:tcW w:w="2636" w:type="dxa"/>
            <w:gridSpan w:val="2"/>
            <w:tcBorders>
              <w:top w:val="single" w:sz="12" w:space="0" w:color="auto"/>
              <w:left w:val="single" w:sz="12" w:space="0" w:color="auto"/>
              <w:bottom w:val="single" w:sz="12" w:space="0" w:color="auto"/>
            </w:tcBorders>
          </w:tcPr>
          <w:p w14:paraId="2F3D319B" w14:textId="77777777" w:rsidR="0085056C" w:rsidRPr="00826F71" w:rsidRDefault="0085056C" w:rsidP="00730139">
            <w:pPr>
              <w:pStyle w:val="IATableLabel"/>
              <w:jc w:val="right"/>
            </w:pPr>
            <w:r w:rsidRPr="00826F71">
              <w:t xml:space="preserve">Total </w:t>
            </w:r>
            <w:r>
              <w:t>Benefit</w:t>
            </w:r>
            <w:r w:rsidRPr="007E190E">
              <w:rPr>
                <w:b w:val="0"/>
                <w:sz w:val="18"/>
                <w:szCs w:val="18"/>
              </w:rPr>
              <w:t xml:space="preserve"> </w:t>
            </w:r>
            <w:r w:rsidRPr="007E190E">
              <w:rPr>
                <w:b w:val="0"/>
                <w:sz w:val="18"/>
                <w:szCs w:val="18"/>
              </w:rPr>
              <w:br/>
              <w:t>(Present Value)</w:t>
            </w:r>
          </w:p>
        </w:tc>
      </w:tr>
      <w:tr w:rsidR="0085056C" w:rsidRPr="007E190E" w14:paraId="40B7AFD3" w14:textId="77777777" w:rsidTr="00730139">
        <w:trPr>
          <w:trHeight w:hRule="exact" w:val="348"/>
        </w:trPr>
        <w:tc>
          <w:tcPr>
            <w:tcW w:w="2122" w:type="dxa"/>
            <w:tcBorders>
              <w:top w:val="single" w:sz="12" w:space="0" w:color="auto"/>
              <w:bottom w:val="single" w:sz="12" w:space="0" w:color="auto"/>
              <w:right w:val="single" w:sz="12" w:space="0" w:color="auto"/>
            </w:tcBorders>
            <w:vAlign w:val="center"/>
          </w:tcPr>
          <w:p w14:paraId="21816CF8" w14:textId="77777777" w:rsidR="0085056C" w:rsidRPr="00826F71" w:rsidRDefault="0085056C" w:rsidP="00730139">
            <w:pPr>
              <w:pStyle w:val="IATableLabel"/>
            </w:pPr>
            <w:r w:rsidRPr="00826F71">
              <w:t xml:space="preserve">Low </w:t>
            </w:r>
          </w:p>
        </w:tc>
        <w:tc>
          <w:tcPr>
            <w:tcW w:w="1949" w:type="dxa"/>
            <w:tcBorders>
              <w:top w:val="single" w:sz="12" w:space="0" w:color="auto"/>
              <w:left w:val="single" w:sz="12" w:space="0" w:color="auto"/>
              <w:bottom w:val="single" w:sz="12" w:space="0" w:color="auto"/>
              <w:right w:val="single" w:sz="12" w:space="0" w:color="auto"/>
            </w:tcBorders>
            <w:vAlign w:val="center"/>
          </w:tcPr>
          <w:p w14:paraId="7D3E1751" w14:textId="77777777" w:rsidR="0085056C" w:rsidRPr="007E190E" w:rsidRDefault="0085056C" w:rsidP="00730139">
            <w:pPr>
              <w:pStyle w:val="POTTBenLow"/>
              <w:rPr>
                <w:sz w:val="20"/>
              </w:rPr>
            </w:pPr>
            <w:r>
              <w:rPr>
                <w:sz w:val="20"/>
              </w:rPr>
              <w:fldChar w:fldCharType="begin">
                <w:ffData>
                  <w:name w:val=""/>
                  <w:enabled/>
                  <w:calcOnExit w:val="0"/>
                  <w:textInput>
                    <w:default w:val="£0"/>
                    <w:maxLength w:val="14"/>
                  </w:textInput>
                </w:ffData>
              </w:fldChar>
            </w:r>
            <w:r>
              <w:rPr>
                <w:sz w:val="20"/>
              </w:rPr>
              <w:instrText xml:space="preserve"> FORMTEXT </w:instrText>
            </w:r>
            <w:r>
              <w:rPr>
                <w:sz w:val="20"/>
              </w:rPr>
            </w:r>
            <w:r>
              <w:rPr>
                <w:sz w:val="20"/>
              </w:rPr>
              <w:fldChar w:fldCharType="separate"/>
            </w:r>
            <w:r>
              <w:rPr>
                <w:noProof/>
                <w:sz w:val="20"/>
              </w:rPr>
              <w:t>£0</w:t>
            </w:r>
            <w:r>
              <w:rPr>
                <w:sz w:val="20"/>
              </w:rPr>
              <w:fldChar w:fldCharType="end"/>
            </w:r>
          </w:p>
        </w:tc>
        <w:tc>
          <w:tcPr>
            <w:tcW w:w="790" w:type="dxa"/>
            <w:vMerge w:val="restart"/>
            <w:tcBorders>
              <w:top w:val="single" w:sz="12" w:space="0" w:color="auto"/>
              <w:left w:val="single" w:sz="12" w:space="0" w:color="auto"/>
              <w:right w:val="single" w:sz="12" w:space="0" w:color="auto"/>
            </w:tcBorders>
            <w:vAlign w:val="center"/>
          </w:tcPr>
          <w:p w14:paraId="52118B97" w14:textId="77777777" w:rsidR="0085056C" w:rsidRPr="007E190E" w:rsidRDefault="0085056C" w:rsidP="00730139">
            <w:pPr>
              <w:pStyle w:val="IATableText"/>
              <w:jc w:val="center"/>
              <w:rPr>
                <w:sz w:val="20"/>
              </w:rPr>
            </w:pPr>
            <w:r w:rsidRPr="007E190E">
              <w:rPr>
                <w:sz w:val="20"/>
              </w:rPr>
              <w:fldChar w:fldCharType="begin">
                <w:ffData>
                  <w:name w:val="Text48"/>
                  <w:enabled/>
                  <w:calcOnExit w:val="0"/>
                  <w:textInput>
                    <w:maxLength w:val="3"/>
                  </w:textInput>
                </w:ffData>
              </w:fldChar>
            </w:r>
            <w:r w:rsidRPr="007E190E">
              <w:rPr>
                <w:sz w:val="20"/>
              </w:rPr>
              <w:instrText xml:space="preserve"> FORMTEXT </w:instrText>
            </w:r>
            <w:r w:rsidRPr="007E190E">
              <w:rPr>
                <w:sz w:val="20"/>
              </w:rPr>
            </w:r>
            <w:r w:rsidRPr="007E190E">
              <w:rPr>
                <w:sz w:val="20"/>
              </w:rPr>
              <w:fldChar w:fldCharType="separate"/>
            </w:r>
            <w:r w:rsidRPr="007E190E">
              <w:rPr>
                <w:noProof/>
                <w:sz w:val="20"/>
              </w:rPr>
              <w:t> </w:t>
            </w:r>
            <w:r w:rsidRPr="007E190E">
              <w:rPr>
                <w:noProof/>
                <w:sz w:val="20"/>
              </w:rPr>
              <w:t> </w:t>
            </w:r>
            <w:r w:rsidRPr="007E190E">
              <w:rPr>
                <w:noProof/>
                <w:sz w:val="20"/>
              </w:rPr>
              <w:t> </w:t>
            </w:r>
            <w:r w:rsidRPr="007E190E">
              <w:rPr>
                <w:sz w:val="20"/>
              </w:rPr>
              <w:fldChar w:fldCharType="end"/>
            </w:r>
          </w:p>
        </w:tc>
        <w:tc>
          <w:tcPr>
            <w:tcW w:w="2865" w:type="dxa"/>
            <w:tcBorders>
              <w:top w:val="single" w:sz="12" w:space="0" w:color="auto"/>
              <w:left w:val="single" w:sz="12" w:space="0" w:color="auto"/>
              <w:bottom w:val="single" w:sz="12" w:space="0" w:color="auto"/>
              <w:right w:val="single" w:sz="12" w:space="0" w:color="auto"/>
            </w:tcBorders>
            <w:vAlign w:val="center"/>
          </w:tcPr>
          <w:p w14:paraId="062501CA" w14:textId="77777777" w:rsidR="0085056C" w:rsidRPr="007E190E" w:rsidRDefault="0085056C" w:rsidP="00730139">
            <w:pPr>
              <w:pStyle w:val="POAABenLow"/>
              <w:rPr>
                <w:sz w:val="20"/>
              </w:rPr>
            </w:pPr>
            <w:r>
              <w:rPr>
                <w:sz w:val="20"/>
              </w:rPr>
              <w:fldChar w:fldCharType="begin">
                <w:ffData>
                  <w:name w:val=""/>
                  <w:enabled/>
                  <w:calcOnExit w:val="0"/>
                  <w:textInput>
                    <w:default w:val="£0"/>
                    <w:maxLength w:val="14"/>
                  </w:textInput>
                </w:ffData>
              </w:fldChar>
            </w:r>
            <w:r>
              <w:rPr>
                <w:sz w:val="20"/>
              </w:rPr>
              <w:instrText xml:space="preserve"> FORMTEXT </w:instrText>
            </w:r>
            <w:r>
              <w:rPr>
                <w:sz w:val="20"/>
              </w:rPr>
            </w:r>
            <w:r>
              <w:rPr>
                <w:sz w:val="20"/>
              </w:rPr>
              <w:fldChar w:fldCharType="separate"/>
            </w:r>
            <w:r>
              <w:rPr>
                <w:noProof/>
                <w:sz w:val="20"/>
              </w:rPr>
              <w:t>£0</w:t>
            </w:r>
            <w:r>
              <w:rPr>
                <w:sz w:val="20"/>
              </w:rPr>
              <w:fldChar w:fldCharType="end"/>
            </w:r>
          </w:p>
        </w:tc>
        <w:tc>
          <w:tcPr>
            <w:tcW w:w="2636" w:type="dxa"/>
            <w:gridSpan w:val="2"/>
            <w:tcBorders>
              <w:top w:val="single" w:sz="12" w:space="0" w:color="auto"/>
              <w:left w:val="single" w:sz="12" w:space="0" w:color="auto"/>
              <w:bottom w:val="single" w:sz="12" w:space="0" w:color="auto"/>
            </w:tcBorders>
            <w:vAlign w:val="center"/>
          </w:tcPr>
          <w:p w14:paraId="54C2655E" w14:textId="77777777" w:rsidR="0085056C" w:rsidRPr="007E190E" w:rsidRDefault="0085056C" w:rsidP="00730139">
            <w:pPr>
              <w:pStyle w:val="POTBBenLow"/>
              <w:rPr>
                <w:sz w:val="20"/>
              </w:rPr>
            </w:pPr>
            <w:r>
              <w:rPr>
                <w:sz w:val="20"/>
              </w:rPr>
              <w:fldChar w:fldCharType="begin">
                <w:ffData>
                  <w:name w:val=""/>
                  <w:enabled/>
                  <w:calcOnExit w:val="0"/>
                  <w:textInput>
                    <w:default w:val="£0"/>
                    <w:maxLength w:val="14"/>
                  </w:textInput>
                </w:ffData>
              </w:fldChar>
            </w:r>
            <w:r>
              <w:rPr>
                <w:sz w:val="20"/>
              </w:rPr>
              <w:instrText xml:space="preserve"> FORMTEXT </w:instrText>
            </w:r>
            <w:r>
              <w:rPr>
                <w:sz w:val="20"/>
              </w:rPr>
            </w:r>
            <w:r>
              <w:rPr>
                <w:sz w:val="20"/>
              </w:rPr>
              <w:fldChar w:fldCharType="separate"/>
            </w:r>
            <w:r>
              <w:rPr>
                <w:noProof/>
                <w:sz w:val="20"/>
              </w:rPr>
              <w:t>£0</w:t>
            </w:r>
            <w:r>
              <w:rPr>
                <w:sz w:val="20"/>
              </w:rPr>
              <w:fldChar w:fldCharType="end"/>
            </w:r>
          </w:p>
        </w:tc>
      </w:tr>
      <w:tr w:rsidR="0085056C" w:rsidRPr="007E190E" w14:paraId="220CEF8A" w14:textId="77777777" w:rsidTr="00730139">
        <w:trPr>
          <w:trHeight w:hRule="exact" w:val="348"/>
        </w:trPr>
        <w:tc>
          <w:tcPr>
            <w:tcW w:w="2122" w:type="dxa"/>
            <w:tcBorders>
              <w:top w:val="single" w:sz="12" w:space="0" w:color="auto"/>
              <w:bottom w:val="single" w:sz="12" w:space="0" w:color="auto"/>
              <w:right w:val="single" w:sz="12" w:space="0" w:color="auto"/>
            </w:tcBorders>
            <w:vAlign w:val="center"/>
          </w:tcPr>
          <w:p w14:paraId="61E101F9" w14:textId="77777777" w:rsidR="0085056C" w:rsidRPr="00826F71" w:rsidRDefault="0085056C" w:rsidP="00730139">
            <w:pPr>
              <w:pStyle w:val="IATableLabel"/>
            </w:pPr>
            <w:r w:rsidRPr="00826F71">
              <w:t xml:space="preserve">High </w:t>
            </w:r>
          </w:p>
        </w:tc>
        <w:tc>
          <w:tcPr>
            <w:tcW w:w="1949" w:type="dxa"/>
            <w:tcBorders>
              <w:top w:val="single" w:sz="12" w:space="0" w:color="auto"/>
              <w:left w:val="single" w:sz="12" w:space="0" w:color="auto"/>
              <w:bottom w:val="single" w:sz="12" w:space="0" w:color="auto"/>
              <w:right w:val="single" w:sz="12" w:space="0" w:color="auto"/>
            </w:tcBorders>
            <w:vAlign w:val="center"/>
          </w:tcPr>
          <w:p w14:paraId="1015A2DF" w14:textId="77777777" w:rsidR="0085056C" w:rsidRPr="007E190E" w:rsidRDefault="0085056C" w:rsidP="00730139">
            <w:pPr>
              <w:pStyle w:val="POTTBenHigh"/>
              <w:rPr>
                <w:sz w:val="20"/>
              </w:rPr>
            </w:pPr>
            <w:r>
              <w:rPr>
                <w:sz w:val="20"/>
              </w:rPr>
              <w:fldChar w:fldCharType="begin">
                <w:ffData>
                  <w:name w:val=""/>
                  <w:enabled/>
                  <w:calcOnExit w:val="0"/>
                  <w:textInput>
                    <w:default w:val="£0"/>
                    <w:maxLength w:val="14"/>
                  </w:textInput>
                </w:ffData>
              </w:fldChar>
            </w:r>
            <w:r>
              <w:rPr>
                <w:sz w:val="20"/>
              </w:rPr>
              <w:instrText xml:space="preserve"> FORMTEXT </w:instrText>
            </w:r>
            <w:r>
              <w:rPr>
                <w:sz w:val="20"/>
              </w:rPr>
            </w:r>
            <w:r>
              <w:rPr>
                <w:sz w:val="20"/>
              </w:rPr>
              <w:fldChar w:fldCharType="separate"/>
            </w:r>
            <w:r>
              <w:rPr>
                <w:noProof/>
                <w:sz w:val="20"/>
              </w:rPr>
              <w:t>£0</w:t>
            </w:r>
            <w:r>
              <w:rPr>
                <w:sz w:val="20"/>
              </w:rPr>
              <w:fldChar w:fldCharType="end"/>
            </w:r>
          </w:p>
        </w:tc>
        <w:tc>
          <w:tcPr>
            <w:tcW w:w="790" w:type="dxa"/>
            <w:vMerge/>
            <w:tcBorders>
              <w:left w:val="single" w:sz="12" w:space="0" w:color="auto"/>
              <w:right w:val="single" w:sz="12" w:space="0" w:color="auto"/>
            </w:tcBorders>
            <w:shd w:val="clear" w:color="auto" w:fill="FFFFFF"/>
            <w:vAlign w:val="center"/>
          </w:tcPr>
          <w:p w14:paraId="291610B1" w14:textId="77777777" w:rsidR="0085056C" w:rsidRPr="007E190E" w:rsidRDefault="0085056C" w:rsidP="00730139">
            <w:pPr>
              <w:pStyle w:val="IATableText"/>
              <w:jc w:val="right"/>
              <w:rPr>
                <w:sz w:val="20"/>
              </w:rPr>
            </w:pPr>
          </w:p>
        </w:tc>
        <w:tc>
          <w:tcPr>
            <w:tcW w:w="2865" w:type="dxa"/>
            <w:tcBorders>
              <w:top w:val="single" w:sz="12" w:space="0" w:color="auto"/>
              <w:left w:val="single" w:sz="12" w:space="0" w:color="auto"/>
              <w:bottom w:val="single" w:sz="12" w:space="0" w:color="auto"/>
              <w:right w:val="single" w:sz="12" w:space="0" w:color="auto"/>
            </w:tcBorders>
            <w:vAlign w:val="center"/>
          </w:tcPr>
          <w:p w14:paraId="4E8B1B4F" w14:textId="77777777" w:rsidR="0085056C" w:rsidRPr="007E190E" w:rsidRDefault="0085056C" w:rsidP="00730139">
            <w:pPr>
              <w:pStyle w:val="POAABenHigh"/>
              <w:rPr>
                <w:sz w:val="20"/>
              </w:rPr>
            </w:pPr>
            <w:r>
              <w:rPr>
                <w:sz w:val="20"/>
              </w:rPr>
              <w:fldChar w:fldCharType="begin">
                <w:ffData>
                  <w:name w:val=""/>
                  <w:enabled/>
                  <w:calcOnExit w:val="0"/>
                  <w:textInput>
                    <w:default w:val="£0"/>
                    <w:maxLength w:val="14"/>
                  </w:textInput>
                </w:ffData>
              </w:fldChar>
            </w:r>
            <w:r>
              <w:rPr>
                <w:sz w:val="20"/>
              </w:rPr>
              <w:instrText xml:space="preserve"> FORMTEXT </w:instrText>
            </w:r>
            <w:r>
              <w:rPr>
                <w:sz w:val="20"/>
              </w:rPr>
            </w:r>
            <w:r>
              <w:rPr>
                <w:sz w:val="20"/>
              </w:rPr>
              <w:fldChar w:fldCharType="separate"/>
            </w:r>
            <w:r>
              <w:rPr>
                <w:noProof/>
                <w:sz w:val="20"/>
              </w:rPr>
              <w:t>£0</w:t>
            </w:r>
            <w:r>
              <w:rPr>
                <w:sz w:val="20"/>
              </w:rPr>
              <w:fldChar w:fldCharType="end"/>
            </w:r>
          </w:p>
        </w:tc>
        <w:tc>
          <w:tcPr>
            <w:tcW w:w="2636" w:type="dxa"/>
            <w:gridSpan w:val="2"/>
            <w:tcBorders>
              <w:top w:val="single" w:sz="12" w:space="0" w:color="auto"/>
              <w:left w:val="single" w:sz="12" w:space="0" w:color="auto"/>
              <w:bottom w:val="single" w:sz="12" w:space="0" w:color="auto"/>
            </w:tcBorders>
            <w:vAlign w:val="center"/>
          </w:tcPr>
          <w:p w14:paraId="49A38AB4" w14:textId="77777777" w:rsidR="0085056C" w:rsidRPr="007E190E" w:rsidRDefault="0085056C" w:rsidP="00730139">
            <w:pPr>
              <w:pStyle w:val="POTBBenHigh"/>
              <w:rPr>
                <w:sz w:val="20"/>
              </w:rPr>
            </w:pPr>
            <w:r>
              <w:rPr>
                <w:sz w:val="20"/>
              </w:rPr>
              <w:fldChar w:fldCharType="begin">
                <w:ffData>
                  <w:name w:val=""/>
                  <w:enabled/>
                  <w:calcOnExit w:val="0"/>
                  <w:textInput>
                    <w:default w:val="£0"/>
                    <w:maxLength w:val="14"/>
                  </w:textInput>
                </w:ffData>
              </w:fldChar>
            </w:r>
            <w:r>
              <w:rPr>
                <w:sz w:val="20"/>
              </w:rPr>
              <w:instrText xml:space="preserve"> FORMTEXT </w:instrText>
            </w:r>
            <w:r>
              <w:rPr>
                <w:sz w:val="20"/>
              </w:rPr>
            </w:r>
            <w:r>
              <w:rPr>
                <w:sz w:val="20"/>
              </w:rPr>
              <w:fldChar w:fldCharType="separate"/>
            </w:r>
            <w:r>
              <w:rPr>
                <w:noProof/>
                <w:sz w:val="20"/>
              </w:rPr>
              <w:t>£0</w:t>
            </w:r>
            <w:r>
              <w:rPr>
                <w:sz w:val="20"/>
              </w:rPr>
              <w:fldChar w:fldCharType="end"/>
            </w:r>
          </w:p>
        </w:tc>
      </w:tr>
      <w:tr w:rsidR="0085056C" w:rsidRPr="007E190E" w14:paraId="6C8BE9D4" w14:textId="77777777" w:rsidTr="00730139">
        <w:trPr>
          <w:trHeight w:hRule="exact" w:val="348"/>
        </w:trPr>
        <w:tc>
          <w:tcPr>
            <w:tcW w:w="2122" w:type="dxa"/>
            <w:tcBorders>
              <w:top w:val="single" w:sz="12" w:space="0" w:color="auto"/>
              <w:bottom w:val="single" w:sz="12" w:space="0" w:color="auto"/>
              <w:right w:val="single" w:sz="12" w:space="0" w:color="auto"/>
            </w:tcBorders>
            <w:shd w:val="clear" w:color="auto" w:fill="FFFFFF"/>
            <w:vAlign w:val="center"/>
          </w:tcPr>
          <w:p w14:paraId="654E33EF" w14:textId="77777777" w:rsidR="0085056C" w:rsidRPr="00826F71" w:rsidRDefault="0085056C" w:rsidP="00730139">
            <w:pPr>
              <w:pStyle w:val="IATableLabel"/>
            </w:pPr>
            <w:r w:rsidRPr="00826F71">
              <w:t xml:space="preserve">Best </w:t>
            </w:r>
            <w:r>
              <w:t>E</w:t>
            </w:r>
            <w:r w:rsidRPr="00826F71">
              <w:t>stimate</w:t>
            </w:r>
          </w:p>
          <w:p w14:paraId="042B3783" w14:textId="77777777" w:rsidR="0085056C" w:rsidRPr="007E190E" w:rsidRDefault="0085056C" w:rsidP="00730139">
            <w:pPr>
              <w:pStyle w:val="IATableNotes"/>
              <w:spacing w:beforeLines="40" w:before="96"/>
              <w:ind w:left="0" w:right="-22"/>
              <w:jc w:val="center"/>
              <w:rPr>
                <w:rFonts w:cs="Arial"/>
                <w:b/>
                <w:sz w:val="20"/>
              </w:rPr>
            </w:pPr>
          </w:p>
        </w:tc>
        <w:tc>
          <w:tcPr>
            <w:tcW w:w="1949" w:type="dxa"/>
            <w:tcBorders>
              <w:top w:val="single" w:sz="12" w:space="0" w:color="auto"/>
              <w:left w:val="single" w:sz="12" w:space="0" w:color="auto"/>
              <w:bottom w:val="single" w:sz="12" w:space="0" w:color="auto"/>
              <w:right w:val="single" w:sz="12" w:space="0" w:color="auto"/>
            </w:tcBorders>
            <w:shd w:val="clear" w:color="auto" w:fill="FFFFFF"/>
            <w:vAlign w:val="center"/>
          </w:tcPr>
          <w:p w14:paraId="08FD4E59" w14:textId="77777777" w:rsidR="0085056C" w:rsidRPr="007E190E" w:rsidRDefault="0085056C" w:rsidP="00730139">
            <w:pPr>
              <w:pStyle w:val="POTTBenBest"/>
              <w:rPr>
                <w:sz w:val="20"/>
              </w:rPr>
            </w:pPr>
            <w:r>
              <w:rPr>
                <w:sz w:val="20"/>
              </w:rPr>
              <w:fldChar w:fldCharType="begin">
                <w:ffData>
                  <w:name w:val=""/>
                  <w:enabled/>
                  <w:calcOnExit w:val="0"/>
                  <w:textInput>
                    <w:default w:val="£0"/>
                    <w:maxLength w:val="14"/>
                  </w:textInput>
                </w:ffData>
              </w:fldChar>
            </w:r>
            <w:r>
              <w:rPr>
                <w:sz w:val="20"/>
              </w:rPr>
              <w:instrText xml:space="preserve"> FORMTEXT </w:instrText>
            </w:r>
            <w:r>
              <w:rPr>
                <w:sz w:val="20"/>
              </w:rPr>
            </w:r>
            <w:r>
              <w:rPr>
                <w:sz w:val="20"/>
              </w:rPr>
              <w:fldChar w:fldCharType="separate"/>
            </w:r>
            <w:r>
              <w:rPr>
                <w:noProof/>
                <w:sz w:val="20"/>
              </w:rPr>
              <w:t>£0</w:t>
            </w:r>
            <w:r>
              <w:rPr>
                <w:sz w:val="20"/>
              </w:rPr>
              <w:fldChar w:fldCharType="end"/>
            </w:r>
          </w:p>
        </w:tc>
        <w:tc>
          <w:tcPr>
            <w:tcW w:w="790" w:type="dxa"/>
            <w:vMerge/>
            <w:tcBorders>
              <w:left w:val="single" w:sz="12" w:space="0" w:color="auto"/>
              <w:bottom w:val="single" w:sz="12" w:space="0" w:color="auto"/>
              <w:right w:val="single" w:sz="12" w:space="0" w:color="auto"/>
            </w:tcBorders>
            <w:shd w:val="clear" w:color="auto" w:fill="FFFFFF"/>
            <w:vAlign w:val="center"/>
          </w:tcPr>
          <w:p w14:paraId="78B350D2" w14:textId="77777777" w:rsidR="0085056C" w:rsidRPr="007E190E" w:rsidRDefault="0085056C" w:rsidP="00730139">
            <w:pPr>
              <w:pStyle w:val="IATableText"/>
              <w:jc w:val="right"/>
              <w:rPr>
                <w:sz w:val="20"/>
              </w:rPr>
            </w:pPr>
          </w:p>
        </w:tc>
        <w:tc>
          <w:tcPr>
            <w:tcW w:w="2865" w:type="dxa"/>
            <w:tcBorders>
              <w:top w:val="single" w:sz="12" w:space="0" w:color="auto"/>
              <w:left w:val="single" w:sz="12" w:space="0" w:color="auto"/>
              <w:bottom w:val="single" w:sz="12" w:space="0" w:color="auto"/>
              <w:right w:val="single" w:sz="12" w:space="0" w:color="auto"/>
            </w:tcBorders>
            <w:shd w:val="clear" w:color="auto" w:fill="FFFFFF"/>
            <w:vAlign w:val="center"/>
          </w:tcPr>
          <w:p w14:paraId="123073BD" w14:textId="77777777" w:rsidR="0085056C" w:rsidRPr="007E190E" w:rsidRDefault="0085056C" w:rsidP="00730139">
            <w:pPr>
              <w:pStyle w:val="POAABenBest"/>
              <w:rPr>
                <w:sz w:val="20"/>
              </w:rPr>
            </w:pPr>
            <w:r>
              <w:rPr>
                <w:sz w:val="20"/>
              </w:rPr>
              <w:fldChar w:fldCharType="begin">
                <w:ffData>
                  <w:name w:val=""/>
                  <w:enabled/>
                  <w:calcOnExit w:val="0"/>
                  <w:textInput>
                    <w:default w:val="£0"/>
                    <w:maxLength w:val="14"/>
                  </w:textInput>
                </w:ffData>
              </w:fldChar>
            </w:r>
            <w:r>
              <w:rPr>
                <w:sz w:val="20"/>
              </w:rPr>
              <w:instrText xml:space="preserve"> FORMTEXT </w:instrText>
            </w:r>
            <w:r>
              <w:rPr>
                <w:sz w:val="20"/>
              </w:rPr>
            </w:r>
            <w:r>
              <w:rPr>
                <w:sz w:val="20"/>
              </w:rPr>
              <w:fldChar w:fldCharType="separate"/>
            </w:r>
            <w:r>
              <w:rPr>
                <w:noProof/>
                <w:sz w:val="20"/>
              </w:rPr>
              <w:t>£0</w:t>
            </w:r>
            <w:r>
              <w:rPr>
                <w:sz w:val="20"/>
              </w:rPr>
              <w:fldChar w:fldCharType="end"/>
            </w:r>
          </w:p>
        </w:tc>
        <w:tc>
          <w:tcPr>
            <w:tcW w:w="2636" w:type="dxa"/>
            <w:gridSpan w:val="2"/>
            <w:tcBorders>
              <w:top w:val="single" w:sz="12" w:space="0" w:color="auto"/>
              <w:left w:val="single" w:sz="12" w:space="0" w:color="auto"/>
              <w:bottom w:val="single" w:sz="12" w:space="0" w:color="auto"/>
            </w:tcBorders>
            <w:shd w:val="clear" w:color="auto" w:fill="FFFFFF"/>
            <w:vAlign w:val="center"/>
          </w:tcPr>
          <w:p w14:paraId="67D4DF6B" w14:textId="77777777" w:rsidR="0085056C" w:rsidRPr="007E190E" w:rsidRDefault="0085056C" w:rsidP="00730139">
            <w:pPr>
              <w:pStyle w:val="POTBBenBest"/>
              <w:rPr>
                <w:sz w:val="20"/>
              </w:rPr>
            </w:pPr>
            <w:r>
              <w:rPr>
                <w:sz w:val="20"/>
              </w:rPr>
              <w:fldChar w:fldCharType="begin">
                <w:ffData>
                  <w:name w:val=""/>
                  <w:enabled/>
                  <w:calcOnExit w:val="0"/>
                  <w:textInput>
                    <w:default w:val="£0"/>
                    <w:maxLength w:val="14"/>
                  </w:textInput>
                </w:ffData>
              </w:fldChar>
            </w:r>
            <w:r>
              <w:rPr>
                <w:sz w:val="20"/>
              </w:rPr>
              <w:instrText xml:space="preserve"> FORMTEXT </w:instrText>
            </w:r>
            <w:r>
              <w:rPr>
                <w:sz w:val="20"/>
              </w:rPr>
            </w:r>
            <w:r>
              <w:rPr>
                <w:sz w:val="20"/>
              </w:rPr>
              <w:fldChar w:fldCharType="separate"/>
            </w:r>
            <w:r>
              <w:rPr>
                <w:noProof/>
                <w:sz w:val="20"/>
              </w:rPr>
              <w:t>£0</w:t>
            </w:r>
            <w:r>
              <w:rPr>
                <w:sz w:val="20"/>
              </w:rPr>
              <w:fldChar w:fldCharType="end"/>
            </w:r>
          </w:p>
        </w:tc>
      </w:tr>
      <w:tr w:rsidR="0085056C" w:rsidRPr="00826F71" w14:paraId="0089F68F" w14:textId="77777777" w:rsidTr="00730139">
        <w:trPr>
          <w:trHeight w:hRule="exact" w:val="1302"/>
        </w:trPr>
        <w:tc>
          <w:tcPr>
            <w:tcW w:w="10362" w:type="dxa"/>
            <w:gridSpan w:val="6"/>
            <w:tcBorders>
              <w:bottom w:val="single" w:sz="12" w:space="0" w:color="auto"/>
            </w:tcBorders>
          </w:tcPr>
          <w:p w14:paraId="4E9661AD" w14:textId="77777777" w:rsidR="0085056C" w:rsidRPr="007E190E" w:rsidRDefault="0085056C" w:rsidP="00730139">
            <w:pPr>
              <w:pStyle w:val="IPPOQ3"/>
              <w:rPr>
                <w:szCs w:val="22"/>
              </w:rPr>
            </w:pPr>
            <w:r w:rsidRPr="00544292">
              <w:t xml:space="preserve">Description and scale of </w:t>
            </w:r>
            <w:r w:rsidRPr="00826F71">
              <w:t xml:space="preserve">key monetised </w:t>
            </w:r>
            <w:r>
              <w:t>benefits</w:t>
            </w:r>
            <w:r w:rsidRPr="00544292">
              <w:t xml:space="preserve"> by ‘main affected groups’ </w:t>
            </w:r>
          </w:p>
          <w:p w14:paraId="7A2E06D5" w14:textId="3D9E9ABB" w:rsidR="0085056C" w:rsidRDefault="0085056C" w:rsidP="00730139">
            <w:pPr>
              <w:pStyle w:val="IAPOA3"/>
            </w:pPr>
            <w:r>
              <w:t xml:space="preserve">The setting of the credit limit will not itself lead to any benefits to </w:t>
            </w:r>
            <w:r w:rsidR="00ED5CF1">
              <w:t>g</w:t>
            </w:r>
            <w:r>
              <w:t>overnment, business or consumers as it</w:t>
            </w:r>
          </w:p>
          <w:p w14:paraId="52C9032D" w14:textId="08A2BCB9" w:rsidR="0085056C" w:rsidRDefault="0085056C" w:rsidP="00730139">
            <w:pPr>
              <w:pStyle w:val="IAPOA3"/>
            </w:pPr>
            <w:r>
              <w:t xml:space="preserve">does not commit the </w:t>
            </w:r>
            <w:r w:rsidR="00ED5CF1">
              <w:t>g</w:t>
            </w:r>
            <w:r>
              <w:t>overnment to purchasing any such credits. Were credits to be purchased, there</w:t>
            </w:r>
          </w:p>
          <w:p w14:paraId="048BC179" w14:textId="77777777" w:rsidR="0085056C" w:rsidRPr="00826F71" w:rsidRDefault="0085056C" w:rsidP="00730139">
            <w:pPr>
              <w:pStyle w:val="IAPOA3"/>
            </w:pPr>
            <w:r>
              <w:t>could be an avoided cost of undertaking domestic emissions reductions</w:t>
            </w:r>
          </w:p>
        </w:tc>
      </w:tr>
      <w:tr w:rsidR="0085056C" w:rsidRPr="00826F71" w14:paraId="18A90310" w14:textId="77777777" w:rsidTr="00730139">
        <w:trPr>
          <w:trHeight w:hRule="exact" w:val="2261"/>
        </w:trPr>
        <w:tc>
          <w:tcPr>
            <w:tcW w:w="10362" w:type="dxa"/>
            <w:gridSpan w:val="6"/>
            <w:tcBorders>
              <w:top w:val="single" w:sz="12" w:space="0" w:color="auto"/>
            </w:tcBorders>
          </w:tcPr>
          <w:p w14:paraId="47C476E2" w14:textId="77777777" w:rsidR="0085056C" w:rsidRPr="007E190E" w:rsidRDefault="0085056C" w:rsidP="00730139">
            <w:pPr>
              <w:pStyle w:val="IAPOQ4"/>
              <w:rPr>
                <w:szCs w:val="22"/>
              </w:rPr>
            </w:pPr>
            <w:r w:rsidRPr="00544292">
              <w:t>Other</w:t>
            </w:r>
            <w:r w:rsidRPr="00826F71">
              <w:t xml:space="preserve"> key non-monetised </w:t>
            </w:r>
            <w:r>
              <w:t>benefits</w:t>
            </w:r>
            <w:r w:rsidRPr="00544292">
              <w:t xml:space="preserve"> by ‘main affected groups’ </w:t>
            </w:r>
          </w:p>
          <w:p w14:paraId="57119903" w14:textId="2BF56D1B" w:rsidR="0085056C" w:rsidRDefault="0085056C" w:rsidP="00730139">
            <w:pPr>
              <w:pStyle w:val="IAPOA4"/>
            </w:pPr>
            <w:r>
              <w:t xml:space="preserve">Setting a positive limit on the use of credits would provide the UK greater flexibility to meet the </w:t>
            </w:r>
            <w:r w:rsidR="00DE3D5C">
              <w:t xml:space="preserve">fourth </w:t>
            </w:r>
            <w:r>
              <w:t>carbon</w:t>
            </w:r>
          </w:p>
          <w:p w14:paraId="5927F662" w14:textId="77777777" w:rsidR="0085056C" w:rsidRDefault="0085056C" w:rsidP="00730139">
            <w:pPr>
              <w:pStyle w:val="IAPOA4"/>
            </w:pPr>
            <w:r>
              <w:t>budget. Credits could manage the uncertainty in emissions projections and account for uncertain historic</w:t>
            </w:r>
          </w:p>
          <w:p w14:paraId="6D23F5D3" w14:textId="77777777" w:rsidR="0085056C" w:rsidRDefault="0085056C" w:rsidP="00730139">
            <w:pPr>
              <w:pStyle w:val="IAPOA4"/>
            </w:pPr>
            <w:r>
              <w:t>and future emissions. This could also increase long-term investor confidence by making the overall climate</w:t>
            </w:r>
          </w:p>
          <w:p w14:paraId="179A92E5" w14:textId="77777777" w:rsidR="0085056C" w:rsidRDefault="0085056C" w:rsidP="00730139">
            <w:pPr>
              <w:pStyle w:val="IAPOA4"/>
            </w:pPr>
            <w:r>
              <w:t>policy framework more resilient to unexpected changes in future emissions. A positive limit on the use of</w:t>
            </w:r>
          </w:p>
          <w:p w14:paraId="20021CC2" w14:textId="662EAEF1" w:rsidR="0085056C" w:rsidRDefault="0085056C" w:rsidP="00730139">
            <w:pPr>
              <w:pStyle w:val="IAPOA4"/>
            </w:pPr>
            <w:r>
              <w:t xml:space="preserve">credits could signal the </w:t>
            </w:r>
            <w:r w:rsidR="00ED5CF1">
              <w:t>g</w:t>
            </w:r>
            <w:r>
              <w:t>overnment’s continued support of global carbon markets. If credits were</w:t>
            </w:r>
          </w:p>
          <w:p w14:paraId="0C15EF7C" w14:textId="77777777" w:rsidR="0085056C" w:rsidRDefault="0085056C" w:rsidP="00730139">
            <w:pPr>
              <w:pStyle w:val="IAPOA4"/>
            </w:pPr>
            <w:r>
              <w:t>purchased, this would have a benefit of driving increased financial flows to low-carbon development projects</w:t>
            </w:r>
          </w:p>
          <w:p w14:paraId="40911395" w14:textId="3BF398D3" w:rsidR="0085056C" w:rsidRPr="00826F71" w:rsidRDefault="0085056C" w:rsidP="00730139">
            <w:pPr>
              <w:pStyle w:val="IAPOA4"/>
            </w:pPr>
            <w:r>
              <w:t xml:space="preserve">that deliver cost-effective mitigation </w:t>
            </w:r>
            <w:r w:rsidR="00821ACC">
              <w:t xml:space="preserve">and </w:t>
            </w:r>
            <w:r w:rsidR="004130CB">
              <w:t xml:space="preserve">also </w:t>
            </w:r>
            <w:r w:rsidR="00821ACC">
              <w:t xml:space="preserve">non-carbon benefits </w:t>
            </w:r>
            <w:r>
              <w:t>overseas.</w:t>
            </w:r>
          </w:p>
        </w:tc>
      </w:tr>
      <w:tr w:rsidR="0085056C" w:rsidRPr="00826F71" w14:paraId="74A523F9" w14:textId="77777777" w:rsidTr="00730139">
        <w:trPr>
          <w:trHeight w:hRule="exact" w:val="346"/>
        </w:trPr>
        <w:tc>
          <w:tcPr>
            <w:tcW w:w="9502" w:type="dxa"/>
            <w:gridSpan w:val="5"/>
            <w:tcBorders>
              <w:top w:val="single" w:sz="12" w:space="0" w:color="auto"/>
              <w:bottom w:val="single" w:sz="12" w:space="0" w:color="auto"/>
              <w:right w:val="single" w:sz="12" w:space="0" w:color="auto"/>
            </w:tcBorders>
          </w:tcPr>
          <w:p w14:paraId="26E73EAD" w14:textId="77777777" w:rsidR="0085056C" w:rsidRDefault="0085056C" w:rsidP="00730139">
            <w:pPr>
              <w:pStyle w:val="IATableLabel"/>
              <w:tabs>
                <w:tab w:val="left" w:pos="7655"/>
              </w:tabs>
            </w:pPr>
            <w:r w:rsidRPr="00F1653E">
              <w:rPr>
                <w:rStyle w:val="IAPOQ5Char"/>
                <w:b/>
              </w:rPr>
              <w:t>Key assumptions/sensitivities/risks</w:t>
            </w:r>
            <w:r>
              <w:tab/>
              <w:t>Discount rate (%)</w:t>
            </w:r>
          </w:p>
          <w:p w14:paraId="105C3FBA" w14:textId="77777777" w:rsidR="0085056C" w:rsidRPr="00455895" w:rsidRDefault="0085056C" w:rsidP="00730139">
            <w:pPr>
              <w:pStyle w:val="IATableLabel"/>
            </w:pPr>
          </w:p>
        </w:tc>
        <w:tc>
          <w:tcPr>
            <w:tcW w:w="860" w:type="dxa"/>
            <w:tcBorders>
              <w:top w:val="single" w:sz="12" w:space="0" w:color="auto"/>
              <w:left w:val="single" w:sz="12" w:space="0" w:color="auto"/>
              <w:bottom w:val="single" w:sz="12" w:space="0" w:color="auto"/>
            </w:tcBorders>
          </w:tcPr>
          <w:p w14:paraId="3E0583FC" w14:textId="77777777" w:rsidR="0085056C" w:rsidRPr="007E6CF8" w:rsidRDefault="0085056C" w:rsidP="00730139">
            <w:pPr>
              <w:pStyle w:val="IAPODisRate"/>
            </w:pPr>
            <w:r>
              <w:fldChar w:fldCharType="begin">
                <w:ffData>
                  <w:name w:val=""/>
                  <w:enabled/>
                  <w:calcOnExit w:val="0"/>
                  <w:textInput>
                    <w:default w:val="3.5%"/>
                    <w:maxLength w:val="5"/>
                  </w:textInput>
                </w:ffData>
              </w:fldChar>
            </w:r>
            <w:r>
              <w:instrText xml:space="preserve"> FORMTEXT </w:instrText>
            </w:r>
            <w:r>
              <w:fldChar w:fldCharType="separate"/>
            </w:r>
            <w:r>
              <w:rPr>
                <w:noProof/>
              </w:rPr>
              <w:t>3.5%</w:t>
            </w:r>
            <w:r>
              <w:fldChar w:fldCharType="end"/>
            </w:r>
          </w:p>
        </w:tc>
      </w:tr>
      <w:tr w:rsidR="0085056C" w:rsidRPr="007E190E" w14:paraId="25215BA9" w14:textId="77777777" w:rsidTr="00730139">
        <w:trPr>
          <w:trHeight w:hRule="exact" w:val="1375"/>
        </w:trPr>
        <w:tc>
          <w:tcPr>
            <w:tcW w:w="10362" w:type="dxa"/>
            <w:gridSpan w:val="6"/>
            <w:tcBorders>
              <w:top w:val="nil"/>
              <w:bottom w:val="single" w:sz="12" w:space="0" w:color="auto"/>
            </w:tcBorders>
          </w:tcPr>
          <w:p w14:paraId="6D27A63D" w14:textId="68BA9AAE" w:rsidR="0085056C" w:rsidRPr="00544292" w:rsidRDefault="002F38B7" w:rsidP="00730139">
            <w:pPr>
              <w:pStyle w:val="IAPOA5"/>
            </w:pPr>
            <w:r>
              <w:t>Based on central projections the fourth carbon budget is likely to be achieved through planned and known government policy</w:t>
            </w:r>
            <w:r w:rsidR="0061780E">
              <w:t>. However, it’s possible that a substantial change to the methodology underpinning the emissions inventory over the period 2023 to 2027, combined with unexpectedly high emissions relative to current projections, could still lead to emissions being higher than the level of the fourth carbon budget. The cost and benefits of this option in this hypothetical scenario are presented in section 6.</w:t>
            </w:r>
          </w:p>
        </w:tc>
      </w:tr>
    </w:tbl>
    <w:p w14:paraId="0BC632A5" w14:textId="77777777" w:rsidR="0085056C" w:rsidRDefault="0085056C" w:rsidP="0085056C">
      <w:pPr>
        <w:pStyle w:val="IASpacer"/>
      </w:pPr>
    </w:p>
    <w:p w14:paraId="4D91AC06" w14:textId="77777777" w:rsidR="0085056C" w:rsidRDefault="0085056C" w:rsidP="0085056C">
      <w:pPr>
        <w:pStyle w:val="IAHeadLabel"/>
        <w:spacing w:before="50"/>
      </w:pPr>
    </w:p>
    <w:p w14:paraId="688131FA" w14:textId="4F0DF6A4" w:rsidR="0085056C" w:rsidRDefault="0085056C" w:rsidP="0085056C">
      <w:pPr>
        <w:pStyle w:val="IAHeadLabel"/>
        <w:spacing w:before="50"/>
      </w:pPr>
      <w:r>
        <w:t xml:space="preserve">BUSINESS ASSESSMENT (Option </w:t>
      </w:r>
      <w:r>
        <w:rPr>
          <w:noProof/>
        </w:rPr>
        <w:fldChar w:fldCharType="begin"/>
      </w:r>
      <w:r>
        <w:rPr>
          <w:noProof/>
        </w:rPr>
        <w:instrText xml:space="preserve"> SEQ BA </w:instrText>
      </w:r>
      <w:r>
        <w:rPr>
          <w:noProof/>
        </w:rPr>
        <w:fldChar w:fldCharType="separate"/>
      </w:r>
      <w:r w:rsidR="00085D64">
        <w:rPr>
          <w:noProof/>
        </w:rPr>
        <w:t>3</w:t>
      </w:r>
      <w:r>
        <w:rPr>
          <w:noProof/>
        </w:rPr>
        <w:fldChar w:fldCharType="end"/>
      </w:r>
      <w:r>
        <w:t>)</w:t>
      </w:r>
    </w:p>
    <w:tbl>
      <w:tblPr>
        <w:tblW w:w="5067" w:type="pct"/>
        <w:tblInd w:w="-137"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1E0" w:firstRow="1" w:lastRow="1" w:firstColumn="1" w:lastColumn="1" w:noHBand="0" w:noVBand="0"/>
      </w:tblPr>
      <w:tblGrid>
        <w:gridCol w:w="1977"/>
        <w:gridCol w:w="1836"/>
        <w:gridCol w:w="1694"/>
        <w:gridCol w:w="4804"/>
      </w:tblGrid>
      <w:tr w:rsidR="0085056C" w:rsidRPr="000E02BE" w14:paraId="51C45487" w14:textId="77777777" w:rsidTr="00730139">
        <w:trPr>
          <w:trHeight w:hRule="exact" w:val="384"/>
        </w:trPr>
        <w:tc>
          <w:tcPr>
            <w:tcW w:w="5529" w:type="dxa"/>
            <w:gridSpan w:val="3"/>
            <w:tcBorders>
              <w:top w:val="single" w:sz="12" w:space="0" w:color="auto"/>
              <w:left w:val="single" w:sz="12" w:space="0" w:color="auto"/>
              <w:bottom w:val="nil"/>
              <w:right w:val="single" w:sz="12" w:space="0" w:color="auto"/>
            </w:tcBorders>
          </w:tcPr>
          <w:p w14:paraId="3F672ED1" w14:textId="77777777" w:rsidR="0085056C" w:rsidRPr="000E02BE" w:rsidRDefault="0085056C" w:rsidP="00730139">
            <w:pPr>
              <w:pStyle w:val="IATableLabel"/>
            </w:pPr>
            <w:r w:rsidRPr="000E02BE">
              <w:t xml:space="preserve">Direct impact on </w:t>
            </w:r>
            <w:r>
              <w:t>business (Equivalent Annual) £m</w:t>
            </w:r>
            <w:r w:rsidRPr="000E02BE">
              <w:t xml:space="preserve">: </w:t>
            </w:r>
          </w:p>
        </w:tc>
        <w:tc>
          <w:tcPr>
            <w:tcW w:w="4823" w:type="dxa"/>
            <w:vMerge w:val="restart"/>
            <w:tcBorders>
              <w:top w:val="single" w:sz="12" w:space="0" w:color="auto"/>
              <w:left w:val="single" w:sz="12" w:space="0" w:color="auto"/>
              <w:right w:val="single" w:sz="12" w:space="0" w:color="auto"/>
            </w:tcBorders>
          </w:tcPr>
          <w:p w14:paraId="747BF073" w14:textId="77777777" w:rsidR="0085056C" w:rsidRPr="000E02BE" w:rsidRDefault="0085056C" w:rsidP="00730139">
            <w:pPr>
              <w:pStyle w:val="IATableLabel"/>
            </w:pPr>
            <w:r>
              <w:t>Score for Business Impact Target (qualifying provisions only) £m:</w:t>
            </w:r>
          </w:p>
        </w:tc>
      </w:tr>
      <w:tr w:rsidR="0085056C" w:rsidRPr="00E75380" w14:paraId="53E0F554" w14:textId="77777777" w:rsidTr="00730139">
        <w:trPr>
          <w:trHeight w:hRule="exact" w:val="340"/>
        </w:trPr>
        <w:tc>
          <w:tcPr>
            <w:tcW w:w="1985" w:type="dxa"/>
            <w:vMerge w:val="restart"/>
            <w:tcBorders>
              <w:top w:val="single" w:sz="12" w:space="0" w:color="auto"/>
              <w:left w:val="single" w:sz="12" w:space="0" w:color="auto"/>
              <w:right w:val="single" w:sz="12" w:space="0" w:color="auto"/>
            </w:tcBorders>
            <w:shd w:val="clear" w:color="auto" w:fill="FFFFFF"/>
          </w:tcPr>
          <w:p w14:paraId="73EB967B" w14:textId="77777777" w:rsidR="0085056C" w:rsidRPr="00F63895" w:rsidRDefault="0085056C" w:rsidP="00730139">
            <w:pPr>
              <w:pStyle w:val="IATableLabel"/>
            </w:pPr>
            <w:r w:rsidRPr="00F63895">
              <w:t xml:space="preserve">Costs: </w:t>
            </w:r>
            <w:r>
              <w:rPr>
                <w:rStyle w:val="IAPODICostChar"/>
                <w:b/>
                <w:sz w:val="20"/>
              </w:rPr>
              <w:fldChar w:fldCharType="begin">
                <w:ffData>
                  <w:name w:val=""/>
                  <w:enabled/>
                  <w:calcOnExit w:val="0"/>
                  <w:textInput>
                    <w:default w:val="£0"/>
                    <w:maxLength w:val="9"/>
                  </w:textInput>
                </w:ffData>
              </w:fldChar>
            </w:r>
            <w:r>
              <w:rPr>
                <w:rStyle w:val="IAPODICostChar"/>
                <w:b/>
                <w:sz w:val="20"/>
              </w:rPr>
              <w:instrText xml:space="preserve"> FORMTEXT </w:instrText>
            </w:r>
            <w:r>
              <w:rPr>
                <w:rStyle w:val="IAPODICostChar"/>
                <w:b/>
                <w:sz w:val="20"/>
              </w:rPr>
            </w:r>
            <w:r>
              <w:rPr>
                <w:rStyle w:val="IAPODICostChar"/>
                <w:b/>
                <w:sz w:val="20"/>
              </w:rPr>
              <w:fldChar w:fldCharType="separate"/>
            </w:r>
            <w:r>
              <w:rPr>
                <w:rStyle w:val="IAPODICostChar"/>
                <w:b/>
                <w:noProof/>
                <w:sz w:val="20"/>
              </w:rPr>
              <w:t>£0</w:t>
            </w:r>
            <w:r>
              <w:rPr>
                <w:rStyle w:val="IAPODICostChar"/>
                <w:b/>
                <w:sz w:val="20"/>
              </w:rPr>
              <w:fldChar w:fldCharType="end"/>
            </w:r>
          </w:p>
        </w:tc>
        <w:tc>
          <w:tcPr>
            <w:tcW w:w="1843" w:type="dxa"/>
            <w:vMerge w:val="restart"/>
            <w:tcBorders>
              <w:top w:val="single" w:sz="12" w:space="0" w:color="auto"/>
              <w:left w:val="single" w:sz="12" w:space="0" w:color="auto"/>
              <w:right w:val="single" w:sz="12" w:space="0" w:color="auto"/>
            </w:tcBorders>
            <w:shd w:val="clear" w:color="auto" w:fill="FFFFFF"/>
          </w:tcPr>
          <w:p w14:paraId="2FF8EBEA" w14:textId="77777777" w:rsidR="0085056C" w:rsidRPr="00F63895" w:rsidRDefault="0085056C" w:rsidP="00730139">
            <w:pPr>
              <w:pStyle w:val="IATableLabel"/>
            </w:pPr>
            <w:r w:rsidRPr="00F63895">
              <w:t xml:space="preserve">Benefits: </w:t>
            </w:r>
            <w:r>
              <w:rPr>
                <w:rStyle w:val="IAPODIBenChar"/>
                <w:sz w:val="20"/>
              </w:rPr>
              <w:fldChar w:fldCharType="begin">
                <w:ffData>
                  <w:name w:val=""/>
                  <w:enabled/>
                  <w:calcOnExit w:val="0"/>
                  <w:textInput>
                    <w:default w:val="£0"/>
                    <w:maxLength w:val="9"/>
                  </w:textInput>
                </w:ffData>
              </w:fldChar>
            </w:r>
            <w:r>
              <w:rPr>
                <w:rStyle w:val="IAPODIBenChar"/>
                <w:sz w:val="20"/>
              </w:rPr>
              <w:instrText xml:space="preserve"> FORMTEXT </w:instrText>
            </w:r>
            <w:r>
              <w:rPr>
                <w:rStyle w:val="IAPODIBenChar"/>
                <w:sz w:val="20"/>
              </w:rPr>
            </w:r>
            <w:r>
              <w:rPr>
                <w:rStyle w:val="IAPODIBenChar"/>
                <w:sz w:val="20"/>
              </w:rPr>
              <w:fldChar w:fldCharType="separate"/>
            </w:r>
            <w:r>
              <w:rPr>
                <w:rStyle w:val="IAPODIBenChar"/>
                <w:noProof/>
                <w:sz w:val="20"/>
              </w:rPr>
              <w:t>£0</w:t>
            </w:r>
            <w:r>
              <w:rPr>
                <w:rStyle w:val="IAPODIBenChar"/>
                <w:sz w:val="20"/>
              </w:rPr>
              <w:fldChar w:fldCharType="end"/>
            </w:r>
          </w:p>
        </w:tc>
        <w:tc>
          <w:tcPr>
            <w:tcW w:w="1701" w:type="dxa"/>
            <w:vMerge w:val="restart"/>
            <w:tcBorders>
              <w:top w:val="single" w:sz="12" w:space="0" w:color="auto"/>
              <w:left w:val="single" w:sz="12" w:space="0" w:color="auto"/>
              <w:right w:val="single" w:sz="12" w:space="0" w:color="auto"/>
            </w:tcBorders>
            <w:shd w:val="clear" w:color="auto" w:fill="FFFFFF"/>
          </w:tcPr>
          <w:p w14:paraId="7B7F33F7" w14:textId="77777777" w:rsidR="0085056C" w:rsidRPr="00F63895" w:rsidRDefault="0085056C" w:rsidP="00730139">
            <w:pPr>
              <w:pStyle w:val="IATableLabel"/>
            </w:pPr>
            <w:r w:rsidRPr="00F63895">
              <w:t xml:space="preserve">Net: </w:t>
            </w:r>
            <w:r>
              <w:rPr>
                <w:rStyle w:val="IAPODINetChar"/>
                <w:sz w:val="20"/>
              </w:rPr>
              <w:fldChar w:fldCharType="begin">
                <w:ffData>
                  <w:name w:val=""/>
                  <w:enabled/>
                  <w:calcOnExit w:val="0"/>
                  <w:textInput>
                    <w:default w:val="£0"/>
                    <w:maxLength w:val="9"/>
                  </w:textInput>
                </w:ffData>
              </w:fldChar>
            </w:r>
            <w:r>
              <w:rPr>
                <w:rStyle w:val="IAPODINetChar"/>
                <w:sz w:val="20"/>
              </w:rPr>
              <w:instrText xml:space="preserve"> FORMTEXT </w:instrText>
            </w:r>
            <w:r>
              <w:rPr>
                <w:rStyle w:val="IAPODINetChar"/>
                <w:sz w:val="20"/>
              </w:rPr>
            </w:r>
            <w:r>
              <w:rPr>
                <w:rStyle w:val="IAPODINetChar"/>
                <w:sz w:val="20"/>
              </w:rPr>
              <w:fldChar w:fldCharType="separate"/>
            </w:r>
            <w:r>
              <w:rPr>
                <w:rStyle w:val="IAPODINetChar"/>
                <w:noProof/>
                <w:sz w:val="20"/>
              </w:rPr>
              <w:t>£0</w:t>
            </w:r>
            <w:r>
              <w:rPr>
                <w:rStyle w:val="IAPODINetChar"/>
                <w:sz w:val="20"/>
              </w:rPr>
              <w:fldChar w:fldCharType="end"/>
            </w:r>
          </w:p>
        </w:tc>
        <w:tc>
          <w:tcPr>
            <w:tcW w:w="4823" w:type="dxa"/>
            <w:vMerge/>
            <w:tcBorders>
              <w:left w:val="single" w:sz="12" w:space="0" w:color="auto"/>
              <w:bottom w:val="single" w:sz="12" w:space="0" w:color="auto"/>
              <w:right w:val="single" w:sz="12" w:space="0" w:color="auto"/>
            </w:tcBorders>
            <w:shd w:val="clear" w:color="auto" w:fill="FFFFFF"/>
          </w:tcPr>
          <w:p w14:paraId="59F98144" w14:textId="77777777" w:rsidR="0085056C" w:rsidRPr="00F63895" w:rsidRDefault="0085056C" w:rsidP="00730139">
            <w:pPr>
              <w:pStyle w:val="IAPODIMQ"/>
            </w:pPr>
          </w:p>
        </w:tc>
      </w:tr>
      <w:tr w:rsidR="0085056C" w:rsidRPr="00E75380" w14:paraId="51DFC53C" w14:textId="77777777" w:rsidTr="00730139">
        <w:trPr>
          <w:trHeight w:hRule="exact" w:val="340"/>
        </w:trPr>
        <w:tc>
          <w:tcPr>
            <w:tcW w:w="1985" w:type="dxa"/>
            <w:vMerge/>
            <w:tcBorders>
              <w:left w:val="single" w:sz="12" w:space="0" w:color="auto"/>
              <w:bottom w:val="single" w:sz="12" w:space="0" w:color="auto"/>
              <w:right w:val="single" w:sz="12" w:space="0" w:color="auto"/>
            </w:tcBorders>
            <w:shd w:val="clear" w:color="auto" w:fill="FFFFFF"/>
          </w:tcPr>
          <w:p w14:paraId="7830795E" w14:textId="77777777" w:rsidR="0085056C" w:rsidRPr="00F63895" w:rsidRDefault="0085056C" w:rsidP="00730139">
            <w:pPr>
              <w:pStyle w:val="IATableLabel"/>
            </w:pPr>
          </w:p>
        </w:tc>
        <w:tc>
          <w:tcPr>
            <w:tcW w:w="1843" w:type="dxa"/>
            <w:vMerge/>
            <w:tcBorders>
              <w:left w:val="single" w:sz="12" w:space="0" w:color="auto"/>
              <w:bottom w:val="single" w:sz="12" w:space="0" w:color="auto"/>
              <w:right w:val="single" w:sz="12" w:space="0" w:color="auto"/>
            </w:tcBorders>
            <w:shd w:val="clear" w:color="auto" w:fill="FFFFFF"/>
          </w:tcPr>
          <w:p w14:paraId="76AD13E4" w14:textId="77777777" w:rsidR="0085056C" w:rsidRPr="00F63895" w:rsidRDefault="0085056C" w:rsidP="00730139">
            <w:pPr>
              <w:pStyle w:val="IATableLabel"/>
            </w:pPr>
          </w:p>
        </w:tc>
        <w:tc>
          <w:tcPr>
            <w:tcW w:w="1701" w:type="dxa"/>
            <w:vMerge/>
            <w:tcBorders>
              <w:left w:val="single" w:sz="12" w:space="0" w:color="auto"/>
              <w:bottom w:val="single" w:sz="12" w:space="0" w:color="auto"/>
              <w:right w:val="single" w:sz="12" w:space="0" w:color="auto"/>
            </w:tcBorders>
            <w:shd w:val="clear" w:color="auto" w:fill="FFFFFF"/>
          </w:tcPr>
          <w:p w14:paraId="68E0FEB2" w14:textId="77777777" w:rsidR="0085056C" w:rsidRPr="00F63895" w:rsidRDefault="0085056C" w:rsidP="00730139">
            <w:pPr>
              <w:pStyle w:val="IATableLabel"/>
            </w:pPr>
          </w:p>
        </w:tc>
        <w:tc>
          <w:tcPr>
            <w:tcW w:w="4823" w:type="dxa"/>
            <w:tcBorders>
              <w:top w:val="single" w:sz="12" w:space="0" w:color="auto"/>
              <w:left w:val="single" w:sz="12" w:space="0" w:color="auto"/>
              <w:bottom w:val="single" w:sz="12" w:space="0" w:color="auto"/>
              <w:right w:val="single" w:sz="12" w:space="0" w:color="auto"/>
            </w:tcBorders>
            <w:shd w:val="clear" w:color="auto" w:fill="FFFFFF"/>
          </w:tcPr>
          <w:p w14:paraId="1A97F006" w14:textId="77777777" w:rsidR="0085056C" w:rsidRPr="00F63895" w:rsidRDefault="0085056C" w:rsidP="00730139">
            <w:pPr>
              <w:pStyle w:val="IAPODIMQ"/>
            </w:pPr>
            <w:r>
              <w:fldChar w:fldCharType="begin">
                <w:ffData>
                  <w:name w:val="Text7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bl>
    <w:p w14:paraId="6978B742" w14:textId="588A53A5" w:rsidR="00D64409" w:rsidRDefault="00962FC6" w:rsidP="00D64409">
      <w:pPr>
        <w:pStyle w:val="Heading1"/>
      </w:pPr>
      <w:bookmarkStart w:id="52" w:name="_Toc67067469"/>
      <w:r>
        <w:lastRenderedPageBreak/>
        <w:t>Contents</w:t>
      </w:r>
      <w:bookmarkEnd w:id="52"/>
    </w:p>
    <w:sdt>
      <w:sdtPr>
        <w:rPr>
          <w:rFonts w:ascii="Arial" w:eastAsia="Times New Roman" w:hAnsi="Arial" w:cs="Times New Roman"/>
          <w:color w:val="auto"/>
          <w:sz w:val="24"/>
          <w:szCs w:val="24"/>
          <w:lang w:val="en-GB"/>
        </w:rPr>
        <w:id w:val="826710707"/>
        <w:docPartObj>
          <w:docPartGallery w:val="Table of Contents"/>
          <w:docPartUnique/>
        </w:docPartObj>
      </w:sdtPr>
      <w:sdtEndPr>
        <w:rPr>
          <w:b/>
          <w:bCs/>
          <w:noProof/>
        </w:rPr>
      </w:sdtEndPr>
      <w:sdtContent>
        <w:p w14:paraId="0D1A0C60" w14:textId="6A7E255E" w:rsidR="00C5128D" w:rsidRPr="005A0E4E" w:rsidRDefault="00C5128D">
          <w:pPr>
            <w:pStyle w:val="TOCHeading"/>
            <w:rPr>
              <w:rFonts w:ascii="Arial" w:hAnsi="Arial" w:cs="Arial"/>
              <w:b/>
              <w:bCs/>
              <w:color w:val="auto"/>
              <w:sz w:val="24"/>
              <w:szCs w:val="24"/>
            </w:rPr>
          </w:pPr>
        </w:p>
        <w:p w14:paraId="685518EA" w14:textId="70E4D4A0" w:rsidR="00C5128D" w:rsidRPr="005A0E4E" w:rsidRDefault="00C5128D">
          <w:pPr>
            <w:pStyle w:val="TOC1"/>
            <w:tabs>
              <w:tab w:val="right" w:leader="dot" w:pos="10195"/>
            </w:tabs>
            <w:rPr>
              <w:rFonts w:asciiTheme="minorHAnsi" w:eastAsiaTheme="minorEastAsia" w:hAnsiTheme="minorHAnsi" w:cstheme="minorBidi"/>
              <w:noProof/>
              <w:lang w:eastAsia="en-GB"/>
            </w:rPr>
          </w:pPr>
          <w:r w:rsidRPr="005A0E4E">
            <w:fldChar w:fldCharType="begin"/>
          </w:r>
          <w:r w:rsidRPr="005A0E4E">
            <w:instrText xml:space="preserve"> TOC \o "1-3" \h \z \u </w:instrText>
          </w:r>
          <w:r w:rsidRPr="005A0E4E">
            <w:fldChar w:fldCharType="separate"/>
          </w:r>
          <w:hyperlink w:anchor="_Toc67067463" w:history="1">
            <w:r w:rsidRPr="005A0E4E">
              <w:rPr>
                <w:rStyle w:val="Hyperlink"/>
                <w:rFonts w:eastAsia="SimSun"/>
                <w:noProof/>
              </w:rPr>
              <w:t>Impact Assessment (IA)</w:t>
            </w:r>
            <w:r w:rsidRPr="005A0E4E">
              <w:rPr>
                <w:noProof/>
                <w:webHidden/>
              </w:rPr>
              <w:tab/>
            </w:r>
            <w:r w:rsidRPr="005A0E4E">
              <w:rPr>
                <w:noProof/>
                <w:webHidden/>
              </w:rPr>
              <w:fldChar w:fldCharType="begin"/>
            </w:r>
            <w:r w:rsidRPr="005A0E4E">
              <w:rPr>
                <w:noProof/>
                <w:webHidden/>
              </w:rPr>
              <w:instrText xml:space="preserve"> PAGEREF _Toc67067463 \h </w:instrText>
            </w:r>
            <w:r w:rsidRPr="005A0E4E">
              <w:rPr>
                <w:noProof/>
                <w:webHidden/>
              </w:rPr>
            </w:r>
            <w:r w:rsidRPr="005A0E4E">
              <w:rPr>
                <w:noProof/>
                <w:webHidden/>
              </w:rPr>
              <w:fldChar w:fldCharType="separate"/>
            </w:r>
            <w:r w:rsidR="00085D64">
              <w:rPr>
                <w:noProof/>
                <w:webHidden/>
              </w:rPr>
              <w:t>1</w:t>
            </w:r>
            <w:r w:rsidRPr="005A0E4E">
              <w:rPr>
                <w:noProof/>
                <w:webHidden/>
              </w:rPr>
              <w:fldChar w:fldCharType="end"/>
            </w:r>
          </w:hyperlink>
        </w:p>
        <w:p w14:paraId="23A9BBBA" w14:textId="3448B479" w:rsidR="00C5128D" w:rsidRPr="005A0E4E" w:rsidRDefault="00F26ECE">
          <w:pPr>
            <w:pStyle w:val="TOC1"/>
            <w:tabs>
              <w:tab w:val="right" w:leader="dot" w:pos="10195"/>
            </w:tabs>
            <w:rPr>
              <w:rFonts w:asciiTheme="minorHAnsi" w:eastAsiaTheme="minorEastAsia" w:hAnsiTheme="minorHAnsi" w:cstheme="minorBidi"/>
              <w:noProof/>
              <w:lang w:eastAsia="en-GB"/>
            </w:rPr>
          </w:pPr>
          <w:hyperlink w:anchor="_Toc67067464" w:history="1">
            <w:r w:rsidR="00C5128D" w:rsidRPr="005A0E4E">
              <w:rPr>
                <w:rStyle w:val="Hyperlink"/>
                <w:rFonts w:eastAsia="SimSun"/>
                <w:noProof/>
              </w:rPr>
              <w:t>Summary: Intervention and Options</w:t>
            </w:r>
            <w:r w:rsidR="00C5128D" w:rsidRPr="005A0E4E">
              <w:rPr>
                <w:noProof/>
                <w:webHidden/>
              </w:rPr>
              <w:tab/>
            </w:r>
            <w:r w:rsidR="00C5128D" w:rsidRPr="005A0E4E">
              <w:rPr>
                <w:noProof/>
                <w:webHidden/>
              </w:rPr>
              <w:fldChar w:fldCharType="begin"/>
            </w:r>
            <w:r w:rsidR="00C5128D" w:rsidRPr="005A0E4E">
              <w:rPr>
                <w:noProof/>
                <w:webHidden/>
              </w:rPr>
              <w:instrText xml:space="preserve"> PAGEREF _Toc67067464 \h </w:instrText>
            </w:r>
            <w:r w:rsidR="00C5128D" w:rsidRPr="005A0E4E">
              <w:rPr>
                <w:noProof/>
                <w:webHidden/>
              </w:rPr>
            </w:r>
            <w:r w:rsidR="00C5128D" w:rsidRPr="005A0E4E">
              <w:rPr>
                <w:noProof/>
                <w:webHidden/>
              </w:rPr>
              <w:fldChar w:fldCharType="separate"/>
            </w:r>
            <w:r w:rsidR="00085D64">
              <w:rPr>
                <w:noProof/>
                <w:webHidden/>
              </w:rPr>
              <w:t>1</w:t>
            </w:r>
            <w:r w:rsidR="00C5128D" w:rsidRPr="005A0E4E">
              <w:rPr>
                <w:noProof/>
                <w:webHidden/>
              </w:rPr>
              <w:fldChar w:fldCharType="end"/>
            </w:r>
          </w:hyperlink>
        </w:p>
        <w:p w14:paraId="41939108" w14:textId="10C83367" w:rsidR="00C5128D" w:rsidRPr="005A0E4E" w:rsidRDefault="00F26ECE">
          <w:pPr>
            <w:pStyle w:val="TOC1"/>
            <w:tabs>
              <w:tab w:val="right" w:leader="dot" w:pos="10195"/>
            </w:tabs>
            <w:rPr>
              <w:rFonts w:asciiTheme="minorHAnsi" w:eastAsiaTheme="minorEastAsia" w:hAnsiTheme="minorHAnsi" w:cstheme="minorBidi"/>
              <w:noProof/>
              <w:lang w:eastAsia="en-GB"/>
            </w:rPr>
          </w:pPr>
          <w:hyperlink w:anchor="_Toc67067465" w:history="1">
            <w:r w:rsidR="00C5128D" w:rsidRPr="005A0E4E">
              <w:rPr>
                <w:rStyle w:val="Hyperlink"/>
                <w:rFonts w:eastAsia="SimSun"/>
                <w:b/>
                <w:noProof/>
              </w:rPr>
              <w:t xml:space="preserve">RPC Opinion: </w:t>
            </w:r>
            <w:r w:rsidR="00C5128D" w:rsidRPr="005D3418">
              <w:rPr>
                <w:rStyle w:val="Hyperlink"/>
                <w:rFonts w:eastAsia="SimSun"/>
                <w:noProof/>
              </w:rPr>
              <w:fldChar w:fldCharType="begin"/>
            </w:r>
            <w:r w:rsidR="00C5128D" w:rsidRPr="005D3418">
              <w:rPr>
                <w:rStyle w:val="Hyperlink"/>
                <w:rFonts w:eastAsia="SimSun"/>
                <w:noProof/>
              </w:rPr>
              <w:instrText xml:space="preserve"> FORMDROPDOWN </w:instrText>
            </w:r>
            <w:r>
              <w:rPr>
                <w:rStyle w:val="Hyperlink"/>
                <w:rFonts w:eastAsia="SimSun"/>
                <w:noProof/>
              </w:rPr>
              <w:fldChar w:fldCharType="separate"/>
            </w:r>
            <w:r w:rsidR="00C5128D" w:rsidRPr="005D3418">
              <w:rPr>
                <w:rStyle w:val="Hyperlink"/>
                <w:rFonts w:eastAsia="SimSun"/>
                <w:noProof/>
              </w:rPr>
              <w:fldChar w:fldCharType="end"/>
            </w:r>
            <w:r w:rsidR="00C5128D" w:rsidRPr="005A0E4E">
              <w:rPr>
                <w:noProof/>
                <w:webHidden/>
              </w:rPr>
              <w:tab/>
            </w:r>
            <w:r w:rsidR="00C5128D" w:rsidRPr="005A0E4E">
              <w:rPr>
                <w:noProof/>
                <w:webHidden/>
              </w:rPr>
              <w:fldChar w:fldCharType="begin"/>
            </w:r>
            <w:r w:rsidR="00C5128D" w:rsidRPr="005A0E4E">
              <w:rPr>
                <w:noProof/>
                <w:webHidden/>
              </w:rPr>
              <w:instrText xml:space="preserve"> PAGEREF _Toc67067465 \h </w:instrText>
            </w:r>
            <w:r w:rsidR="00C5128D" w:rsidRPr="005A0E4E">
              <w:rPr>
                <w:noProof/>
                <w:webHidden/>
              </w:rPr>
            </w:r>
            <w:r w:rsidR="00C5128D" w:rsidRPr="005A0E4E">
              <w:rPr>
                <w:noProof/>
                <w:webHidden/>
              </w:rPr>
              <w:fldChar w:fldCharType="separate"/>
            </w:r>
            <w:r w:rsidR="00085D64">
              <w:rPr>
                <w:noProof/>
                <w:webHidden/>
              </w:rPr>
              <w:t>1</w:t>
            </w:r>
            <w:r w:rsidR="00C5128D" w:rsidRPr="005A0E4E">
              <w:rPr>
                <w:noProof/>
                <w:webHidden/>
              </w:rPr>
              <w:fldChar w:fldCharType="end"/>
            </w:r>
          </w:hyperlink>
        </w:p>
        <w:p w14:paraId="552FBE2A" w14:textId="299264A2" w:rsidR="00C5128D" w:rsidRPr="005A0E4E" w:rsidRDefault="00F26ECE">
          <w:pPr>
            <w:pStyle w:val="TOC1"/>
            <w:tabs>
              <w:tab w:val="left" w:pos="3555"/>
              <w:tab w:val="right" w:leader="dot" w:pos="10195"/>
            </w:tabs>
            <w:rPr>
              <w:rFonts w:asciiTheme="minorHAnsi" w:eastAsiaTheme="minorEastAsia" w:hAnsiTheme="minorHAnsi" w:cstheme="minorBidi"/>
              <w:noProof/>
              <w:lang w:eastAsia="en-GB"/>
            </w:rPr>
          </w:pPr>
          <w:hyperlink w:anchor="_Toc67067466" w:history="1">
            <w:r w:rsidR="00C5128D" w:rsidRPr="005A0E4E">
              <w:rPr>
                <w:rStyle w:val="Hyperlink"/>
                <w:rFonts w:eastAsia="SimSun"/>
                <w:noProof/>
              </w:rPr>
              <w:t>Summary: Analysis &amp; Evidence</w:t>
            </w:r>
            <w:r w:rsidR="00C5128D" w:rsidRPr="005A0E4E">
              <w:rPr>
                <w:rFonts w:asciiTheme="minorHAnsi" w:eastAsiaTheme="minorEastAsia" w:hAnsiTheme="minorHAnsi" w:cstheme="minorBidi"/>
                <w:noProof/>
                <w:lang w:eastAsia="en-GB"/>
              </w:rPr>
              <w:tab/>
            </w:r>
            <w:r w:rsidR="00C5128D" w:rsidRPr="005A0E4E">
              <w:rPr>
                <w:rStyle w:val="Hyperlink"/>
                <w:rFonts w:eastAsia="SimSun"/>
                <w:noProof/>
              </w:rPr>
              <w:t>Policy Option 1</w:t>
            </w:r>
            <w:r w:rsidR="00C5128D" w:rsidRPr="005A0E4E">
              <w:rPr>
                <w:noProof/>
                <w:webHidden/>
              </w:rPr>
              <w:tab/>
            </w:r>
            <w:r w:rsidR="00C5128D" w:rsidRPr="005A0E4E">
              <w:rPr>
                <w:noProof/>
                <w:webHidden/>
              </w:rPr>
              <w:fldChar w:fldCharType="begin"/>
            </w:r>
            <w:r w:rsidR="00C5128D" w:rsidRPr="005A0E4E">
              <w:rPr>
                <w:noProof/>
                <w:webHidden/>
              </w:rPr>
              <w:instrText xml:space="preserve"> PAGEREF _Toc67067466 \h </w:instrText>
            </w:r>
            <w:r w:rsidR="00C5128D" w:rsidRPr="005A0E4E">
              <w:rPr>
                <w:noProof/>
                <w:webHidden/>
              </w:rPr>
            </w:r>
            <w:r w:rsidR="00C5128D" w:rsidRPr="005A0E4E">
              <w:rPr>
                <w:noProof/>
                <w:webHidden/>
              </w:rPr>
              <w:fldChar w:fldCharType="separate"/>
            </w:r>
            <w:r w:rsidR="00085D64">
              <w:rPr>
                <w:noProof/>
                <w:webHidden/>
              </w:rPr>
              <w:t>2</w:t>
            </w:r>
            <w:r w:rsidR="00C5128D" w:rsidRPr="005A0E4E">
              <w:rPr>
                <w:noProof/>
                <w:webHidden/>
              </w:rPr>
              <w:fldChar w:fldCharType="end"/>
            </w:r>
          </w:hyperlink>
        </w:p>
        <w:p w14:paraId="239F3E6E" w14:textId="4A292A03" w:rsidR="00C5128D" w:rsidRPr="005A0E4E" w:rsidRDefault="00F26ECE">
          <w:pPr>
            <w:pStyle w:val="TOC1"/>
            <w:tabs>
              <w:tab w:val="left" w:pos="3555"/>
              <w:tab w:val="right" w:leader="dot" w:pos="10195"/>
            </w:tabs>
            <w:rPr>
              <w:rFonts w:asciiTheme="minorHAnsi" w:eastAsiaTheme="minorEastAsia" w:hAnsiTheme="minorHAnsi" w:cstheme="minorBidi"/>
              <w:noProof/>
              <w:lang w:eastAsia="en-GB"/>
            </w:rPr>
          </w:pPr>
          <w:hyperlink w:anchor="_Toc67067467" w:history="1">
            <w:r w:rsidR="00C5128D" w:rsidRPr="005A0E4E">
              <w:rPr>
                <w:rStyle w:val="Hyperlink"/>
                <w:rFonts w:eastAsia="SimSun"/>
                <w:noProof/>
              </w:rPr>
              <w:t>Summary: Analysis &amp; Evidence</w:t>
            </w:r>
            <w:r w:rsidR="00C5128D" w:rsidRPr="005A0E4E">
              <w:rPr>
                <w:rFonts w:asciiTheme="minorHAnsi" w:eastAsiaTheme="minorEastAsia" w:hAnsiTheme="minorHAnsi" w:cstheme="minorBidi"/>
                <w:noProof/>
                <w:lang w:eastAsia="en-GB"/>
              </w:rPr>
              <w:tab/>
            </w:r>
            <w:r w:rsidR="00C5128D" w:rsidRPr="005A0E4E">
              <w:rPr>
                <w:rStyle w:val="Hyperlink"/>
                <w:rFonts w:eastAsia="SimSun"/>
                <w:noProof/>
              </w:rPr>
              <w:t>Policy Option 2</w:t>
            </w:r>
            <w:r w:rsidR="00C5128D" w:rsidRPr="005A0E4E">
              <w:rPr>
                <w:noProof/>
                <w:webHidden/>
              </w:rPr>
              <w:tab/>
            </w:r>
            <w:r w:rsidR="00C5128D" w:rsidRPr="005A0E4E">
              <w:rPr>
                <w:noProof/>
                <w:webHidden/>
              </w:rPr>
              <w:fldChar w:fldCharType="begin"/>
            </w:r>
            <w:r w:rsidR="00C5128D" w:rsidRPr="005A0E4E">
              <w:rPr>
                <w:noProof/>
                <w:webHidden/>
              </w:rPr>
              <w:instrText xml:space="preserve"> PAGEREF _Toc67067467 \h </w:instrText>
            </w:r>
            <w:r w:rsidR="00C5128D" w:rsidRPr="005A0E4E">
              <w:rPr>
                <w:noProof/>
                <w:webHidden/>
              </w:rPr>
            </w:r>
            <w:r w:rsidR="00C5128D" w:rsidRPr="005A0E4E">
              <w:rPr>
                <w:noProof/>
                <w:webHidden/>
              </w:rPr>
              <w:fldChar w:fldCharType="separate"/>
            </w:r>
            <w:r w:rsidR="00085D64">
              <w:rPr>
                <w:noProof/>
                <w:webHidden/>
              </w:rPr>
              <w:t>3</w:t>
            </w:r>
            <w:r w:rsidR="00C5128D" w:rsidRPr="005A0E4E">
              <w:rPr>
                <w:noProof/>
                <w:webHidden/>
              </w:rPr>
              <w:fldChar w:fldCharType="end"/>
            </w:r>
          </w:hyperlink>
        </w:p>
        <w:p w14:paraId="2F2ACE64" w14:textId="5DFA029D" w:rsidR="00C5128D" w:rsidRPr="005A0E4E" w:rsidRDefault="00F26ECE">
          <w:pPr>
            <w:pStyle w:val="TOC1"/>
            <w:tabs>
              <w:tab w:val="left" w:pos="3555"/>
              <w:tab w:val="right" w:leader="dot" w:pos="10195"/>
            </w:tabs>
            <w:rPr>
              <w:rFonts w:asciiTheme="minorHAnsi" w:eastAsiaTheme="minorEastAsia" w:hAnsiTheme="minorHAnsi" w:cstheme="minorBidi"/>
              <w:noProof/>
              <w:lang w:eastAsia="en-GB"/>
            </w:rPr>
          </w:pPr>
          <w:hyperlink w:anchor="_Toc67067468" w:history="1">
            <w:r w:rsidR="00C5128D" w:rsidRPr="005A0E4E">
              <w:rPr>
                <w:rStyle w:val="Hyperlink"/>
                <w:rFonts w:eastAsia="SimSun"/>
                <w:noProof/>
              </w:rPr>
              <w:t>Summary: Analysis &amp; Evidence</w:t>
            </w:r>
            <w:r w:rsidR="00C5128D" w:rsidRPr="005A0E4E">
              <w:rPr>
                <w:rFonts w:asciiTheme="minorHAnsi" w:eastAsiaTheme="minorEastAsia" w:hAnsiTheme="minorHAnsi" w:cstheme="minorBidi"/>
                <w:noProof/>
                <w:lang w:eastAsia="en-GB"/>
              </w:rPr>
              <w:tab/>
            </w:r>
            <w:r w:rsidR="00C5128D" w:rsidRPr="005A0E4E">
              <w:rPr>
                <w:rStyle w:val="Hyperlink"/>
                <w:rFonts w:eastAsia="SimSun"/>
                <w:noProof/>
              </w:rPr>
              <w:t>Policy Option 3</w:t>
            </w:r>
            <w:r w:rsidR="00C5128D" w:rsidRPr="005A0E4E">
              <w:rPr>
                <w:noProof/>
                <w:webHidden/>
              </w:rPr>
              <w:tab/>
            </w:r>
            <w:r w:rsidR="00C5128D" w:rsidRPr="005A0E4E">
              <w:rPr>
                <w:noProof/>
                <w:webHidden/>
              </w:rPr>
              <w:fldChar w:fldCharType="begin"/>
            </w:r>
            <w:r w:rsidR="00C5128D" w:rsidRPr="005A0E4E">
              <w:rPr>
                <w:noProof/>
                <w:webHidden/>
              </w:rPr>
              <w:instrText xml:space="preserve"> PAGEREF _Toc67067468 \h </w:instrText>
            </w:r>
            <w:r w:rsidR="00C5128D" w:rsidRPr="005A0E4E">
              <w:rPr>
                <w:noProof/>
                <w:webHidden/>
              </w:rPr>
            </w:r>
            <w:r w:rsidR="00C5128D" w:rsidRPr="005A0E4E">
              <w:rPr>
                <w:noProof/>
                <w:webHidden/>
              </w:rPr>
              <w:fldChar w:fldCharType="separate"/>
            </w:r>
            <w:r w:rsidR="00085D64">
              <w:rPr>
                <w:noProof/>
                <w:webHidden/>
              </w:rPr>
              <w:t>4</w:t>
            </w:r>
            <w:r w:rsidR="00C5128D" w:rsidRPr="005A0E4E">
              <w:rPr>
                <w:noProof/>
                <w:webHidden/>
              </w:rPr>
              <w:fldChar w:fldCharType="end"/>
            </w:r>
          </w:hyperlink>
        </w:p>
        <w:p w14:paraId="183C904C" w14:textId="38FA8E95" w:rsidR="00C5128D" w:rsidRPr="005A0E4E" w:rsidRDefault="00F26ECE">
          <w:pPr>
            <w:pStyle w:val="TOC1"/>
            <w:tabs>
              <w:tab w:val="right" w:leader="dot" w:pos="10195"/>
            </w:tabs>
            <w:rPr>
              <w:rFonts w:asciiTheme="minorHAnsi" w:eastAsiaTheme="minorEastAsia" w:hAnsiTheme="minorHAnsi" w:cstheme="minorBidi"/>
              <w:noProof/>
              <w:lang w:eastAsia="en-GB"/>
            </w:rPr>
          </w:pPr>
          <w:hyperlink w:anchor="_Toc67067469" w:history="1">
            <w:r w:rsidR="00C5128D" w:rsidRPr="005A0E4E">
              <w:rPr>
                <w:rStyle w:val="Hyperlink"/>
                <w:rFonts w:eastAsia="SimSun"/>
                <w:noProof/>
              </w:rPr>
              <w:t>Contents</w:t>
            </w:r>
            <w:r w:rsidR="00C5128D" w:rsidRPr="005A0E4E">
              <w:rPr>
                <w:noProof/>
                <w:webHidden/>
              </w:rPr>
              <w:tab/>
            </w:r>
            <w:r w:rsidR="00C5128D" w:rsidRPr="005A0E4E">
              <w:rPr>
                <w:noProof/>
                <w:webHidden/>
              </w:rPr>
              <w:fldChar w:fldCharType="begin"/>
            </w:r>
            <w:r w:rsidR="00C5128D" w:rsidRPr="005A0E4E">
              <w:rPr>
                <w:noProof/>
                <w:webHidden/>
              </w:rPr>
              <w:instrText xml:space="preserve"> PAGEREF _Toc67067469 \h </w:instrText>
            </w:r>
            <w:r w:rsidR="00C5128D" w:rsidRPr="005A0E4E">
              <w:rPr>
                <w:noProof/>
                <w:webHidden/>
              </w:rPr>
            </w:r>
            <w:r w:rsidR="00C5128D" w:rsidRPr="005A0E4E">
              <w:rPr>
                <w:noProof/>
                <w:webHidden/>
              </w:rPr>
              <w:fldChar w:fldCharType="separate"/>
            </w:r>
            <w:r w:rsidR="00085D64">
              <w:rPr>
                <w:noProof/>
                <w:webHidden/>
              </w:rPr>
              <w:t>5</w:t>
            </w:r>
            <w:r w:rsidR="00C5128D" w:rsidRPr="005A0E4E">
              <w:rPr>
                <w:noProof/>
                <w:webHidden/>
              </w:rPr>
              <w:fldChar w:fldCharType="end"/>
            </w:r>
          </w:hyperlink>
        </w:p>
        <w:p w14:paraId="66786F66" w14:textId="57036C1D" w:rsidR="00C5128D" w:rsidRPr="005A0E4E" w:rsidRDefault="00F26ECE">
          <w:pPr>
            <w:pStyle w:val="TOC2"/>
            <w:tabs>
              <w:tab w:val="right" w:leader="dot" w:pos="10195"/>
            </w:tabs>
            <w:rPr>
              <w:rFonts w:asciiTheme="minorHAnsi" w:eastAsiaTheme="minorEastAsia" w:hAnsiTheme="minorHAnsi" w:cstheme="minorBidi"/>
              <w:noProof/>
              <w:lang w:eastAsia="en-GB"/>
            </w:rPr>
          </w:pPr>
          <w:hyperlink w:anchor="_Toc67067470" w:history="1">
            <w:r w:rsidR="00C5128D" w:rsidRPr="005A0E4E">
              <w:rPr>
                <w:rStyle w:val="Hyperlink"/>
                <w:rFonts w:eastAsia="SimSun"/>
                <w:noProof/>
              </w:rPr>
              <w:t>Executive summary</w:t>
            </w:r>
            <w:r w:rsidR="00C5128D" w:rsidRPr="005A0E4E">
              <w:rPr>
                <w:noProof/>
                <w:webHidden/>
              </w:rPr>
              <w:tab/>
            </w:r>
            <w:r w:rsidR="00C5128D" w:rsidRPr="005A0E4E">
              <w:rPr>
                <w:noProof/>
                <w:webHidden/>
              </w:rPr>
              <w:fldChar w:fldCharType="begin"/>
            </w:r>
            <w:r w:rsidR="00C5128D" w:rsidRPr="005A0E4E">
              <w:rPr>
                <w:noProof/>
                <w:webHidden/>
              </w:rPr>
              <w:instrText xml:space="preserve"> PAGEREF _Toc67067470 \h </w:instrText>
            </w:r>
            <w:r w:rsidR="00C5128D" w:rsidRPr="005A0E4E">
              <w:rPr>
                <w:noProof/>
                <w:webHidden/>
              </w:rPr>
            </w:r>
            <w:r w:rsidR="00C5128D" w:rsidRPr="005A0E4E">
              <w:rPr>
                <w:noProof/>
                <w:webHidden/>
              </w:rPr>
              <w:fldChar w:fldCharType="separate"/>
            </w:r>
            <w:r w:rsidR="00085D64">
              <w:rPr>
                <w:noProof/>
                <w:webHidden/>
              </w:rPr>
              <w:t>5</w:t>
            </w:r>
            <w:r w:rsidR="00C5128D" w:rsidRPr="005A0E4E">
              <w:rPr>
                <w:noProof/>
                <w:webHidden/>
              </w:rPr>
              <w:fldChar w:fldCharType="end"/>
            </w:r>
          </w:hyperlink>
        </w:p>
        <w:p w14:paraId="35569A4F" w14:textId="6A772771" w:rsidR="00C5128D" w:rsidRPr="005A0E4E" w:rsidRDefault="00F26ECE">
          <w:pPr>
            <w:pStyle w:val="TOC2"/>
            <w:tabs>
              <w:tab w:val="right" w:leader="dot" w:pos="10195"/>
            </w:tabs>
            <w:rPr>
              <w:rFonts w:asciiTheme="minorHAnsi" w:eastAsiaTheme="minorEastAsia" w:hAnsiTheme="minorHAnsi" w:cstheme="minorBidi"/>
              <w:noProof/>
              <w:lang w:eastAsia="en-GB"/>
            </w:rPr>
          </w:pPr>
          <w:hyperlink w:anchor="_Toc67067471" w:history="1">
            <w:r w:rsidR="00C5128D" w:rsidRPr="005A0E4E">
              <w:rPr>
                <w:rStyle w:val="Hyperlink"/>
                <w:rFonts w:eastAsia="SimSun"/>
                <w:noProof/>
              </w:rPr>
              <w:t>PART A: RATIONALE AND POLICY CONTEXT</w:t>
            </w:r>
            <w:r w:rsidR="00C5128D" w:rsidRPr="005A0E4E">
              <w:rPr>
                <w:noProof/>
                <w:webHidden/>
              </w:rPr>
              <w:tab/>
            </w:r>
            <w:r w:rsidR="00C5128D" w:rsidRPr="005A0E4E">
              <w:rPr>
                <w:noProof/>
                <w:webHidden/>
              </w:rPr>
              <w:fldChar w:fldCharType="begin"/>
            </w:r>
            <w:r w:rsidR="00C5128D" w:rsidRPr="005A0E4E">
              <w:rPr>
                <w:noProof/>
                <w:webHidden/>
              </w:rPr>
              <w:instrText xml:space="preserve"> PAGEREF _Toc67067471 \h </w:instrText>
            </w:r>
            <w:r w:rsidR="00C5128D" w:rsidRPr="005A0E4E">
              <w:rPr>
                <w:noProof/>
                <w:webHidden/>
              </w:rPr>
            </w:r>
            <w:r w:rsidR="00C5128D" w:rsidRPr="005A0E4E">
              <w:rPr>
                <w:noProof/>
                <w:webHidden/>
              </w:rPr>
              <w:fldChar w:fldCharType="separate"/>
            </w:r>
            <w:r w:rsidR="00085D64">
              <w:rPr>
                <w:noProof/>
                <w:webHidden/>
              </w:rPr>
              <w:t>7</w:t>
            </w:r>
            <w:r w:rsidR="00C5128D" w:rsidRPr="005A0E4E">
              <w:rPr>
                <w:noProof/>
                <w:webHidden/>
              </w:rPr>
              <w:fldChar w:fldCharType="end"/>
            </w:r>
          </w:hyperlink>
        </w:p>
        <w:p w14:paraId="566AA503" w14:textId="0B64E858" w:rsidR="00C5128D" w:rsidRPr="005A0E4E" w:rsidRDefault="00F26ECE">
          <w:pPr>
            <w:pStyle w:val="TOC3"/>
            <w:tabs>
              <w:tab w:val="right" w:leader="dot" w:pos="10195"/>
            </w:tabs>
            <w:rPr>
              <w:rFonts w:asciiTheme="minorHAnsi" w:eastAsiaTheme="minorEastAsia" w:hAnsiTheme="minorHAnsi" w:cstheme="minorBidi"/>
              <w:noProof/>
              <w:lang w:eastAsia="en-GB"/>
            </w:rPr>
          </w:pPr>
          <w:hyperlink w:anchor="_Toc67067472" w:history="1">
            <w:r w:rsidR="00C5128D" w:rsidRPr="005A0E4E">
              <w:rPr>
                <w:rStyle w:val="Hyperlink"/>
                <w:rFonts w:eastAsia="SimSun"/>
                <w:noProof/>
              </w:rPr>
              <w:t>1 Relevant legislation and targets</w:t>
            </w:r>
            <w:r w:rsidR="00C5128D" w:rsidRPr="005A0E4E">
              <w:rPr>
                <w:noProof/>
                <w:webHidden/>
              </w:rPr>
              <w:tab/>
            </w:r>
            <w:r w:rsidR="00C5128D" w:rsidRPr="005A0E4E">
              <w:rPr>
                <w:noProof/>
                <w:webHidden/>
              </w:rPr>
              <w:fldChar w:fldCharType="begin"/>
            </w:r>
            <w:r w:rsidR="00C5128D" w:rsidRPr="005A0E4E">
              <w:rPr>
                <w:noProof/>
                <w:webHidden/>
              </w:rPr>
              <w:instrText xml:space="preserve"> PAGEREF _Toc67067472 \h </w:instrText>
            </w:r>
            <w:r w:rsidR="00C5128D" w:rsidRPr="005A0E4E">
              <w:rPr>
                <w:noProof/>
                <w:webHidden/>
              </w:rPr>
            </w:r>
            <w:r w:rsidR="00C5128D" w:rsidRPr="005A0E4E">
              <w:rPr>
                <w:noProof/>
                <w:webHidden/>
              </w:rPr>
              <w:fldChar w:fldCharType="separate"/>
            </w:r>
            <w:r w:rsidR="00085D64">
              <w:rPr>
                <w:noProof/>
                <w:webHidden/>
              </w:rPr>
              <w:t>7</w:t>
            </w:r>
            <w:r w:rsidR="00C5128D" w:rsidRPr="005A0E4E">
              <w:rPr>
                <w:noProof/>
                <w:webHidden/>
              </w:rPr>
              <w:fldChar w:fldCharType="end"/>
            </w:r>
          </w:hyperlink>
        </w:p>
        <w:p w14:paraId="54493589" w14:textId="5731E9A2" w:rsidR="00C5128D" w:rsidRPr="005A0E4E" w:rsidRDefault="00F26ECE">
          <w:pPr>
            <w:pStyle w:val="TOC3"/>
            <w:tabs>
              <w:tab w:val="right" w:leader="dot" w:pos="10195"/>
            </w:tabs>
            <w:rPr>
              <w:rFonts w:asciiTheme="minorHAnsi" w:eastAsiaTheme="minorEastAsia" w:hAnsiTheme="minorHAnsi" w:cstheme="minorBidi"/>
              <w:noProof/>
              <w:lang w:eastAsia="en-GB"/>
            </w:rPr>
          </w:pPr>
          <w:hyperlink w:anchor="_Toc67067473" w:history="1">
            <w:r w:rsidR="00C5128D" w:rsidRPr="005A0E4E">
              <w:rPr>
                <w:rStyle w:val="Hyperlink"/>
                <w:rFonts w:eastAsia="SimSun"/>
                <w:noProof/>
              </w:rPr>
              <w:t>2 International Context</w:t>
            </w:r>
            <w:r w:rsidR="00C5128D" w:rsidRPr="005A0E4E">
              <w:rPr>
                <w:noProof/>
                <w:webHidden/>
              </w:rPr>
              <w:tab/>
            </w:r>
            <w:r w:rsidR="00C5128D" w:rsidRPr="005A0E4E">
              <w:rPr>
                <w:noProof/>
                <w:webHidden/>
              </w:rPr>
              <w:fldChar w:fldCharType="begin"/>
            </w:r>
            <w:r w:rsidR="00C5128D" w:rsidRPr="005A0E4E">
              <w:rPr>
                <w:noProof/>
                <w:webHidden/>
              </w:rPr>
              <w:instrText xml:space="preserve"> PAGEREF _Toc67067473 \h </w:instrText>
            </w:r>
            <w:r w:rsidR="00C5128D" w:rsidRPr="005A0E4E">
              <w:rPr>
                <w:noProof/>
                <w:webHidden/>
              </w:rPr>
            </w:r>
            <w:r w:rsidR="00C5128D" w:rsidRPr="005A0E4E">
              <w:rPr>
                <w:noProof/>
                <w:webHidden/>
              </w:rPr>
              <w:fldChar w:fldCharType="separate"/>
            </w:r>
            <w:r w:rsidR="00085D64">
              <w:rPr>
                <w:noProof/>
                <w:webHidden/>
              </w:rPr>
              <w:t>7</w:t>
            </w:r>
            <w:r w:rsidR="00C5128D" w:rsidRPr="005A0E4E">
              <w:rPr>
                <w:noProof/>
                <w:webHidden/>
              </w:rPr>
              <w:fldChar w:fldCharType="end"/>
            </w:r>
          </w:hyperlink>
        </w:p>
        <w:p w14:paraId="1797B39F" w14:textId="22A41170" w:rsidR="00C5128D" w:rsidRPr="005A0E4E" w:rsidRDefault="00F26ECE">
          <w:pPr>
            <w:pStyle w:val="TOC3"/>
            <w:tabs>
              <w:tab w:val="right" w:leader="dot" w:pos="10195"/>
            </w:tabs>
            <w:rPr>
              <w:rFonts w:asciiTheme="minorHAnsi" w:eastAsiaTheme="minorEastAsia" w:hAnsiTheme="minorHAnsi" w:cstheme="minorBidi"/>
              <w:noProof/>
              <w:lang w:eastAsia="en-GB"/>
            </w:rPr>
          </w:pPr>
          <w:hyperlink w:anchor="_Toc67067474" w:history="1">
            <w:r w:rsidR="00C5128D" w:rsidRPr="005A0E4E">
              <w:rPr>
                <w:rStyle w:val="Hyperlink"/>
                <w:rFonts w:eastAsia="SimSun"/>
                <w:noProof/>
              </w:rPr>
              <w:t>3 Impact on carbon budgets of uncertainty in emissions projections</w:t>
            </w:r>
            <w:r w:rsidR="00C5128D" w:rsidRPr="005A0E4E">
              <w:rPr>
                <w:noProof/>
                <w:webHidden/>
              </w:rPr>
              <w:tab/>
            </w:r>
            <w:r w:rsidR="00C5128D" w:rsidRPr="005A0E4E">
              <w:rPr>
                <w:noProof/>
                <w:webHidden/>
              </w:rPr>
              <w:fldChar w:fldCharType="begin"/>
            </w:r>
            <w:r w:rsidR="00C5128D" w:rsidRPr="005A0E4E">
              <w:rPr>
                <w:noProof/>
                <w:webHidden/>
              </w:rPr>
              <w:instrText xml:space="preserve"> PAGEREF _Toc67067474 \h </w:instrText>
            </w:r>
            <w:r w:rsidR="00C5128D" w:rsidRPr="005A0E4E">
              <w:rPr>
                <w:noProof/>
                <w:webHidden/>
              </w:rPr>
            </w:r>
            <w:r w:rsidR="00C5128D" w:rsidRPr="005A0E4E">
              <w:rPr>
                <w:noProof/>
                <w:webHidden/>
              </w:rPr>
              <w:fldChar w:fldCharType="separate"/>
            </w:r>
            <w:r w:rsidR="00085D64">
              <w:rPr>
                <w:noProof/>
                <w:webHidden/>
              </w:rPr>
              <w:t>8</w:t>
            </w:r>
            <w:r w:rsidR="00C5128D" w:rsidRPr="005A0E4E">
              <w:rPr>
                <w:noProof/>
                <w:webHidden/>
              </w:rPr>
              <w:fldChar w:fldCharType="end"/>
            </w:r>
          </w:hyperlink>
        </w:p>
        <w:p w14:paraId="31D28EFD" w14:textId="5A1364F6" w:rsidR="00C5128D" w:rsidRPr="005A0E4E" w:rsidRDefault="00F26ECE">
          <w:pPr>
            <w:pStyle w:val="TOC3"/>
            <w:tabs>
              <w:tab w:val="right" w:leader="dot" w:pos="10195"/>
            </w:tabs>
            <w:rPr>
              <w:rFonts w:asciiTheme="minorHAnsi" w:eastAsiaTheme="minorEastAsia" w:hAnsiTheme="minorHAnsi" w:cstheme="minorBidi"/>
              <w:noProof/>
              <w:lang w:eastAsia="en-GB"/>
            </w:rPr>
          </w:pPr>
          <w:hyperlink w:anchor="_Toc67067475" w:history="1">
            <w:r w:rsidR="00C5128D" w:rsidRPr="005A0E4E">
              <w:rPr>
                <w:rStyle w:val="Hyperlink"/>
                <w:rFonts w:eastAsia="SimSun"/>
                <w:noProof/>
              </w:rPr>
              <w:t>4Review of the third carbon budget credit limit</w:t>
            </w:r>
            <w:r w:rsidR="00C5128D" w:rsidRPr="005A0E4E">
              <w:rPr>
                <w:noProof/>
                <w:webHidden/>
              </w:rPr>
              <w:tab/>
            </w:r>
            <w:r w:rsidR="00C5128D" w:rsidRPr="005A0E4E">
              <w:rPr>
                <w:noProof/>
                <w:webHidden/>
              </w:rPr>
              <w:fldChar w:fldCharType="begin"/>
            </w:r>
            <w:r w:rsidR="00C5128D" w:rsidRPr="005A0E4E">
              <w:rPr>
                <w:noProof/>
                <w:webHidden/>
              </w:rPr>
              <w:instrText xml:space="preserve"> PAGEREF _Toc67067475 \h </w:instrText>
            </w:r>
            <w:r w:rsidR="00C5128D" w:rsidRPr="005A0E4E">
              <w:rPr>
                <w:noProof/>
                <w:webHidden/>
              </w:rPr>
            </w:r>
            <w:r w:rsidR="00C5128D" w:rsidRPr="005A0E4E">
              <w:rPr>
                <w:noProof/>
                <w:webHidden/>
              </w:rPr>
              <w:fldChar w:fldCharType="separate"/>
            </w:r>
            <w:r w:rsidR="00085D64">
              <w:rPr>
                <w:noProof/>
                <w:webHidden/>
              </w:rPr>
              <w:t>10</w:t>
            </w:r>
            <w:r w:rsidR="00C5128D" w:rsidRPr="005A0E4E">
              <w:rPr>
                <w:noProof/>
                <w:webHidden/>
              </w:rPr>
              <w:fldChar w:fldCharType="end"/>
            </w:r>
          </w:hyperlink>
        </w:p>
        <w:p w14:paraId="75C44A89" w14:textId="02EE86D8" w:rsidR="00C5128D" w:rsidRPr="005A0E4E" w:rsidRDefault="00F26ECE">
          <w:pPr>
            <w:pStyle w:val="TOC2"/>
            <w:tabs>
              <w:tab w:val="right" w:leader="dot" w:pos="10195"/>
            </w:tabs>
            <w:rPr>
              <w:rFonts w:asciiTheme="minorHAnsi" w:eastAsiaTheme="minorEastAsia" w:hAnsiTheme="minorHAnsi" w:cstheme="minorBidi"/>
              <w:noProof/>
              <w:lang w:eastAsia="en-GB"/>
            </w:rPr>
          </w:pPr>
          <w:hyperlink w:anchor="_Toc67067476" w:history="1">
            <w:r w:rsidR="00C5128D" w:rsidRPr="005A0E4E">
              <w:rPr>
                <w:rStyle w:val="Hyperlink"/>
                <w:rFonts w:eastAsia="SimSun"/>
                <w:noProof/>
              </w:rPr>
              <w:t>PART B: ASSESSMENT OF OPTIONS</w:t>
            </w:r>
            <w:r w:rsidR="00C5128D" w:rsidRPr="005A0E4E">
              <w:rPr>
                <w:noProof/>
                <w:webHidden/>
              </w:rPr>
              <w:tab/>
            </w:r>
            <w:r w:rsidR="00C5128D" w:rsidRPr="005A0E4E">
              <w:rPr>
                <w:noProof/>
                <w:webHidden/>
              </w:rPr>
              <w:fldChar w:fldCharType="begin"/>
            </w:r>
            <w:r w:rsidR="00C5128D" w:rsidRPr="005A0E4E">
              <w:rPr>
                <w:noProof/>
                <w:webHidden/>
              </w:rPr>
              <w:instrText xml:space="preserve"> PAGEREF _Toc67067476 \h </w:instrText>
            </w:r>
            <w:r w:rsidR="00C5128D" w:rsidRPr="005A0E4E">
              <w:rPr>
                <w:noProof/>
                <w:webHidden/>
              </w:rPr>
            </w:r>
            <w:r w:rsidR="00C5128D" w:rsidRPr="005A0E4E">
              <w:rPr>
                <w:noProof/>
                <w:webHidden/>
              </w:rPr>
              <w:fldChar w:fldCharType="separate"/>
            </w:r>
            <w:r w:rsidR="00085D64">
              <w:rPr>
                <w:noProof/>
                <w:webHidden/>
              </w:rPr>
              <w:t>10</w:t>
            </w:r>
            <w:r w:rsidR="00C5128D" w:rsidRPr="005A0E4E">
              <w:rPr>
                <w:noProof/>
                <w:webHidden/>
              </w:rPr>
              <w:fldChar w:fldCharType="end"/>
            </w:r>
          </w:hyperlink>
        </w:p>
        <w:p w14:paraId="066C66AE" w14:textId="0BB2F3F0" w:rsidR="00C5128D" w:rsidRPr="005A0E4E" w:rsidRDefault="00F26ECE">
          <w:pPr>
            <w:pStyle w:val="TOC3"/>
            <w:tabs>
              <w:tab w:val="right" w:leader="dot" w:pos="10195"/>
            </w:tabs>
            <w:rPr>
              <w:rFonts w:asciiTheme="minorHAnsi" w:eastAsiaTheme="minorEastAsia" w:hAnsiTheme="minorHAnsi" w:cstheme="minorBidi"/>
              <w:noProof/>
              <w:lang w:eastAsia="en-GB"/>
            </w:rPr>
          </w:pPr>
          <w:hyperlink w:anchor="_Toc67067477" w:history="1">
            <w:r w:rsidR="00C5128D" w:rsidRPr="005A0E4E">
              <w:rPr>
                <w:rStyle w:val="Hyperlink"/>
                <w:rFonts w:eastAsia="SimSun"/>
                <w:noProof/>
              </w:rPr>
              <w:t>6 Impact of cost of complying with domestic carbon targets</w:t>
            </w:r>
            <w:r w:rsidR="00C5128D" w:rsidRPr="005A0E4E">
              <w:rPr>
                <w:noProof/>
                <w:webHidden/>
              </w:rPr>
              <w:tab/>
            </w:r>
            <w:r w:rsidR="00C5128D" w:rsidRPr="005A0E4E">
              <w:rPr>
                <w:noProof/>
                <w:webHidden/>
              </w:rPr>
              <w:fldChar w:fldCharType="begin"/>
            </w:r>
            <w:r w:rsidR="00C5128D" w:rsidRPr="005A0E4E">
              <w:rPr>
                <w:noProof/>
                <w:webHidden/>
              </w:rPr>
              <w:instrText xml:space="preserve"> PAGEREF _Toc67067477 \h </w:instrText>
            </w:r>
            <w:r w:rsidR="00C5128D" w:rsidRPr="005A0E4E">
              <w:rPr>
                <w:noProof/>
                <w:webHidden/>
              </w:rPr>
            </w:r>
            <w:r w:rsidR="00C5128D" w:rsidRPr="005A0E4E">
              <w:rPr>
                <w:noProof/>
                <w:webHidden/>
              </w:rPr>
              <w:fldChar w:fldCharType="separate"/>
            </w:r>
            <w:r w:rsidR="00085D64">
              <w:rPr>
                <w:noProof/>
                <w:webHidden/>
              </w:rPr>
              <w:t>10</w:t>
            </w:r>
            <w:r w:rsidR="00C5128D" w:rsidRPr="005A0E4E">
              <w:rPr>
                <w:noProof/>
                <w:webHidden/>
              </w:rPr>
              <w:fldChar w:fldCharType="end"/>
            </w:r>
          </w:hyperlink>
        </w:p>
        <w:p w14:paraId="07ABCCE6" w14:textId="4D5CCAEC" w:rsidR="00C5128D" w:rsidRPr="005A0E4E" w:rsidRDefault="00F26ECE">
          <w:pPr>
            <w:pStyle w:val="TOC3"/>
            <w:tabs>
              <w:tab w:val="left" w:pos="880"/>
              <w:tab w:val="right" w:leader="dot" w:pos="10195"/>
            </w:tabs>
            <w:rPr>
              <w:rFonts w:asciiTheme="minorHAnsi" w:eastAsiaTheme="minorEastAsia" w:hAnsiTheme="minorHAnsi" w:cstheme="minorBidi"/>
              <w:noProof/>
              <w:lang w:eastAsia="en-GB"/>
            </w:rPr>
          </w:pPr>
          <w:hyperlink w:anchor="_Toc67067478" w:history="1">
            <w:r w:rsidR="00C5128D" w:rsidRPr="005A0E4E">
              <w:rPr>
                <w:rStyle w:val="Hyperlink"/>
                <w:rFonts w:eastAsia="SimSun"/>
                <w:noProof/>
              </w:rPr>
              <w:t>7</w:t>
            </w:r>
            <w:r w:rsidR="00C5128D" w:rsidRPr="005A0E4E">
              <w:rPr>
                <w:rFonts w:asciiTheme="minorHAnsi" w:eastAsiaTheme="minorEastAsia" w:hAnsiTheme="minorHAnsi" w:cstheme="minorBidi"/>
                <w:noProof/>
                <w:lang w:eastAsia="en-GB"/>
              </w:rPr>
              <w:tab/>
            </w:r>
            <w:r w:rsidR="00C5128D" w:rsidRPr="005A0E4E">
              <w:rPr>
                <w:rStyle w:val="Hyperlink"/>
                <w:rFonts w:eastAsia="SimSun"/>
                <w:noProof/>
              </w:rPr>
              <w:t>Wider impacts</w:t>
            </w:r>
            <w:r w:rsidR="00C5128D" w:rsidRPr="005A0E4E">
              <w:rPr>
                <w:noProof/>
                <w:webHidden/>
              </w:rPr>
              <w:tab/>
            </w:r>
            <w:r w:rsidR="00C5128D" w:rsidRPr="005A0E4E">
              <w:rPr>
                <w:noProof/>
                <w:webHidden/>
              </w:rPr>
              <w:fldChar w:fldCharType="begin"/>
            </w:r>
            <w:r w:rsidR="00C5128D" w:rsidRPr="005A0E4E">
              <w:rPr>
                <w:noProof/>
                <w:webHidden/>
              </w:rPr>
              <w:instrText xml:space="preserve"> PAGEREF _Toc67067478 \h </w:instrText>
            </w:r>
            <w:r w:rsidR="00C5128D" w:rsidRPr="005A0E4E">
              <w:rPr>
                <w:noProof/>
                <w:webHidden/>
              </w:rPr>
            </w:r>
            <w:r w:rsidR="00C5128D" w:rsidRPr="005A0E4E">
              <w:rPr>
                <w:noProof/>
                <w:webHidden/>
              </w:rPr>
              <w:fldChar w:fldCharType="separate"/>
            </w:r>
            <w:r w:rsidR="00085D64">
              <w:rPr>
                <w:noProof/>
                <w:webHidden/>
              </w:rPr>
              <w:t>13</w:t>
            </w:r>
            <w:r w:rsidR="00C5128D" w:rsidRPr="005A0E4E">
              <w:rPr>
                <w:noProof/>
                <w:webHidden/>
              </w:rPr>
              <w:fldChar w:fldCharType="end"/>
            </w:r>
          </w:hyperlink>
        </w:p>
        <w:p w14:paraId="64E0430F" w14:textId="1AD2D6CC" w:rsidR="00C5128D" w:rsidRPr="005A0E4E" w:rsidRDefault="00F26ECE">
          <w:pPr>
            <w:pStyle w:val="TOC3"/>
            <w:tabs>
              <w:tab w:val="right" w:leader="dot" w:pos="10195"/>
            </w:tabs>
            <w:rPr>
              <w:rFonts w:asciiTheme="minorHAnsi" w:eastAsiaTheme="minorEastAsia" w:hAnsiTheme="minorHAnsi" w:cstheme="minorBidi"/>
              <w:noProof/>
              <w:lang w:eastAsia="en-GB"/>
            </w:rPr>
          </w:pPr>
          <w:hyperlink w:anchor="_Toc67067479" w:history="1">
            <w:r w:rsidR="00C5128D" w:rsidRPr="005A0E4E">
              <w:rPr>
                <w:rStyle w:val="Hyperlink"/>
                <w:rFonts w:eastAsia="SimSun"/>
                <w:noProof/>
              </w:rPr>
              <w:t>8 Impact on businesses and trade</w:t>
            </w:r>
            <w:r w:rsidR="00C5128D" w:rsidRPr="005A0E4E">
              <w:rPr>
                <w:noProof/>
                <w:webHidden/>
              </w:rPr>
              <w:tab/>
            </w:r>
            <w:r w:rsidR="00C5128D" w:rsidRPr="005A0E4E">
              <w:rPr>
                <w:noProof/>
                <w:webHidden/>
              </w:rPr>
              <w:fldChar w:fldCharType="begin"/>
            </w:r>
            <w:r w:rsidR="00C5128D" w:rsidRPr="005A0E4E">
              <w:rPr>
                <w:noProof/>
                <w:webHidden/>
              </w:rPr>
              <w:instrText xml:space="preserve"> PAGEREF _Toc67067479 \h </w:instrText>
            </w:r>
            <w:r w:rsidR="00C5128D" w:rsidRPr="005A0E4E">
              <w:rPr>
                <w:noProof/>
                <w:webHidden/>
              </w:rPr>
            </w:r>
            <w:r w:rsidR="00C5128D" w:rsidRPr="005A0E4E">
              <w:rPr>
                <w:noProof/>
                <w:webHidden/>
              </w:rPr>
              <w:fldChar w:fldCharType="separate"/>
            </w:r>
            <w:r w:rsidR="00085D64">
              <w:rPr>
                <w:noProof/>
                <w:webHidden/>
              </w:rPr>
              <w:t>14</w:t>
            </w:r>
            <w:r w:rsidR="00C5128D" w:rsidRPr="005A0E4E">
              <w:rPr>
                <w:noProof/>
                <w:webHidden/>
              </w:rPr>
              <w:fldChar w:fldCharType="end"/>
            </w:r>
          </w:hyperlink>
        </w:p>
        <w:p w14:paraId="0A797670" w14:textId="4B6737B6" w:rsidR="00C5128D" w:rsidRPr="005A0E4E" w:rsidRDefault="00F26ECE">
          <w:pPr>
            <w:pStyle w:val="TOC3"/>
            <w:tabs>
              <w:tab w:val="right" w:leader="dot" w:pos="10195"/>
            </w:tabs>
            <w:rPr>
              <w:rFonts w:asciiTheme="minorHAnsi" w:eastAsiaTheme="minorEastAsia" w:hAnsiTheme="minorHAnsi" w:cstheme="minorBidi"/>
              <w:noProof/>
              <w:lang w:eastAsia="en-GB"/>
            </w:rPr>
          </w:pPr>
          <w:hyperlink w:anchor="_Toc67067480" w:history="1">
            <w:r w:rsidR="00C5128D" w:rsidRPr="005A0E4E">
              <w:rPr>
                <w:rStyle w:val="Hyperlink"/>
                <w:rFonts w:eastAsia="SimSun"/>
                <w:noProof/>
              </w:rPr>
              <w:t>9 Committee on Climate Change’s recommendation and views of the Devolved Administrations</w:t>
            </w:r>
            <w:r w:rsidR="00C5128D" w:rsidRPr="005A0E4E">
              <w:rPr>
                <w:noProof/>
                <w:webHidden/>
              </w:rPr>
              <w:tab/>
            </w:r>
            <w:r w:rsidR="00C5128D" w:rsidRPr="005A0E4E">
              <w:rPr>
                <w:noProof/>
                <w:webHidden/>
              </w:rPr>
              <w:fldChar w:fldCharType="begin"/>
            </w:r>
            <w:r w:rsidR="00C5128D" w:rsidRPr="005A0E4E">
              <w:rPr>
                <w:noProof/>
                <w:webHidden/>
              </w:rPr>
              <w:instrText xml:space="preserve"> PAGEREF _Toc67067480 \h </w:instrText>
            </w:r>
            <w:r w:rsidR="00C5128D" w:rsidRPr="005A0E4E">
              <w:rPr>
                <w:noProof/>
                <w:webHidden/>
              </w:rPr>
            </w:r>
            <w:r w:rsidR="00C5128D" w:rsidRPr="005A0E4E">
              <w:rPr>
                <w:noProof/>
                <w:webHidden/>
              </w:rPr>
              <w:fldChar w:fldCharType="separate"/>
            </w:r>
            <w:r w:rsidR="00085D64">
              <w:rPr>
                <w:noProof/>
                <w:webHidden/>
              </w:rPr>
              <w:t>14</w:t>
            </w:r>
            <w:r w:rsidR="00C5128D" w:rsidRPr="005A0E4E">
              <w:rPr>
                <w:noProof/>
                <w:webHidden/>
              </w:rPr>
              <w:fldChar w:fldCharType="end"/>
            </w:r>
          </w:hyperlink>
        </w:p>
        <w:p w14:paraId="70C14DF3" w14:textId="5D68C1A8" w:rsidR="00C5128D" w:rsidRPr="005A0E4E" w:rsidRDefault="00F26ECE">
          <w:pPr>
            <w:pStyle w:val="TOC3"/>
            <w:tabs>
              <w:tab w:val="right" w:leader="dot" w:pos="10195"/>
            </w:tabs>
            <w:rPr>
              <w:rFonts w:asciiTheme="minorHAnsi" w:eastAsiaTheme="minorEastAsia" w:hAnsiTheme="minorHAnsi" w:cstheme="minorBidi"/>
              <w:noProof/>
              <w:lang w:eastAsia="en-GB"/>
            </w:rPr>
          </w:pPr>
          <w:hyperlink w:anchor="_Toc67067481" w:history="1">
            <w:r w:rsidR="00C5128D" w:rsidRPr="005A0E4E">
              <w:rPr>
                <w:rStyle w:val="Hyperlink"/>
                <w:rFonts w:eastAsia="SimSun"/>
                <w:noProof/>
              </w:rPr>
              <w:t>10 Assessment of options</w:t>
            </w:r>
            <w:r w:rsidR="00C5128D" w:rsidRPr="005A0E4E">
              <w:rPr>
                <w:noProof/>
                <w:webHidden/>
              </w:rPr>
              <w:tab/>
            </w:r>
            <w:r w:rsidR="00C5128D" w:rsidRPr="005A0E4E">
              <w:rPr>
                <w:noProof/>
                <w:webHidden/>
              </w:rPr>
              <w:fldChar w:fldCharType="begin"/>
            </w:r>
            <w:r w:rsidR="00C5128D" w:rsidRPr="005A0E4E">
              <w:rPr>
                <w:noProof/>
                <w:webHidden/>
              </w:rPr>
              <w:instrText xml:space="preserve"> PAGEREF _Toc67067481 \h </w:instrText>
            </w:r>
            <w:r w:rsidR="00C5128D" w:rsidRPr="005A0E4E">
              <w:rPr>
                <w:noProof/>
                <w:webHidden/>
              </w:rPr>
            </w:r>
            <w:r w:rsidR="00C5128D" w:rsidRPr="005A0E4E">
              <w:rPr>
                <w:noProof/>
                <w:webHidden/>
              </w:rPr>
              <w:fldChar w:fldCharType="separate"/>
            </w:r>
            <w:r w:rsidR="00085D64">
              <w:rPr>
                <w:noProof/>
                <w:webHidden/>
              </w:rPr>
              <w:t>15</w:t>
            </w:r>
            <w:r w:rsidR="00C5128D" w:rsidRPr="005A0E4E">
              <w:rPr>
                <w:noProof/>
                <w:webHidden/>
              </w:rPr>
              <w:fldChar w:fldCharType="end"/>
            </w:r>
          </w:hyperlink>
        </w:p>
        <w:p w14:paraId="42D84403" w14:textId="4E283F6F" w:rsidR="00C5128D" w:rsidRPr="005A0E4E" w:rsidRDefault="00F26ECE">
          <w:pPr>
            <w:pStyle w:val="TOC3"/>
            <w:tabs>
              <w:tab w:val="right" w:leader="dot" w:pos="10195"/>
            </w:tabs>
            <w:rPr>
              <w:rFonts w:asciiTheme="minorHAnsi" w:eastAsiaTheme="minorEastAsia" w:hAnsiTheme="minorHAnsi" w:cstheme="minorBidi"/>
              <w:noProof/>
              <w:lang w:eastAsia="en-GB"/>
            </w:rPr>
          </w:pPr>
          <w:hyperlink w:anchor="_Toc67067482" w:history="1">
            <w:r w:rsidR="00C5128D" w:rsidRPr="005A0E4E">
              <w:rPr>
                <w:rStyle w:val="Hyperlink"/>
                <w:rFonts w:eastAsia="SimSun"/>
                <w:i/>
                <w:noProof/>
              </w:rPr>
              <w:t>Annex 1: Climate Change Act Section 10 Analysis</w:t>
            </w:r>
            <w:r w:rsidR="00C5128D" w:rsidRPr="005A0E4E">
              <w:rPr>
                <w:noProof/>
                <w:webHidden/>
              </w:rPr>
              <w:tab/>
            </w:r>
            <w:r w:rsidR="00C5128D" w:rsidRPr="005A0E4E">
              <w:rPr>
                <w:noProof/>
                <w:webHidden/>
              </w:rPr>
              <w:fldChar w:fldCharType="begin"/>
            </w:r>
            <w:r w:rsidR="00C5128D" w:rsidRPr="005A0E4E">
              <w:rPr>
                <w:noProof/>
                <w:webHidden/>
              </w:rPr>
              <w:instrText xml:space="preserve"> PAGEREF _Toc67067482 \h </w:instrText>
            </w:r>
            <w:r w:rsidR="00C5128D" w:rsidRPr="005A0E4E">
              <w:rPr>
                <w:noProof/>
                <w:webHidden/>
              </w:rPr>
            </w:r>
            <w:r w:rsidR="00C5128D" w:rsidRPr="005A0E4E">
              <w:rPr>
                <w:noProof/>
                <w:webHidden/>
              </w:rPr>
              <w:fldChar w:fldCharType="separate"/>
            </w:r>
            <w:r w:rsidR="00085D64">
              <w:rPr>
                <w:noProof/>
                <w:webHidden/>
              </w:rPr>
              <w:t>16</w:t>
            </w:r>
            <w:r w:rsidR="00C5128D" w:rsidRPr="005A0E4E">
              <w:rPr>
                <w:noProof/>
                <w:webHidden/>
              </w:rPr>
              <w:fldChar w:fldCharType="end"/>
            </w:r>
          </w:hyperlink>
        </w:p>
        <w:p w14:paraId="7DB5EDBE" w14:textId="6DB1B8DF" w:rsidR="00C5128D" w:rsidRPr="005A0E4E" w:rsidRDefault="00F26ECE">
          <w:pPr>
            <w:pStyle w:val="TOC3"/>
            <w:tabs>
              <w:tab w:val="right" w:leader="dot" w:pos="10195"/>
            </w:tabs>
            <w:rPr>
              <w:rFonts w:asciiTheme="minorHAnsi" w:eastAsiaTheme="minorEastAsia" w:hAnsiTheme="minorHAnsi" w:cstheme="minorBidi"/>
              <w:noProof/>
              <w:lang w:eastAsia="en-GB"/>
            </w:rPr>
          </w:pPr>
          <w:hyperlink w:anchor="_Toc67067483" w:history="1">
            <w:r w:rsidR="00C5128D" w:rsidRPr="005A0E4E">
              <w:rPr>
                <w:rStyle w:val="Hyperlink"/>
                <w:rFonts w:eastAsia="SimSun"/>
                <w:i/>
                <w:noProof/>
              </w:rPr>
              <w:t>Annex 2: Outline of relevant modelling</w:t>
            </w:r>
            <w:r w:rsidR="00C5128D" w:rsidRPr="005A0E4E">
              <w:rPr>
                <w:noProof/>
                <w:webHidden/>
              </w:rPr>
              <w:tab/>
            </w:r>
            <w:r w:rsidR="00C5128D" w:rsidRPr="005A0E4E">
              <w:rPr>
                <w:noProof/>
                <w:webHidden/>
              </w:rPr>
              <w:fldChar w:fldCharType="begin"/>
            </w:r>
            <w:r w:rsidR="00C5128D" w:rsidRPr="005A0E4E">
              <w:rPr>
                <w:noProof/>
                <w:webHidden/>
              </w:rPr>
              <w:instrText xml:space="preserve"> PAGEREF _Toc67067483 \h </w:instrText>
            </w:r>
            <w:r w:rsidR="00C5128D" w:rsidRPr="005A0E4E">
              <w:rPr>
                <w:noProof/>
                <w:webHidden/>
              </w:rPr>
            </w:r>
            <w:r w:rsidR="00C5128D" w:rsidRPr="005A0E4E">
              <w:rPr>
                <w:noProof/>
                <w:webHidden/>
              </w:rPr>
              <w:fldChar w:fldCharType="separate"/>
            </w:r>
            <w:r w:rsidR="00085D64">
              <w:rPr>
                <w:noProof/>
                <w:webHidden/>
              </w:rPr>
              <w:t>18</w:t>
            </w:r>
            <w:r w:rsidR="00C5128D" w:rsidRPr="005A0E4E">
              <w:rPr>
                <w:noProof/>
                <w:webHidden/>
              </w:rPr>
              <w:fldChar w:fldCharType="end"/>
            </w:r>
          </w:hyperlink>
        </w:p>
        <w:p w14:paraId="3B597D24" w14:textId="2AFD38D5" w:rsidR="00C5128D" w:rsidRDefault="00C5128D">
          <w:r w:rsidRPr="005A0E4E">
            <w:rPr>
              <w:b/>
              <w:bCs/>
              <w:noProof/>
            </w:rPr>
            <w:fldChar w:fldCharType="end"/>
          </w:r>
        </w:p>
      </w:sdtContent>
    </w:sdt>
    <w:p w14:paraId="51EC5303" w14:textId="77777777" w:rsidR="00BE0BDD" w:rsidRPr="00BE0BDD" w:rsidRDefault="00BE0BDD" w:rsidP="00BE0BDD"/>
    <w:p w14:paraId="233A8962" w14:textId="55519636" w:rsidR="00D64409" w:rsidRDefault="006C117F" w:rsidP="00A549AF">
      <w:pPr>
        <w:pStyle w:val="Heading2"/>
        <w:rPr>
          <w:b w:val="0"/>
        </w:rPr>
      </w:pPr>
      <w:bookmarkStart w:id="53" w:name="_Toc67067470"/>
      <w:r>
        <w:rPr>
          <w:b w:val="0"/>
        </w:rPr>
        <w:t>Executive summary</w:t>
      </w:r>
      <w:bookmarkEnd w:id="53"/>
    </w:p>
    <w:p w14:paraId="11131F52" w14:textId="27FA340F" w:rsidR="002B0C7C" w:rsidRPr="006A66B4" w:rsidRDefault="002B0C7C" w:rsidP="009E3FE8">
      <w:pPr>
        <w:pStyle w:val="EBBodyPara"/>
        <w:numPr>
          <w:ilvl w:val="0"/>
          <w:numId w:val="7"/>
        </w:numPr>
      </w:pPr>
      <w:r>
        <w:rPr>
          <w:rFonts w:ascii="Helvetica" w:hAnsi="Helvetica" w:cs="Helvetica"/>
        </w:rPr>
        <w:t xml:space="preserve">The fourth carbon budget sets a limit on the UK’s net amount of greenhouse gas (GHG) emissions between 2023 and 2027. </w:t>
      </w:r>
      <w:r w:rsidR="00250975">
        <w:rPr>
          <w:rFonts w:ascii="Helvetica" w:hAnsi="Helvetica" w:cs="Helvetica"/>
        </w:rPr>
        <w:t xml:space="preserve">The 2008 Climate Change Act (”the Act”) requires the </w:t>
      </w:r>
      <w:r w:rsidR="002F3529">
        <w:rPr>
          <w:rFonts w:ascii="Helvetica" w:hAnsi="Helvetica" w:cs="Helvetica"/>
        </w:rPr>
        <w:t>g</w:t>
      </w:r>
      <w:r w:rsidR="00250975">
        <w:rPr>
          <w:rFonts w:ascii="Helvetica" w:hAnsi="Helvetica" w:cs="Helvetica"/>
        </w:rPr>
        <w:t>overnment to place a limit on the quantity of international carbon units (“credits”) that can be used to meet the budget.</w:t>
      </w:r>
      <w:r w:rsidR="00F35CF9" w:rsidRPr="00F35CF9">
        <w:t xml:space="preserve"> </w:t>
      </w:r>
      <w:r w:rsidR="00F35CF9" w:rsidRPr="002871D8">
        <w:t>The credit limit must be set in secondary legislation by 30 June 2021.</w:t>
      </w:r>
      <w:r w:rsidR="00250975">
        <w:rPr>
          <w:rFonts w:ascii="Helvetica" w:hAnsi="Helvetica" w:cs="Helvetica"/>
        </w:rPr>
        <w:t xml:space="preserve"> </w:t>
      </w:r>
      <w:r>
        <w:rPr>
          <w:rFonts w:ascii="Helvetica" w:hAnsi="Helvetica" w:cs="Helvetica"/>
        </w:rPr>
        <w:t xml:space="preserve">The level of the carbon budget is set at </w:t>
      </w:r>
      <w:r w:rsidR="008F02BD" w:rsidRPr="008F02BD">
        <w:rPr>
          <w:rFonts w:ascii="Helvetica" w:hAnsi="Helvetica" w:cs="Helvetica"/>
        </w:rPr>
        <w:t>1</w:t>
      </w:r>
      <w:r w:rsidR="008F02BD">
        <w:rPr>
          <w:rFonts w:ascii="Helvetica" w:hAnsi="Helvetica" w:cs="Helvetica"/>
        </w:rPr>
        <w:t>,</w:t>
      </w:r>
      <w:r w:rsidR="008F02BD" w:rsidRPr="008F02BD">
        <w:rPr>
          <w:rFonts w:ascii="Helvetica" w:hAnsi="Helvetica" w:cs="Helvetica"/>
        </w:rPr>
        <w:t>950</w:t>
      </w:r>
      <w:r w:rsidR="008F02BD">
        <w:rPr>
          <w:rFonts w:ascii="Helvetica" w:hAnsi="Helvetica" w:cs="Helvetica"/>
        </w:rPr>
        <w:t xml:space="preserve"> </w:t>
      </w:r>
      <w:r>
        <w:rPr>
          <w:rFonts w:ascii="Helvetica" w:hAnsi="Helvetica" w:cs="Helvetica"/>
        </w:rPr>
        <w:t>million tonnes of carbon dioxide equivalent (MtCO</w:t>
      </w:r>
      <w:r>
        <w:rPr>
          <w:rFonts w:ascii="Helvetica" w:hAnsi="Helvetica" w:cs="Helvetica"/>
          <w:sz w:val="14"/>
          <w:szCs w:val="14"/>
        </w:rPr>
        <w:t>2</w:t>
      </w:r>
      <w:r>
        <w:rPr>
          <w:rFonts w:ascii="Helvetica" w:hAnsi="Helvetica" w:cs="Helvetica"/>
        </w:rPr>
        <w:t xml:space="preserve">e). In </w:t>
      </w:r>
      <w:r w:rsidR="003F5E09">
        <w:rPr>
          <w:rFonts w:ascii="Helvetica" w:hAnsi="Helvetica" w:cs="Helvetica"/>
        </w:rPr>
        <w:t>20</w:t>
      </w:r>
      <w:r w:rsidR="00F40291">
        <w:rPr>
          <w:rFonts w:ascii="Helvetica" w:hAnsi="Helvetica" w:cs="Helvetica"/>
        </w:rPr>
        <w:t>16</w:t>
      </w:r>
      <w:r>
        <w:rPr>
          <w:rFonts w:ascii="Helvetica" w:hAnsi="Helvetica" w:cs="Helvetica"/>
        </w:rPr>
        <w:t>, the Government set a credit limit of 55 MtCO</w:t>
      </w:r>
      <w:r>
        <w:rPr>
          <w:rFonts w:ascii="Helvetica" w:hAnsi="Helvetica" w:cs="Helvetica"/>
          <w:sz w:val="14"/>
          <w:szCs w:val="14"/>
        </w:rPr>
        <w:t>2</w:t>
      </w:r>
      <w:r>
        <w:rPr>
          <w:rFonts w:ascii="Helvetica" w:hAnsi="Helvetica" w:cs="Helvetica"/>
        </w:rPr>
        <w:t xml:space="preserve">e for the </w:t>
      </w:r>
      <w:r w:rsidR="00F40291">
        <w:rPr>
          <w:rFonts w:ascii="Helvetica" w:hAnsi="Helvetica" w:cs="Helvetica"/>
        </w:rPr>
        <w:t>third</w:t>
      </w:r>
      <w:r>
        <w:rPr>
          <w:rFonts w:ascii="Helvetica" w:hAnsi="Helvetica" w:cs="Helvetica"/>
        </w:rPr>
        <w:t xml:space="preserve"> carbon budget period covering </w:t>
      </w:r>
      <w:r w:rsidR="00F40291">
        <w:rPr>
          <w:rFonts w:ascii="Helvetica" w:hAnsi="Helvetica" w:cs="Helvetica"/>
        </w:rPr>
        <w:t>2018-2022</w:t>
      </w:r>
      <w:r w:rsidR="00315B52">
        <w:rPr>
          <w:rFonts w:ascii="Helvetica" w:hAnsi="Helvetica" w:cs="Helvetica"/>
        </w:rPr>
        <w:t>. T</w:t>
      </w:r>
      <w:r w:rsidR="00D5090E">
        <w:rPr>
          <w:rFonts w:ascii="Helvetica" w:hAnsi="Helvetica" w:cs="Helvetica"/>
        </w:rPr>
        <w:t xml:space="preserve">he credit limit </w:t>
      </w:r>
      <w:r w:rsidR="00315B52">
        <w:rPr>
          <w:rFonts w:ascii="Helvetica" w:hAnsi="Helvetica" w:cs="Helvetica"/>
        </w:rPr>
        <w:t xml:space="preserve">set in 2011 </w:t>
      </w:r>
      <w:r w:rsidR="00D5090E">
        <w:rPr>
          <w:rFonts w:ascii="Helvetica" w:hAnsi="Helvetica" w:cs="Helvetica"/>
        </w:rPr>
        <w:t>for the second carbon budget covering 2013-2017 was also 55 MtCO</w:t>
      </w:r>
      <w:r w:rsidR="00D5090E">
        <w:rPr>
          <w:rFonts w:ascii="Helvetica" w:hAnsi="Helvetica" w:cs="Helvetica"/>
          <w:sz w:val="14"/>
          <w:szCs w:val="14"/>
        </w:rPr>
        <w:t>2</w:t>
      </w:r>
      <w:r w:rsidR="00D5090E">
        <w:rPr>
          <w:rFonts w:ascii="Helvetica" w:hAnsi="Helvetica" w:cs="Helvetica"/>
        </w:rPr>
        <w:t xml:space="preserve">e. </w:t>
      </w:r>
    </w:p>
    <w:p w14:paraId="72835CCE" w14:textId="1E3A6E8A" w:rsidR="00BE2808" w:rsidRPr="00EB3574" w:rsidRDefault="007A5136" w:rsidP="007A5136">
      <w:pPr>
        <w:pStyle w:val="EBBodyPara"/>
        <w:numPr>
          <w:ilvl w:val="0"/>
          <w:numId w:val="7"/>
        </w:numPr>
      </w:pPr>
      <w:r w:rsidRPr="6ACCA01D">
        <w:rPr>
          <w:rFonts w:ascii="Helvetica" w:hAnsi="Helvetica" w:cs="Helvetica"/>
        </w:rPr>
        <w:t xml:space="preserve">In setting the limit, the </w:t>
      </w:r>
      <w:r w:rsidR="002F3529">
        <w:rPr>
          <w:rFonts w:ascii="Helvetica" w:hAnsi="Helvetica" w:cs="Helvetica"/>
        </w:rPr>
        <w:t>g</w:t>
      </w:r>
      <w:r w:rsidRPr="6ACCA01D">
        <w:rPr>
          <w:rFonts w:ascii="Helvetica" w:hAnsi="Helvetica" w:cs="Helvetica"/>
        </w:rPr>
        <w:t xml:space="preserve">overnment is required </w:t>
      </w:r>
      <w:r w:rsidR="00AD56C8">
        <w:rPr>
          <w:rFonts w:ascii="Helvetica" w:hAnsi="Helvetica" w:cs="Helvetica"/>
        </w:rPr>
        <w:t xml:space="preserve">under Section 10 of the Climate Change Act </w:t>
      </w:r>
      <w:r w:rsidRPr="6ACCA01D">
        <w:rPr>
          <w:rFonts w:ascii="Helvetica" w:hAnsi="Helvetica" w:cs="Helvetica"/>
        </w:rPr>
        <w:t xml:space="preserve">to take into account advice from the Climate Change </w:t>
      </w:r>
      <w:r w:rsidR="0035178E">
        <w:rPr>
          <w:rFonts w:ascii="Helvetica" w:hAnsi="Helvetica" w:cs="Helvetica"/>
        </w:rPr>
        <w:t xml:space="preserve">Committee </w:t>
      </w:r>
      <w:r w:rsidRPr="6ACCA01D">
        <w:rPr>
          <w:rFonts w:ascii="Helvetica" w:hAnsi="Helvetica" w:cs="Helvetica"/>
        </w:rPr>
        <w:t>(CCC)</w:t>
      </w:r>
      <w:r w:rsidR="001D3ED8">
        <w:rPr>
          <w:rFonts w:ascii="Helvetica" w:hAnsi="Helvetica" w:cs="Helvetica"/>
        </w:rPr>
        <w:t xml:space="preserve"> and Dev</w:t>
      </w:r>
      <w:r w:rsidR="000B23E6">
        <w:rPr>
          <w:rFonts w:ascii="Helvetica" w:hAnsi="Helvetica" w:cs="Helvetica"/>
        </w:rPr>
        <w:t>olved Administrations (DAs)</w:t>
      </w:r>
      <w:r w:rsidRPr="6ACCA01D">
        <w:rPr>
          <w:rFonts w:ascii="Helvetica" w:hAnsi="Helvetica" w:cs="Helvetica"/>
        </w:rPr>
        <w:t xml:space="preserve">. </w:t>
      </w:r>
      <w:r w:rsidR="007467E0">
        <w:rPr>
          <w:rFonts w:ascii="Helvetica" w:hAnsi="Helvetica" w:cs="Helvetica"/>
        </w:rPr>
        <w:t>The</w:t>
      </w:r>
      <w:r w:rsidRPr="6ACCA01D">
        <w:rPr>
          <w:rFonts w:ascii="Helvetica" w:hAnsi="Helvetica" w:cs="Helvetica"/>
        </w:rPr>
        <w:t xml:space="preserve"> </w:t>
      </w:r>
      <w:r w:rsidR="00452337">
        <w:rPr>
          <w:rFonts w:ascii="Helvetica" w:hAnsi="Helvetica" w:cs="Helvetica"/>
        </w:rPr>
        <w:t xml:space="preserve">CCC has advised </w:t>
      </w:r>
      <w:r w:rsidR="009730A3">
        <w:rPr>
          <w:rFonts w:ascii="Helvetica" w:hAnsi="Helvetica" w:cs="Helvetica"/>
        </w:rPr>
        <w:t xml:space="preserve">that a zero limit should be set on the use of international credits. </w:t>
      </w:r>
      <w:r w:rsidR="00AF0E5D">
        <w:rPr>
          <w:rFonts w:ascii="Helvetica" w:hAnsi="Helvetica" w:cs="Helvetica"/>
        </w:rPr>
        <w:t xml:space="preserve">The Scottish Government </w:t>
      </w:r>
      <w:r w:rsidR="003F7331">
        <w:rPr>
          <w:rFonts w:ascii="Helvetica" w:hAnsi="Helvetica" w:cs="Helvetica"/>
        </w:rPr>
        <w:t>would support the adoption of a zero limit</w:t>
      </w:r>
      <w:r w:rsidR="00543AA8">
        <w:rPr>
          <w:rFonts w:ascii="Helvetica" w:hAnsi="Helvetica" w:cs="Helvetica"/>
        </w:rPr>
        <w:t>. T</w:t>
      </w:r>
      <w:r w:rsidR="0036122A">
        <w:rPr>
          <w:rFonts w:ascii="Helvetica" w:hAnsi="Helvetica" w:cs="Helvetica"/>
        </w:rPr>
        <w:t xml:space="preserve">he Welsh Government and </w:t>
      </w:r>
      <w:r w:rsidR="006062A5">
        <w:rPr>
          <w:rFonts w:ascii="Helvetica" w:hAnsi="Helvetica" w:cs="Helvetica"/>
        </w:rPr>
        <w:t xml:space="preserve">Northern Ireland Executive stated that </w:t>
      </w:r>
      <w:r w:rsidR="00543AA8">
        <w:rPr>
          <w:rFonts w:ascii="Helvetica" w:hAnsi="Helvetica" w:cs="Helvetica"/>
        </w:rPr>
        <w:t>in an ideal scenario a zero limit would be adopted, although</w:t>
      </w:r>
      <w:r w:rsidR="00A9552B">
        <w:rPr>
          <w:rFonts w:ascii="Helvetica" w:hAnsi="Helvetica" w:cs="Helvetica"/>
        </w:rPr>
        <w:t xml:space="preserve"> both noted that circumstances outside the government’s control could warrant a </w:t>
      </w:r>
      <w:r w:rsidR="003A1ECF">
        <w:rPr>
          <w:rFonts w:ascii="Helvetica" w:hAnsi="Helvetica" w:cs="Helvetica"/>
        </w:rPr>
        <w:t>small</w:t>
      </w:r>
      <w:r w:rsidR="002F3CF4">
        <w:rPr>
          <w:rFonts w:ascii="Helvetica" w:hAnsi="Helvetica" w:cs="Helvetica"/>
        </w:rPr>
        <w:t xml:space="preserve"> positive limit as a</w:t>
      </w:r>
      <w:r w:rsidR="003A1ECF">
        <w:rPr>
          <w:rFonts w:ascii="Helvetica" w:hAnsi="Helvetica" w:cs="Helvetica"/>
        </w:rPr>
        <w:t xml:space="preserve"> contingency</w:t>
      </w:r>
      <w:r w:rsidR="002F3CF4">
        <w:rPr>
          <w:rFonts w:ascii="Helvetica" w:hAnsi="Helvetica" w:cs="Helvetica"/>
        </w:rPr>
        <w:t>, provided the Government’</w:t>
      </w:r>
      <w:r w:rsidR="00683E6B">
        <w:rPr>
          <w:rFonts w:ascii="Helvetica" w:hAnsi="Helvetica" w:cs="Helvetica"/>
        </w:rPr>
        <w:t>s intention was to meet the budget through domestic action alone and only high quality credits were used.</w:t>
      </w:r>
    </w:p>
    <w:p w14:paraId="363FB4F3" w14:textId="680DE980" w:rsidR="002B0C7C" w:rsidRPr="001D4BD7" w:rsidRDefault="00C210F5" w:rsidP="00DD3BEA">
      <w:pPr>
        <w:pStyle w:val="EBBodyPara"/>
        <w:numPr>
          <w:ilvl w:val="0"/>
          <w:numId w:val="7"/>
        </w:numPr>
      </w:pPr>
      <w:r w:rsidRPr="2C1C8C59">
        <w:rPr>
          <w:rFonts w:ascii="Helvetica" w:hAnsi="Helvetica" w:cs="Helvetica"/>
        </w:rPr>
        <w:t>Whi</w:t>
      </w:r>
      <w:r w:rsidR="5A4A0A3D" w:rsidRPr="2C1C8C59">
        <w:rPr>
          <w:rFonts w:ascii="Helvetica" w:hAnsi="Helvetica" w:cs="Helvetica"/>
        </w:rPr>
        <w:t>l</w:t>
      </w:r>
      <w:r w:rsidRPr="2C1C8C59">
        <w:rPr>
          <w:rFonts w:ascii="Helvetica" w:hAnsi="Helvetica" w:cs="Helvetica"/>
        </w:rPr>
        <w:t>st</w:t>
      </w:r>
      <w:r>
        <w:rPr>
          <w:rFonts w:ascii="Helvetica" w:hAnsi="Helvetica" w:cs="Helvetica"/>
        </w:rPr>
        <w:t xml:space="preserve"> the</w:t>
      </w:r>
      <w:r w:rsidR="00452337" w:rsidRPr="007C7579">
        <w:rPr>
          <w:rFonts w:ascii="Helvetica" w:hAnsi="Helvetica" w:cs="Helvetica"/>
        </w:rPr>
        <w:t xml:space="preserve"> </w:t>
      </w:r>
      <w:r w:rsidR="002F3529">
        <w:rPr>
          <w:rFonts w:ascii="Helvetica" w:hAnsi="Helvetica" w:cs="Helvetica"/>
        </w:rPr>
        <w:t>g</w:t>
      </w:r>
      <w:r w:rsidR="00452337" w:rsidRPr="007C7579">
        <w:rPr>
          <w:rFonts w:ascii="Helvetica" w:hAnsi="Helvetica" w:cs="Helvetica"/>
        </w:rPr>
        <w:t xml:space="preserve">overnment has </w:t>
      </w:r>
      <w:r>
        <w:rPr>
          <w:rFonts w:ascii="Helvetica" w:hAnsi="Helvetica" w:cs="Helvetica"/>
        </w:rPr>
        <w:t xml:space="preserve">not used </w:t>
      </w:r>
      <w:r w:rsidR="00AA4CD0">
        <w:rPr>
          <w:rFonts w:ascii="Helvetica" w:hAnsi="Helvetica" w:cs="Helvetica"/>
        </w:rPr>
        <w:t xml:space="preserve">credits to </w:t>
      </w:r>
      <w:r w:rsidR="00671BB5" w:rsidRPr="005A3D24">
        <w:rPr>
          <w:rFonts w:ascii="Helvetica" w:hAnsi="Helvetica" w:cs="Helvetica"/>
        </w:rPr>
        <w:t xml:space="preserve">meet </w:t>
      </w:r>
      <w:r w:rsidR="00AA4CD0">
        <w:rPr>
          <w:rFonts w:ascii="Helvetica" w:hAnsi="Helvetica" w:cs="Helvetica"/>
        </w:rPr>
        <w:t>the first two</w:t>
      </w:r>
      <w:r w:rsidR="00671BB5" w:rsidRPr="005A3D24">
        <w:rPr>
          <w:rFonts w:ascii="Helvetica" w:hAnsi="Helvetica" w:cs="Helvetica"/>
        </w:rPr>
        <w:t xml:space="preserve"> carbon budgets </w:t>
      </w:r>
      <w:r>
        <w:rPr>
          <w:rFonts w:ascii="Helvetica" w:hAnsi="Helvetica" w:cs="Helvetica"/>
        </w:rPr>
        <w:t xml:space="preserve">it </w:t>
      </w:r>
      <w:r w:rsidR="000633B3" w:rsidRPr="005A3D24">
        <w:rPr>
          <w:rFonts w:ascii="Helvetica" w:hAnsi="Helvetica" w:cs="Helvetica"/>
        </w:rPr>
        <w:t xml:space="preserve">has </w:t>
      </w:r>
      <w:r w:rsidR="007C7579" w:rsidRPr="007C7579">
        <w:rPr>
          <w:rFonts w:ascii="Helvetica" w:hAnsi="Helvetica" w:cs="Helvetica"/>
        </w:rPr>
        <w:t>retain</w:t>
      </w:r>
      <w:r>
        <w:rPr>
          <w:rFonts w:ascii="Helvetica" w:hAnsi="Helvetica" w:cs="Helvetica"/>
        </w:rPr>
        <w:t>ed</w:t>
      </w:r>
      <w:r w:rsidR="007C7579" w:rsidRPr="007C7579">
        <w:rPr>
          <w:rFonts w:ascii="Helvetica" w:hAnsi="Helvetica" w:cs="Helvetica"/>
        </w:rPr>
        <w:t xml:space="preserve"> the ability to</w:t>
      </w:r>
      <w:r w:rsidR="007C7579">
        <w:rPr>
          <w:rFonts w:ascii="Helvetica" w:hAnsi="Helvetica" w:cs="Helvetica"/>
        </w:rPr>
        <w:t xml:space="preserve"> </w:t>
      </w:r>
      <w:r w:rsidR="000633B3" w:rsidRPr="005A3D24">
        <w:rPr>
          <w:rFonts w:ascii="Helvetica" w:hAnsi="Helvetica" w:cs="Helvetica"/>
        </w:rPr>
        <w:t>use international credits</w:t>
      </w:r>
      <w:r w:rsidR="007C7579" w:rsidRPr="007C7579">
        <w:rPr>
          <w:rFonts w:ascii="Helvetica" w:hAnsi="Helvetica" w:cs="Helvetica"/>
        </w:rPr>
        <w:t>, in particular to manage uncertainty</w:t>
      </w:r>
      <w:r w:rsidR="007C7579">
        <w:rPr>
          <w:rFonts w:ascii="Helvetica" w:hAnsi="Helvetica" w:cs="Helvetica"/>
        </w:rPr>
        <w:t xml:space="preserve"> </w:t>
      </w:r>
      <w:r w:rsidR="004A099C">
        <w:rPr>
          <w:rFonts w:ascii="Helvetica" w:hAnsi="Helvetica" w:cs="Helvetica"/>
        </w:rPr>
        <w:t xml:space="preserve">in the level of </w:t>
      </w:r>
      <w:r w:rsidR="004A099C">
        <w:rPr>
          <w:rFonts w:ascii="Helvetica" w:hAnsi="Helvetica" w:cs="Helvetica"/>
        </w:rPr>
        <w:lastRenderedPageBreak/>
        <w:t xml:space="preserve">abatement necessary to meet carbon budgets. This uncertainty arises because </w:t>
      </w:r>
      <w:r w:rsidR="00DD3BEA" w:rsidRPr="6ACCA01D">
        <w:rPr>
          <w:rFonts w:ascii="Helvetica" w:hAnsi="Helvetica" w:cs="Helvetica"/>
        </w:rPr>
        <w:t>emissions statistics are subject to increase</w:t>
      </w:r>
      <w:r w:rsidR="222749E8" w:rsidRPr="6ACCA01D">
        <w:rPr>
          <w:rFonts w:ascii="Helvetica" w:hAnsi="Helvetica" w:cs="Helvetica"/>
        </w:rPr>
        <w:t>s</w:t>
      </w:r>
      <w:r w:rsidR="00DD3BEA" w:rsidRPr="6ACCA01D">
        <w:rPr>
          <w:rFonts w:ascii="Helvetica" w:hAnsi="Helvetica" w:cs="Helvetica"/>
        </w:rPr>
        <w:t xml:space="preserve"> or decrease</w:t>
      </w:r>
      <w:r w:rsidR="6526D3AC" w:rsidRPr="6ACCA01D">
        <w:rPr>
          <w:rFonts w:ascii="Helvetica" w:hAnsi="Helvetica" w:cs="Helvetica"/>
        </w:rPr>
        <w:t>s</w:t>
      </w:r>
      <w:r w:rsidR="68CFE8BC" w:rsidRPr="6ACCA01D">
        <w:rPr>
          <w:rFonts w:ascii="Helvetica" w:hAnsi="Helvetica" w:cs="Helvetica"/>
        </w:rPr>
        <w:t xml:space="preserve"> </w:t>
      </w:r>
      <w:r w:rsidR="00DD3BEA" w:rsidRPr="6ACCA01D">
        <w:rPr>
          <w:rFonts w:ascii="Helvetica" w:hAnsi="Helvetica" w:cs="Helvetica"/>
        </w:rPr>
        <w:t xml:space="preserve">based on changes in how emissions are measured and reported. For example, the UK expects to adopt newer scientific consensus on the </w:t>
      </w:r>
      <w:r w:rsidR="2E384956" w:rsidRPr="6ACCA01D">
        <w:rPr>
          <w:rFonts w:ascii="Helvetica" w:hAnsi="Helvetica" w:cs="Helvetica"/>
        </w:rPr>
        <w:t xml:space="preserve">relative </w:t>
      </w:r>
      <w:r w:rsidR="00DD3BEA" w:rsidRPr="6ACCA01D">
        <w:rPr>
          <w:rFonts w:ascii="Helvetica" w:hAnsi="Helvetica" w:cs="Helvetica"/>
        </w:rPr>
        <w:t xml:space="preserve">global warming potentials of each </w:t>
      </w:r>
      <w:r w:rsidR="1085D5AD" w:rsidRPr="6ACCA01D">
        <w:rPr>
          <w:rFonts w:ascii="Helvetica" w:hAnsi="Helvetica" w:cs="Helvetica"/>
        </w:rPr>
        <w:t>GHG</w:t>
      </w:r>
      <w:r w:rsidR="00DD3BEA" w:rsidRPr="6ACCA01D">
        <w:rPr>
          <w:rFonts w:ascii="Helvetica" w:hAnsi="Helvetica" w:cs="Helvetica"/>
        </w:rPr>
        <w:t>, and recently included wetlands in its Greenhouse Gas Inventory.</w:t>
      </w:r>
      <w:r w:rsidR="000B23E6">
        <w:rPr>
          <w:rStyle w:val="FootnoteReference"/>
          <w:rFonts w:ascii="Helvetica" w:hAnsi="Helvetica"/>
        </w:rPr>
        <w:footnoteReference w:id="2"/>
      </w:r>
      <w:r w:rsidR="00DD3BEA" w:rsidRPr="6ACCA01D">
        <w:rPr>
          <w:rFonts w:ascii="Helvetica" w:hAnsi="Helvetica" w:cs="Helvetica"/>
        </w:rPr>
        <w:t xml:space="preserve"> Furthermore</w:t>
      </w:r>
      <w:r w:rsidR="00BB2E7A" w:rsidRPr="6ACCA01D">
        <w:rPr>
          <w:rFonts w:ascii="Helvetica" w:hAnsi="Helvetica" w:cs="Helvetica"/>
        </w:rPr>
        <w:t>,</w:t>
      </w:r>
      <w:r w:rsidR="005552EE" w:rsidRPr="6ACCA01D">
        <w:rPr>
          <w:rFonts w:ascii="Helvetica" w:hAnsi="Helvetica" w:cs="Helvetica"/>
        </w:rPr>
        <w:t xml:space="preserve"> </w:t>
      </w:r>
      <w:r w:rsidR="001F7AF5">
        <w:rPr>
          <w:rFonts w:ascii="Helvetica" w:hAnsi="Helvetica" w:cs="Helvetica"/>
        </w:rPr>
        <w:t xml:space="preserve">projections of </w:t>
      </w:r>
      <w:r w:rsidR="006E61F3">
        <w:rPr>
          <w:rFonts w:ascii="Helvetica" w:hAnsi="Helvetica" w:cs="Helvetica"/>
        </w:rPr>
        <w:t>future emission</w:t>
      </w:r>
      <w:r w:rsidR="001F7AF5">
        <w:rPr>
          <w:rFonts w:ascii="Helvetica" w:hAnsi="Helvetica" w:cs="Helvetica"/>
        </w:rPr>
        <w:t xml:space="preserve">s </w:t>
      </w:r>
      <w:r w:rsidR="002B0C7C" w:rsidRPr="6ACCA01D">
        <w:rPr>
          <w:rFonts w:ascii="Helvetica" w:hAnsi="Helvetica" w:cs="Helvetica"/>
        </w:rPr>
        <w:t>are based on economic and demographic factors which are difficult to predict</w:t>
      </w:r>
      <w:r w:rsidR="00AD39A8" w:rsidRPr="6ACCA01D">
        <w:rPr>
          <w:rFonts w:ascii="Helvetica" w:hAnsi="Helvetica" w:cs="Helvetica"/>
        </w:rPr>
        <w:t>.</w:t>
      </w:r>
    </w:p>
    <w:p w14:paraId="3417A530" w14:textId="6F1CF10E" w:rsidR="002B0C7C" w:rsidRPr="002B0C7C" w:rsidRDefault="00DD3BEA" w:rsidP="6ACCA01D">
      <w:pPr>
        <w:pStyle w:val="EBBodyPara"/>
        <w:numPr>
          <w:ilvl w:val="0"/>
          <w:numId w:val="7"/>
        </w:numPr>
      </w:pPr>
      <w:r w:rsidRPr="6ACCA01D">
        <w:rPr>
          <w:rFonts w:ascii="Helvetica" w:hAnsi="Helvetica" w:cs="Helvetica"/>
        </w:rPr>
        <w:t>Thus,</w:t>
      </w:r>
      <w:r w:rsidR="00B55E95" w:rsidRPr="6ACCA01D">
        <w:rPr>
          <w:rFonts w:ascii="Helvetica" w:hAnsi="Helvetica" w:cs="Helvetica"/>
        </w:rPr>
        <w:t xml:space="preserve"> </w:t>
      </w:r>
      <w:r w:rsidRPr="6ACCA01D">
        <w:rPr>
          <w:rFonts w:ascii="Helvetica" w:hAnsi="Helvetica" w:cs="Helvetica"/>
        </w:rPr>
        <w:t>d</w:t>
      </w:r>
      <w:r w:rsidR="002B0C7C" w:rsidRPr="6ACCA01D">
        <w:rPr>
          <w:rFonts w:ascii="Helvetica" w:hAnsi="Helvetica" w:cs="Helvetica"/>
        </w:rPr>
        <w:t xml:space="preserve">espite having </w:t>
      </w:r>
      <w:r w:rsidR="0086152C">
        <w:rPr>
          <w:rFonts w:ascii="Helvetica" w:hAnsi="Helvetica" w:cs="Helvetica"/>
        </w:rPr>
        <w:t>plans and</w:t>
      </w:r>
      <w:r w:rsidR="002B0C7C" w:rsidRPr="6ACCA01D">
        <w:rPr>
          <w:rFonts w:ascii="Helvetica" w:hAnsi="Helvetica" w:cs="Helvetica"/>
        </w:rPr>
        <w:t xml:space="preserve"> policies </w:t>
      </w:r>
      <w:r w:rsidR="00177694" w:rsidRPr="6ACCA01D">
        <w:rPr>
          <w:rFonts w:ascii="Helvetica" w:hAnsi="Helvetica" w:cs="Helvetica"/>
        </w:rPr>
        <w:t xml:space="preserve">which are </w:t>
      </w:r>
      <w:r w:rsidR="002B0C7C" w:rsidRPr="6ACCA01D">
        <w:rPr>
          <w:rFonts w:ascii="Helvetica" w:hAnsi="Helvetica" w:cs="Helvetica"/>
        </w:rPr>
        <w:t xml:space="preserve">expected to be sufficient to meet </w:t>
      </w:r>
      <w:r w:rsidR="00DA6934" w:rsidRPr="6ACCA01D">
        <w:rPr>
          <w:rFonts w:ascii="Helvetica" w:hAnsi="Helvetica" w:cs="Helvetica"/>
        </w:rPr>
        <w:t xml:space="preserve">the fourth </w:t>
      </w:r>
      <w:r w:rsidR="002B0C7C" w:rsidRPr="6ACCA01D">
        <w:rPr>
          <w:rFonts w:ascii="Helvetica" w:hAnsi="Helvetica" w:cs="Helvetica"/>
        </w:rPr>
        <w:t xml:space="preserve">carbon budget, the UK may end up </w:t>
      </w:r>
      <w:r w:rsidR="00C505FF">
        <w:rPr>
          <w:rFonts w:ascii="Helvetica" w:hAnsi="Helvetica" w:cs="Helvetica"/>
        </w:rPr>
        <w:t>une</w:t>
      </w:r>
      <w:r w:rsidR="0086152C">
        <w:rPr>
          <w:rFonts w:ascii="Helvetica" w:hAnsi="Helvetica" w:cs="Helvetica"/>
        </w:rPr>
        <w:t xml:space="preserve">xpectedly </w:t>
      </w:r>
      <w:r w:rsidR="002B0C7C" w:rsidRPr="6ACCA01D">
        <w:rPr>
          <w:rFonts w:ascii="Helvetica" w:hAnsi="Helvetica" w:cs="Helvetica"/>
        </w:rPr>
        <w:t xml:space="preserve">off-track. In this situation, the </w:t>
      </w:r>
      <w:r w:rsidR="002F3529">
        <w:rPr>
          <w:rFonts w:ascii="Helvetica" w:hAnsi="Helvetica" w:cs="Helvetica"/>
        </w:rPr>
        <w:t>g</w:t>
      </w:r>
      <w:r w:rsidR="002B0C7C" w:rsidRPr="6ACCA01D">
        <w:rPr>
          <w:rFonts w:ascii="Helvetica" w:hAnsi="Helvetica" w:cs="Helvetica"/>
        </w:rPr>
        <w:t xml:space="preserve">overnment </w:t>
      </w:r>
      <w:r w:rsidR="00DA6934" w:rsidRPr="6ACCA01D">
        <w:rPr>
          <w:rFonts w:ascii="Helvetica" w:hAnsi="Helvetica" w:cs="Helvetica"/>
        </w:rPr>
        <w:t>would</w:t>
      </w:r>
      <w:r w:rsidR="002B0C7C" w:rsidRPr="6ACCA01D">
        <w:rPr>
          <w:rFonts w:ascii="Helvetica" w:hAnsi="Helvetica" w:cs="Helvetica"/>
        </w:rPr>
        <w:t xml:space="preserve"> be forced to take short-term action to reduce emissions in order to comply with the Act. </w:t>
      </w:r>
      <w:r w:rsidRPr="6ACCA01D">
        <w:rPr>
          <w:rFonts w:ascii="Helvetica" w:hAnsi="Helvetica" w:cs="Helvetica"/>
        </w:rPr>
        <w:t>S</w:t>
      </w:r>
      <w:r w:rsidR="002B0C7C" w:rsidRPr="6ACCA01D">
        <w:rPr>
          <w:rFonts w:ascii="Helvetica" w:hAnsi="Helvetica" w:cs="Helvetica"/>
        </w:rPr>
        <w:t xml:space="preserve">hort-term action </w:t>
      </w:r>
      <w:r w:rsidRPr="6ACCA01D">
        <w:rPr>
          <w:rFonts w:ascii="Helvetica" w:hAnsi="Helvetica" w:cs="Helvetica"/>
        </w:rPr>
        <w:t xml:space="preserve">through domestic policy </w:t>
      </w:r>
      <w:r w:rsidR="002B0C7C" w:rsidRPr="6ACCA01D">
        <w:rPr>
          <w:rFonts w:ascii="Helvetica" w:hAnsi="Helvetica" w:cs="Helvetica"/>
        </w:rPr>
        <w:t>is likely to cost more than decarbonisation actions planned and implemented over a longer period</w:t>
      </w:r>
      <w:r w:rsidRPr="6ACCA01D">
        <w:rPr>
          <w:rFonts w:ascii="Helvetica" w:hAnsi="Helvetica" w:cs="Helvetica"/>
        </w:rPr>
        <w:t>,</w:t>
      </w:r>
      <w:r w:rsidR="002B0C7C" w:rsidRPr="6ACCA01D">
        <w:rPr>
          <w:rFonts w:ascii="Helvetica" w:hAnsi="Helvetica" w:cs="Helvetica"/>
        </w:rPr>
        <w:t xml:space="preserve"> and may not be consistent with long-term cost-effective emissions reductions</w:t>
      </w:r>
      <w:r w:rsidR="00641798" w:rsidRPr="6ACCA01D">
        <w:rPr>
          <w:rFonts w:ascii="Helvetica" w:hAnsi="Helvetica" w:cs="Helvetica"/>
        </w:rPr>
        <w:t>.</w:t>
      </w:r>
      <w:r w:rsidR="002B0C7C" w:rsidRPr="6ACCA01D">
        <w:rPr>
          <w:rFonts w:ascii="Helvetica" w:hAnsi="Helvetica" w:cs="Helvetica"/>
        </w:rPr>
        <w:t xml:space="preserve"> The option to use credits could reduce this additional cost and provide the </w:t>
      </w:r>
      <w:r w:rsidR="002F3529">
        <w:rPr>
          <w:rFonts w:ascii="Helvetica" w:hAnsi="Helvetica" w:cs="Helvetica"/>
        </w:rPr>
        <w:t>g</w:t>
      </w:r>
      <w:r w:rsidR="002B0C7C" w:rsidRPr="6ACCA01D">
        <w:rPr>
          <w:rFonts w:ascii="Helvetica" w:hAnsi="Helvetica" w:cs="Helvetica"/>
        </w:rPr>
        <w:t>overnment with the flexibility to manage the uncertainty about future emissions</w:t>
      </w:r>
      <w:r w:rsidR="00205091">
        <w:rPr>
          <w:rFonts w:ascii="Helvetica" w:hAnsi="Helvetica" w:cs="Helvetica"/>
        </w:rPr>
        <w:t xml:space="preserve">, but </w:t>
      </w:r>
      <w:r w:rsidR="00CA6E61">
        <w:rPr>
          <w:rFonts w:ascii="Helvetica" w:hAnsi="Helvetica" w:cs="Helvetica"/>
        </w:rPr>
        <w:t xml:space="preserve">would not compel the </w:t>
      </w:r>
      <w:r w:rsidR="002F3529">
        <w:rPr>
          <w:rFonts w:ascii="Helvetica" w:hAnsi="Helvetica" w:cs="Helvetica"/>
        </w:rPr>
        <w:t>g</w:t>
      </w:r>
      <w:r w:rsidR="00CA6E61">
        <w:rPr>
          <w:rFonts w:ascii="Helvetica" w:hAnsi="Helvetica" w:cs="Helvetica"/>
        </w:rPr>
        <w:t>overnment to use any credits</w:t>
      </w:r>
      <w:r w:rsidR="002B0C7C" w:rsidRPr="6ACCA01D">
        <w:rPr>
          <w:rFonts w:ascii="Helvetica" w:hAnsi="Helvetica" w:cs="Helvetica"/>
        </w:rPr>
        <w:t xml:space="preserve">. </w:t>
      </w:r>
    </w:p>
    <w:p w14:paraId="63CF7FD1" w14:textId="2461E22C" w:rsidR="00A32EE9" w:rsidRPr="00CE7A3A" w:rsidRDefault="002B0C7C" w:rsidP="009E3FE8">
      <w:pPr>
        <w:pStyle w:val="EBBodyPara"/>
        <w:numPr>
          <w:ilvl w:val="0"/>
          <w:numId w:val="7"/>
        </w:numPr>
      </w:pPr>
      <w:r>
        <w:rPr>
          <w:rFonts w:ascii="Helvetica" w:hAnsi="Helvetica" w:cs="Helvetica"/>
        </w:rPr>
        <w:t xml:space="preserve">The ability to purchase </w:t>
      </w:r>
      <w:r w:rsidR="00D4500D">
        <w:rPr>
          <w:rFonts w:ascii="Helvetica" w:hAnsi="Helvetica" w:cs="Helvetica"/>
        </w:rPr>
        <w:t xml:space="preserve">high quality </w:t>
      </w:r>
      <w:r>
        <w:rPr>
          <w:rFonts w:ascii="Helvetica" w:hAnsi="Helvetica" w:cs="Helvetica"/>
        </w:rPr>
        <w:t xml:space="preserve">credits for the purpose of meeting carbon budgets could also enable the UK to support </w:t>
      </w:r>
      <w:r w:rsidR="00527579">
        <w:rPr>
          <w:rFonts w:ascii="Helvetica" w:hAnsi="Helvetica" w:cs="Helvetica"/>
        </w:rPr>
        <w:t xml:space="preserve">climate </w:t>
      </w:r>
      <w:r>
        <w:rPr>
          <w:rFonts w:ascii="Helvetica" w:hAnsi="Helvetica" w:cs="Helvetica"/>
        </w:rPr>
        <w:t xml:space="preserve">action in developing countries </w:t>
      </w:r>
      <w:r w:rsidR="00527579">
        <w:rPr>
          <w:rFonts w:ascii="Helvetica" w:hAnsi="Helvetica" w:cs="Helvetica"/>
        </w:rPr>
        <w:t xml:space="preserve">while pursuing our </w:t>
      </w:r>
      <w:r>
        <w:rPr>
          <w:rFonts w:ascii="Helvetica" w:hAnsi="Helvetica" w:cs="Helvetica"/>
        </w:rPr>
        <w:t>own climate targets. A purchase of credits could contribute to the development of a global carbon market, which could reduce the global cost of action on climate change. If credits were purchased, this would have the benefit of driving increased financial flows to low</w:t>
      </w:r>
      <w:r w:rsidR="00DC097F">
        <w:rPr>
          <w:rFonts w:ascii="Helvetica" w:hAnsi="Helvetica" w:cs="Helvetica"/>
        </w:rPr>
        <w:t xml:space="preserve"> </w:t>
      </w:r>
      <w:r>
        <w:rPr>
          <w:rFonts w:ascii="Helvetica" w:hAnsi="Helvetica" w:cs="Helvetica"/>
        </w:rPr>
        <w:t>carbon development projects that deliver cost-effective mitigation</w:t>
      </w:r>
      <w:r w:rsidR="003921F7">
        <w:rPr>
          <w:rFonts w:ascii="Helvetica" w:hAnsi="Helvetica" w:cs="Helvetica"/>
        </w:rPr>
        <w:t xml:space="preserve"> and </w:t>
      </w:r>
      <w:r w:rsidR="00583A96">
        <w:rPr>
          <w:rFonts w:ascii="Helvetica" w:hAnsi="Helvetica" w:cs="Helvetica"/>
        </w:rPr>
        <w:t xml:space="preserve">also </w:t>
      </w:r>
      <w:r w:rsidR="003921F7">
        <w:rPr>
          <w:rFonts w:ascii="Helvetica" w:hAnsi="Helvetica" w:cs="Helvetica"/>
        </w:rPr>
        <w:t xml:space="preserve">non-carbon benefits (e.g. biodiversity, </w:t>
      </w:r>
      <w:r w:rsidR="003174E6">
        <w:rPr>
          <w:rFonts w:ascii="Helvetica" w:hAnsi="Helvetica" w:cs="Helvetica"/>
        </w:rPr>
        <w:t>sustainable development)</w:t>
      </w:r>
      <w:r>
        <w:rPr>
          <w:rFonts w:ascii="Helvetica" w:hAnsi="Helvetica" w:cs="Helvetica"/>
        </w:rPr>
        <w:t xml:space="preserve"> overseas.</w:t>
      </w:r>
    </w:p>
    <w:p w14:paraId="6E411D0D" w14:textId="0D7D2E57" w:rsidR="0088111C" w:rsidRPr="0088111C" w:rsidRDefault="00CE7A3A" w:rsidP="6ACCA01D">
      <w:pPr>
        <w:pStyle w:val="EBBodyPara"/>
        <w:numPr>
          <w:ilvl w:val="0"/>
          <w:numId w:val="7"/>
        </w:numPr>
      </w:pPr>
      <w:r w:rsidRPr="6ACCA01D">
        <w:rPr>
          <w:rFonts w:ascii="Helvetica" w:hAnsi="Helvetica" w:cs="Helvetica"/>
        </w:rPr>
        <w:t xml:space="preserve">Setting the limit may affect the expectations of investors and businesses. </w:t>
      </w:r>
      <w:r w:rsidR="00122712">
        <w:rPr>
          <w:rFonts w:ascii="Helvetica" w:hAnsi="Helvetica" w:cs="Helvetica"/>
        </w:rPr>
        <w:t>We have identified two possible counteracting effects</w:t>
      </w:r>
      <w:r w:rsidR="00824A4B">
        <w:rPr>
          <w:rFonts w:ascii="Helvetica" w:hAnsi="Helvetica" w:cs="Helvetica"/>
        </w:rPr>
        <w:t>.</w:t>
      </w:r>
      <w:r w:rsidR="00122712">
        <w:rPr>
          <w:rFonts w:ascii="Helvetica" w:hAnsi="Helvetica" w:cs="Helvetica"/>
        </w:rPr>
        <w:t xml:space="preserve"> </w:t>
      </w:r>
      <w:r w:rsidRPr="6ACCA01D">
        <w:rPr>
          <w:rFonts w:ascii="Helvetica" w:hAnsi="Helvetica" w:cs="Helvetica"/>
        </w:rPr>
        <w:t xml:space="preserve">A higher credit limit could reduce short-term investor confidence in the UK low-carbon sector by signalling that policy interventions to reduce domestic emissions may not be as strong in the future. However, a higher limit could also increase long-term investor confidence by making the broader policy framework more resilient to unexpected changes in </w:t>
      </w:r>
      <w:r w:rsidR="00126325">
        <w:rPr>
          <w:rFonts w:ascii="Helvetica" w:hAnsi="Helvetica" w:cs="Helvetica"/>
        </w:rPr>
        <w:t xml:space="preserve">underlying </w:t>
      </w:r>
      <w:r w:rsidRPr="6ACCA01D">
        <w:rPr>
          <w:rFonts w:ascii="Helvetica" w:hAnsi="Helvetica" w:cs="Helvetica"/>
        </w:rPr>
        <w:t>emissions data or projections.</w:t>
      </w:r>
      <w:r w:rsidR="00FC7932">
        <w:rPr>
          <w:rFonts w:ascii="Helvetica" w:hAnsi="Helvetica" w:cs="Helvetica"/>
        </w:rPr>
        <w:t xml:space="preserve"> It is not clear that previous credit limits have had a significant impact on investors. </w:t>
      </w:r>
    </w:p>
    <w:p w14:paraId="6235A4C8" w14:textId="2A8AE9C0" w:rsidR="002C435A" w:rsidRDefault="002C435A" w:rsidP="009E3FE8">
      <w:pPr>
        <w:pStyle w:val="EBBodyPara"/>
        <w:numPr>
          <w:ilvl w:val="0"/>
          <w:numId w:val="7"/>
        </w:numPr>
      </w:pPr>
      <w:r>
        <w:t xml:space="preserve">The existing evidence does not clearly point to a specific </w:t>
      </w:r>
      <w:r w:rsidR="23A98DD9">
        <w:t xml:space="preserve">desirable </w:t>
      </w:r>
      <w:r>
        <w:t>level for the credit limit. Three options for the credit limit are considered within this impact assessment:</w:t>
      </w:r>
    </w:p>
    <w:p w14:paraId="383A4304" w14:textId="44589DBF" w:rsidR="008060D0" w:rsidRDefault="008060D0" w:rsidP="008060D0">
      <w:pPr>
        <w:pStyle w:val="EBBodyPara"/>
        <w:numPr>
          <w:ilvl w:val="0"/>
          <w:numId w:val="20"/>
        </w:numPr>
      </w:pPr>
      <w:r>
        <w:t xml:space="preserve">Option 1: No flexibility (0 MtCO2e). The </w:t>
      </w:r>
      <w:r w:rsidR="002F3529">
        <w:t>g</w:t>
      </w:r>
      <w:r>
        <w:t>overnment would be unable to count credits towards the fourth carbon budget.</w:t>
      </w:r>
    </w:p>
    <w:p w14:paraId="2E29D1DD" w14:textId="046C6423" w:rsidR="008060D0" w:rsidRDefault="008060D0" w:rsidP="008060D0">
      <w:pPr>
        <w:pStyle w:val="EBBodyPara"/>
        <w:numPr>
          <w:ilvl w:val="0"/>
          <w:numId w:val="20"/>
        </w:numPr>
      </w:pPr>
      <w:r>
        <w:t>Option 2: A moderate degree of flexibility (</w:t>
      </w:r>
      <w:r w:rsidRPr="005A0E4E">
        <w:t>55</w:t>
      </w:r>
      <w:r>
        <w:t xml:space="preserve"> MtCO2e), representing around 2.8% of the fourth carbon budget. This is the same level as the second and third carbon budget credit limits.</w:t>
      </w:r>
    </w:p>
    <w:p w14:paraId="1564D23F" w14:textId="6FD3E45D" w:rsidR="008060D0" w:rsidRDefault="008060D0" w:rsidP="008060D0">
      <w:pPr>
        <w:pStyle w:val="EBBodyPara"/>
        <w:numPr>
          <w:ilvl w:val="0"/>
          <w:numId w:val="20"/>
        </w:numPr>
      </w:pPr>
      <w:r>
        <w:t xml:space="preserve">Option 3: A high degree of flexibility </w:t>
      </w:r>
      <w:r w:rsidR="77C965E5">
        <w:t>(</w:t>
      </w:r>
      <w:r>
        <w:t>90 MtCO2e</w:t>
      </w:r>
      <w:r w:rsidR="241230E4">
        <w:t>)</w:t>
      </w:r>
      <w:r>
        <w:t>, representing around 3.5% of the fourth carbon budget.</w:t>
      </w:r>
    </w:p>
    <w:p w14:paraId="598E9554" w14:textId="112D08AA" w:rsidR="00223680" w:rsidRDefault="002C435A" w:rsidP="009E3FE8">
      <w:pPr>
        <w:pStyle w:val="EBBodyPara"/>
        <w:numPr>
          <w:ilvl w:val="0"/>
          <w:numId w:val="7"/>
        </w:numPr>
      </w:pPr>
      <w:r w:rsidRPr="00683E6B">
        <w:t>Option 1 could</w:t>
      </w:r>
      <w:r>
        <w:t xml:space="preserve"> have a small positive impact on investor confidence in the short-term. However, it would also provide no flexibility to manage the uncertainty around future emissions</w:t>
      </w:r>
      <w:r w:rsidR="00FC7932">
        <w:t xml:space="preserve"> using credits</w:t>
      </w:r>
      <w:r w:rsidR="008A5B99">
        <w:t xml:space="preserve">, </w:t>
      </w:r>
      <w:r w:rsidR="00E927C0">
        <w:t>which could lead to the UK being compelled to make short term abatement that is not cost effective</w:t>
      </w:r>
      <w:r w:rsidR="00790051">
        <w:t xml:space="preserve">, leading to a misallocation of resources and greater cost of reaching the 2050 </w:t>
      </w:r>
      <w:r w:rsidR="00FC7932">
        <w:t xml:space="preserve">net zero </w:t>
      </w:r>
      <w:r w:rsidR="00790051">
        <w:t>target</w:t>
      </w:r>
      <w:r>
        <w:t xml:space="preserve">. </w:t>
      </w:r>
      <w:r w:rsidR="005E52EC">
        <w:t>Were short term domestic abatement unavailable, the</w:t>
      </w:r>
      <w:r w:rsidR="009B01C0">
        <w:t xml:space="preserve"> UK would alternatively have to use flexibilities such as carryover from CB3 or </w:t>
      </w:r>
      <w:r w:rsidR="00D92F77">
        <w:t>borrowing from CB5</w:t>
      </w:r>
      <w:r w:rsidR="005E52EC">
        <w:t>.</w:t>
      </w:r>
      <w:r w:rsidR="00D92F77">
        <w:t xml:space="preserve"> </w:t>
      </w:r>
      <w:r w:rsidR="005E52EC">
        <w:t>This would reduce the level of abatement globally over the period.</w:t>
      </w:r>
    </w:p>
    <w:p w14:paraId="60629253" w14:textId="16A88560" w:rsidR="00CE7A3A" w:rsidRDefault="002C435A" w:rsidP="009E3FE8">
      <w:pPr>
        <w:pStyle w:val="EBBodyPara"/>
        <w:numPr>
          <w:ilvl w:val="0"/>
          <w:numId w:val="7"/>
        </w:numPr>
      </w:pPr>
      <w:r w:rsidRPr="002C435A">
        <w:t>Options 2 and 3 both mitigate this risk, providing flexibility to manage the uncertainty about future emissions</w:t>
      </w:r>
      <w:r w:rsidR="00FC7932">
        <w:t xml:space="preserve"> using credits</w:t>
      </w:r>
      <w:r w:rsidRPr="002C435A">
        <w:t>. Option 2 is in line with the credit limit for the second</w:t>
      </w:r>
      <w:r w:rsidR="00904C7A">
        <w:t xml:space="preserve"> and third</w:t>
      </w:r>
      <w:r w:rsidRPr="002C435A">
        <w:t xml:space="preserve"> carbon budget, meaning relative to option 1 any negative impact on short-run investor confidence in the </w:t>
      </w:r>
      <w:r w:rsidR="001B6E4A">
        <w:t>g</w:t>
      </w:r>
      <w:r w:rsidRPr="002C435A">
        <w:t>overnment’s commitment to domestic climate action would likely be minimal</w:t>
      </w:r>
      <w:r w:rsidR="00561BEB">
        <w:t xml:space="preserve">. According to existing projections and the pipeline of potential accounting changes which may apply to the </w:t>
      </w:r>
      <w:r w:rsidR="00CC1A2C">
        <w:t>fourth carbon budget</w:t>
      </w:r>
      <w:r w:rsidR="00561BEB">
        <w:t xml:space="preserve"> period in whole or in part, it is possible that the additional flexibility</w:t>
      </w:r>
      <w:r w:rsidR="00561BEB" w:rsidRPr="002C435A">
        <w:t xml:space="preserve"> allowed under option 3 compared to option 2 </w:t>
      </w:r>
      <w:r w:rsidR="00561BEB">
        <w:t>could</w:t>
      </w:r>
      <w:r w:rsidR="00561BEB" w:rsidRPr="002C435A">
        <w:t xml:space="preserve"> be needed in practice.</w:t>
      </w:r>
    </w:p>
    <w:p w14:paraId="565850D0" w14:textId="3382E837" w:rsidR="00BE567D" w:rsidRDefault="003E7B51" w:rsidP="003E7B51">
      <w:pPr>
        <w:pStyle w:val="Heading2"/>
      </w:pPr>
      <w:bookmarkStart w:id="54" w:name="_Toc67067471"/>
      <w:r w:rsidRPr="003E7B51">
        <w:lastRenderedPageBreak/>
        <w:t xml:space="preserve">PART A: RATIONALE AND POLICY </w:t>
      </w:r>
      <w:r w:rsidR="006D6635">
        <w:t>CONTEXT</w:t>
      </w:r>
      <w:bookmarkEnd w:id="54"/>
    </w:p>
    <w:p w14:paraId="5F850ECE" w14:textId="1B796844" w:rsidR="00B76FC8" w:rsidRDefault="00602EE4" w:rsidP="00602EE4">
      <w:pPr>
        <w:pStyle w:val="Heading3"/>
      </w:pPr>
      <w:bookmarkStart w:id="55" w:name="_Toc67067472"/>
      <w:r>
        <w:t xml:space="preserve">1 </w:t>
      </w:r>
      <w:r w:rsidR="00067890">
        <w:t>Relevant legislation and targets</w:t>
      </w:r>
      <w:bookmarkEnd w:id="55"/>
    </w:p>
    <w:p w14:paraId="3D4367DF" w14:textId="5C7C6C8B" w:rsidR="006C7A01" w:rsidRPr="002871D8" w:rsidRDefault="00842FB9" w:rsidP="002B2CF3">
      <w:pPr>
        <w:pStyle w:val="EBBodyPara"/>
        <w:numPr>
          <w:ilvl w:val="0"/>
          <w:numId w:val="7"/>
        </w:numPr>
      </w:pPr>
      <w:r w:rsidRPr="002871D8">
        <w:t xml:space="preserve">The impacts of climate change </w:t>
      </w:r>
      <w:r w:rsidR="004406AD">
        <w:t>will</w:t>
      </w:r>
      <w:r w:rsidRPr="002871D8">
        <w:t xml:space="preserve"> result in significant economic costs to society. </w:t>
      </w:r>
      <w:r w:rsidR="006C7A01" w:rsidRPr="002871D8">
        <w:t xml:space="preserve">Government intervention </w:t>
      </w:r>
      <w:r w:rsidR="004406AD">
        <w:t xml:space="preserve">to reduce emissions </w:t>
      </w:r>
      <w:r w:rsidR="006C7A01" w:rsidRPr="002871D8">
        <w:t xml:space="preserve">can </w:t>
      </w:r>
      <w:r w:rsidR="007D11FF">
        <w:t>help limit</w:t>
      </w:r>
      <w:r w:rsidR="006C7A01" w:rsidRPr="002871D8">
        <w:t xml:space="preserve"> the overall costs associated with climate change and increase UK and global welfare.</w:t>
      </w:r>
    </w:p>
    <w:p w14:paraId="783D8ADA" w14:textId="1A50145E" w:rsidR="00B90A45" w:rsidRPr="002871D8" w:rsidRDefault="00694B1D" w:rsidP="002B2CF3">
      <w:pPr>
        <w:pStyle w:val="EBBodyPara"/>
        <w:numPr>
          <w:ilvl w:val="0"/>
          <w:numId w:val="7"/>
        </w:numPr>
      </w:pPr>
      <w:r w:rsidRPr="002871D8">
        <w:t xml:space="preserve">The 2008 Climate Change Act (“the Act”) </w:t>
      </w:r>
      <w:r w:rsidR="00B90A45" w:rsidRPr="002871D8">
        <w:t xml:space="preserve">established a legal framework to cut GHG emissions in the UK. The framework requires setting a series of five-year carbon budgets leading up to 2050, when the Act requires </w:t>
      </w:r>
      <w:r w:rsidR="003E3D09">
        <w:t xml:space="preserve">that budgets </w:t>
      </w:r>
      <w:r w:rsidR="003E3D09" w:rsidRPr="006E12AF">
        <w:t xml:space="preserve">must be set with a view of meeting the target of reducing net UK emissions </w:t>
      </w:r>
      <w:r w:rsidR="003E3D09">
        <w:t xml:space="preserve">by 100% (“net zero”) by </w:t>
      </w:r>
      <w:r w:rsidR="003E3D09" w:rsidRPr="006E12AF">
        <w:t>2050</w:t>
      </w:r>
      <w:r w:rsidR="003E3D09">
        <w:t>.</w:t>
      </w:r>
    </w:p>
    <w:p w14:paraId="0AE748BF" w14:textId="46865D18" w:rsidR="009268DF" w:rsidRPr="002871D8" w:rsidRDefault="007663FD" w:rsidP="002B2CF3">
      <w:pPr>
        <w:pStyle w:val="EBBodyPara"/>
        <w:numPr>
          <w:ilvl w:val="0"/>
          <w:numId w:val="7"/>
        </w:numPr>
      </w:pPr>
      <w:r>
        <w:t xml:space="preserve">The Act provides that </w:t>
      </w:r>
      <w:r w:rsidR="00B53563">
        <w:t>international carbon units (“credits”)</w:t>
      </w:r>
      <w:r w:rsidR="00214535">
        <w:t xml:space="preserve"> can be used to meet carbon budgets. </w:t>
      </w:r>
      <w:r w:rsidR="009268DF">
        <w:t>A credit represents the reduction</w:t>
      </w:r>
      <w:r w:rsidR="00BE08CE">
        <w:t>,</w:t>
      </w:r>
      <w:r w:rsidR="009268DF">
        <w:t xml:space="preserve"> avoidance </w:t>
      </w:r>
      <w:r w:rsidR="00BE08CE">
        <w:t xml:space="preserve">or removal </w:t>
      </w:r>
      <w:r w:rsidR="009268DF">
        <w:t>of one tonne of carbon dioxide equivalent (tCO2e) from the atmosphere</w:t>
      </w:r>
      <w:r w:rsidR="00E0181D">
        <w:t xml:space="preserve"> </w:t>
      </w:r>
      <w:r w:rsidR="009268DF">
        <w:t>and can have a financial value associated with it when traded.</w:t>
      </w:r>
      <w:r w:rsidR="00EA3317">
        <w:t xml:space="preserve"> </w:t>
      </w:r>
    </w:p>
    <w:p w14:paraId="470B3A74" w14:textId="22827CE5" w:rsidR="007663FD" w:rsidRPr="002871D8" w:rsidRDefault="00214535" w:rsidP="002B2CF3">
      <w:pPr>
        <w:pStyle w:val="EBBodyPara"/>
        <w:numPr>
          <w:ilvl w:val="0"/>
          <w:numId w:val="7"/>
        </w:numPr>
      </w:pPr>
      <w:r>
        <w:t>Credits</w:t>
      </w:r>
      <w:r w:rsidR="007663FD">
        <w:t xml:space="preserve"> </w:t>
      </w:r>
      <w:r w:rsidR="00AA47A4">
        <w:t xml:space="preserve">in this context </w:t>
      </w:r>
      <w:r w:rsidR="007663FD">
        <w:t xml:space="preserve">can play an important role </w:t>
      </w:r>
      <w:r w:rsidR="00517DC4">
        <w:t>by</w:t>
      </w:r>
      <w:r w:rsidR="007663FD">
        <w:t xml:space="preserve">: mitigating against the impacts of unforeseen circumstances; providing flexibility in how carbon budgets are met; and allowing the UK to contribute to </w:t>
      </w:r>
      <w:r w:rsidR="00D86BCE">
        <w:t xml:space="preserve">the development of </w:t>
      </w:r>
      <w:r w:rsidR="00654A26">
        <w:t>a global carbon market</w:t>
      </w:r>
      <w:r w:rsidR="007663FD">
        <w:t>. The Act itself does not place an explicit restriction on the use of credits to meet carbon budgets; instead, the Act requires a limit on credits to be set through secondary legislation</w:t>
      </w:r>
      <w:r w:rsidR="008A340F">
        <w:t xml:space="preserve"> </w:t>
      </w:r>
      <w:r w:rsidR="00946BEE">
        <w:t>18 months</w:t>
      </w:r>
      <w:r w:rsidR="008A340F">
        <w:t xml:space="preserve"> before the start of each carbon budget period</w:t>
      </w:r>
      <w:r w:rsidR="00F35CF9">
        <w:t>, which is 30 June 2021</w:t>
      </w:r>
      <w:r w:rsidR="007663FD">
        <w:t>.</w:t>
      </w:r>
    </w:p>
    <w:p w14:paraId="36C4A13F" w14:textId="78A0B8F3" w:rsidR="00694B1D" w:rsidRPr="002871D8" w:rsidRDefault="00B831DD" w:rsidP="00730139">
      <w:pPr>
        <w:pStyle w:val="EBBodyPara"/>
        <w:numPr>
          <w:ilvl w:val="0"/>
          <w:numId w:val="7"/>
        </w:numPr>
      </w:pPr>
      <w:r>
        <w:t xml:space="preserve">The fourth carbon budget </w:t>
      </w:r>
      <w:r w:rsidR="008A340F">
        <w:t>cover</w:t>
      </w:r>
      <w:r w:rsidR="00946BEE">
        <w:t>s</w:t>
      </w:r>
      <w:r w:rsidR="008A340F">
        <w:t xml:space="preserve"> the period 2023-27 </w:t>
      </w:r>
      <w:r w:rsidR="00946BEE">
        <w:t xml:space="preserve">and </w:t>
      </w:r>
      <w:r>
        <w:t>is set at 1,950 million tonnes of carbon dioxide equivalent (MtCO2e).</w:t>
      </w:r>
      <w:r w:rsidR="008A340F">
        <w:t xml:space="preserve"> </w:t>
      </w:r>
      <w:r w:rsidR="00694B1D">
        <w:t>The credit limit will define the maximum net number of credits that can be credited to the UK net carbon account</w:t>
      </w:r>
      <w:r w:rsidR="7740EE4B">
        <w:t>.</w:t>
      </w:r>
      <w:r>
        <w:t xml:space="preserve"> </w:t>
      </w:r>
    </w:p>
    <w:p w14:paraId="4F90431E" w14:textId="676EF76C" w:rsidR="00203DDB" w:rsidRDefault="00BB6E16" w:rsidP="00F61231">
      <w:pPr>
        <w:pStyle w:val="EBBodyPara"/>
        <w:numPr>
          <w:ilvl w:val="0"/>
          <w:numId w:val="7"/>
        </w:numPr>
      </w:pPr>
      <w:r w:rsidRPr="002871D8">
        <w:t xml:space="preserve">The </w:t>
      </w:r>
      <w:r w:rsidR="00513B12">
        <w:t>Carbon Accounting Regulations</w:t>
      </w:r>
      <w:r w:rsidRPr="002871D8">
        <w:t xml:space="preserve"> for the fourth carbon budget, to be put in place before the 2022 Annual Statement of Emissions due in March 2024, will define</w:t>
      </w:r>
      <w:r w:rsidR="00782232">
        <w:t xml:space="preserve"> the net carbon account</w:t>
      </w:r>
      <w:r w:rsidR="008B73E3">
        <w:t xml:space="preserve">. </w:t>
      </w:r>
      <w:r w:rsidR="002D6183">
        <w:t xml:space="preserve">The </w:t>
      </w:r>
      <w:r w:rsidR="00203DDB">
        <w:t xml:space="preserve">UK has </w:t>
      </w:r>
      <w:r w:rsidR="00077B13">
        <w:t>now</w:t>
      </w:r>
      <w:r w:rsidR="00203DDB">
        <w:t xml:space="preserve"> left the European Union</w:t>
      </w:r>
      <w:r w:rsidR="00077B13">
        <w:t xml:space="preserve"> and </w:t>
      </w:r>
      <w:r w:rsidR="009221F2">
        <w:t>its emissions are no longer covered by the</w:t>
      </w:r>
      <w:r w:rsidR="00203DDB" w:rsidRPr="123A0C3B">
        <w:t xml:space="preserve"> EU</w:t>
      </w:r>
      <w:r w:rsidR="00203DDB">
        <w:t xml:space="preserve"> </w:t>
      </w:r>
      <w:r w:rsidR="0028015F">
        <w:t>Emissions Trading Scheme</w:t>
      </w:r>
      <w:r w:rsidR="009221F2">
        <w:rPr>
          <w:rStyle w:val="FootnoteReference"/>
        </w:rPr>
        <w:footnoteReference w:id="3"/>
      </w:r>
      <w:r w:rsidR="00203DDB" w:rsidRPr="07DF8598">
        <w:t xml:space="preserve"> and a </w:t>
      </w:r>
      <w:r w:rsidR="00077B13">
        <w:t xml:space="preserve">(currently </w:t>
      </w:r>
      <w:r w:rsidR="00203DDB" w:rsidRPr="07DF8598">
        <w:t>standalone</w:t>
      </w:r>
      <w:r w:rsidR="00077B13">
        <w:t>)</w:t>
      </w:r>
      <w:r w:rsidR="00203DDB">
        <w:t xml:space="preserve"> UK </w:t>
      </w:r>
      <w:r w:rsidR="0028015F">
        <w:t>Emissions Trading System (ETS)</w:t>
      </w:r>
      <w:r w:rsidR="00203DDB">
        <w:t xml:space="preserve"> has </w:t>
      </w:r>
      <w:r w:rsidR="00203DDB" w:rsidRPr="07DF8598">
        <w:t>been established in its place</w:t>
      </w:r>
      <w:r w:rsidR="008B73E3">
        <w:t xml:space="preserve">. </w:t>
      </w:r>
      <w:r w:rsidR="00203DDB">
        <w:t xml:space="preserve">This Impact Assessment </w:t>
      </w:r>
      <w:r w:rsidR="008B73E3">
        <w:t xml:space="preserve">assumes that </w:t>
      </w:r>
      <w:r w:rsidR="00077B13">
        <w:t>emissions covered by the ETS</w:t>
      </w:r>
      <w:r w:rsidR="002A1F72">
        <w:t xml:space="preserve"> (“traded emissions”) </w:t>
      </w:r>
      <w:r w:rsidR="008D0640" w:rsidRPr="008D0640">
        <w:t xml:space="preserve">contribute in the same way as </w:t>
      </w:r>
      <w:r w:rsidR="002A1F72">
        <w:t>emissions outside the ETS (”</w:t>
      </w:r>
      <w:r w:rsidR="008D0640" w:rsidRPr="008D0640">
        <w:t xml:space="preserve">non-traded sector </w:t>
      </w:r>
      <w:r w:rsidR="002A1F72">
        <w:t>emissions”</w:t>
      </w:r>
      <w:r w:rsidR="00982963">
        <w:t xml:space="preserve">) </w:t>
      </w:r>
      <w:r w:rsidR="008D0640" w:rsidRPr="008D0640">
        <w:t>to the budget</w:t>
      </w:r>
      <w:r w:rsidR="008D0640">
        <w:t>.</w:t>
      </w:r>
      <w:r w:rsidR="00203DDB">
        <w:t xml:space="preserve"> This does not preclude any future decisions on the UK ETS or future carbon accounting regulations</w:t>
      </w:r>
      <w:r w:rsidR="445C23D3">
        <w:t>.</w:t>
      </w:r>
    </w:p>
    <w:p w14:paraId="31A6B010" w14:textId="265001A9" w:rsidR="00BB6E16" w:rsidRPr="00BB438F" w:rsidRDefault="00493F7C" w:rsidP="00730139">
      <w:pPr>
        <w:pStyle w:val="EBBodyPara"/>
        <w:numPr>
          <w:ilvl w:val="0"/>
          <w:numId w:val="7"/>
        </w:numPr>
      </w:pPr>
      <w:r w:rsidRPr="00BB438F">
        <w:t xml:space="preserve">This Impact Assessment </w:t>
      </w:r>
      <w:r w:rsidR="00583FB0" w:rsidRPr="00BB438F">
        <w:t>also assumes</w:t>
      </w:r>
      <w:r w:rsidR="006E2B79" w:rsidRPr="00BB438F">
        <w:t xml:space="preserve"> that only good quality credits compatible with </w:t>
      </w:r>
      <w:r w:rsidR="00270C5C" w:rsidRPr="00BB438F">
        <w:t xml:space="preserve">applicable </w:t>
      </w:r>
      <w:r w:rsidR="006E2B79" w:rsidRPr="00BB438F">
        <w:t xml:space="preserve">Paris Agreement </w:t>
      </w:r>
      <w:r w:rsidR="00270C5C" w:rsidRPr="00BB438F">
        <w:t xml:space="preserve">guidance including </w:t>
      </w:r>
      <w:r w:rsidR="00FD10E2" w:rsidRPr="00BB438F">
        <w:t>on their generation</w:t>
      </w:r>
      <w:r w:rsidR="001B2ED9" w:rsidRPr="00BB438F">
        <w:t>,</w:t>
      </w:r>
      <w:r w:rsidR="00FD10E2" w:rsidRPr="00BB438F">
        <w:t xml:space="preserve"> trade</w:t>
      </w:r>
      <w:r w:rsidR="001B2ED9" w:rsidRPr="00BB438F">
        <w:t xml:space="preserve"> and accounting, would be used.</w:t>
      </w:r>
      <w:r w:rsidR="00A42882" w:rsidRPr="00BB438F">
        <w:t xml:space="preserve"> </w:t>
      </w:r>
      <w:r w:rsidR="009F46D4" w:rsidRPr="00BB438F">
        <w:t>A</w:t>
      </w:r>
      <w:r w:rsidR="003F169C" w:rsidRPr="00BB438F">
        <w:t xml:space="preserve">ny </w:t>
      </w:r>
      <w:r w:rsidR="00407AD9" w:rsidRPr="00BB438F">
        <w:t xml:space="preserve">credits </w:t>
      </w:r>
      <w:r w:rsidR="003F169C" w:rsidRPr="00BB438F">
        <w:t xml:space="preserve">purchased </w:t>
      </w:r>
      <w:r w:rsidR="009F46D4" w:rsidRPr="00BB438F">
        <w:t xml:space="preserve">would need to </w:t>
      </w:r>
      <w:r w:rsidR="00407AD9" w:rsidRPr="00BB438F">
        <w:t xml:space="preserve">represent climate action that </w:t>
      </w:r>
      <w:r w:rsidR="00413905" w:rsidRPr="00BB438F">
        <w:t xml:space="preserve">is </w:t>
      </w:r>
      <w:r w:rsidR="00407AD9" w:rsidRPr="00BB438F">
        <w:t xml:space="preserve">permanent, additional, </w:t>
      </w:r>
      <w:r w:rsidR="005817FD" w:rsidRPr="00BB438F">
        <w:t>independently ver</w:t>
      </w:r>
      <w:r w:rsidR="44B8D1F4" w:rsidRPr="00BB438F">
        <w:t>i</w:t>
      </w:r>
      <w:r w:rsidR="005817FD" w:rsidRPr="00BB438F">
        <w:t>fied</w:t>
      </w:r>
      <w:r w:rsidR="008947BD" w:rsidRPr="00BB438F">
        <w:t>, not counted towards another countr</w:t>
      </w:r>
      <w:r w:rsidR="00402051" w:rsidRPr="00BB438F">
        <w:t>y’s targets,</w:t>
      </w:r>
      <w:r w:rsidR="005817FD" w:rsidRPr="00BB438F">
        <w:t xml:space="preserve"> and (at the very</w:t>
      </w:r>
      <w:r w:rsidR="00402051" w:rsidRPr="00BB438F">
        <w:t xml:space="preserve"> least) </w:t>
      </w:r>
      <w:r w:rsidR="00F1671E" w:rsidRPr="00BB438F">
        <w:t xml:space="preserve">have no negative </w:t>
      </w:r>
      <w:r w:rsidR="001613C3" w:rsidRPr="00BB438F">
        <w:t>biodiversity and sustainable development impacts. A</w:t>
      </w:r>
      <w:r w:rsidR="00A43E23" w:rsidRPr="00BB438F">
        <w:t xml:space="preserve">llowances from </w:t>
      </w:r>
      <w:r w:rsidR="0028015F" w:rsidRPr="00BB438F">
        <w:t xml:space="preserve">the UK </w:t>
      </w:r>
      <w:r w:rsidR="00F4172B" w:rsidRPr="00BB438F">
        <w:t>ETS</w:t>
      </w:r>
      <w:r w:rsidR="0028015F" w:rsidRPr="00BB438F">
        <w:t xml:space="preserve"> (or any other ETS </w:t>
      </w:r>
      <w:r w:rsidR="00EB066D" w:rsidRPr="00BB438F">
        <w:t>in which</w:t>
      </w:r>
      <w:r w:rsidR="00DF0142" w:rsidRPr="00BB438F">
        <w:t xml:space="preserve"> the UK or any part thereof participate in)</w:t>
      </w:r>
      <w:r w:rsidR="00A43E23" w:rsidRPr="00BB438F">
        <w:t xml:space="preserve"> would not count towards the credit limit.</w:t>
      </w:r>
    </w:p>
    <w:p w14:paraId="0714CB64" w14:textId="15F10D6F" w:rsidR="00BB6E16" w:rsidRPr="002871D8" w:rsidRDefault="00BB6E16" w:rsidP="002B2CF3">
      <w:pPr>
        <w:pStyle w:val="EBBodyPara"/>
        <w:numPr>
          <w:ilvl w:val="0"/>
          <w:numId w:val="7"/>
        </w:numPr>
      </w:pPr>
      <w:r w:rsidRPr="002871D8">
        <w:t>The fourth carbon budget period runs until the end of 202</w:t>
      </w:r>
      <w:r w:rsidR="00404B19" w:rsidRPr="002871D8">
        <w:t>7</w:t>
      </w:r>
      <w:r w:rsidRPr="002871D8">
        <w:t xml:space="preserve">. The end of carbon budget </w:t>
      </w:r>
      <w:r w:rsidR="0021107C">
        <w:t xml:space="preserve">period </w:t>
      </w:r>
      <w:r w:rsidRPr="002871D8">
        <w:t xml:space="preserve">statement, which sets out the final position for the carbon budget, must be published by 31 May 2029. This statement will set out whether </w:t>
      </w:r>
      <w:r w:rsidR="006511CE">
        <w:t xml:space="preserve">any </w:t>
      </w:r>
      <w:r w:rsidRPr="002871D8">
        <w:t>use of credits</w:t>
      </w:r>
      <w:r w:rsidR="00D23E73">
        <w:t xml:space="preserve"> under a positive limit</w:t>
      </w:r>
      <w:r w:rsidRPr="002871D8">
        <w:t xml:space="preserve"> is to be counted towards the final level of the carbon budget</w:t>
      </w:r>
      <w:r w:rsidR="00276EB4">
        <w:t>.</w:t>
      </w:r>
    </w:p>
    <w:p w14:paraId="357E710B" w14:textId="017B4C6A" w:rsidR="00923049" w:rsidRDefault="000C7ACF" w:rsidP="00A124D0">
      <w:pPr>
        <w:pStyle w:val="Heading3"/>
      </w:pPr>
      <w:bookmarkStart w:id="56" w:name="_Toc67067473"/>
      <w:r>
        <w:t xml:space="preserve">2 </w:t>
      </w:r>
      <w:r w:rsidR="00923049" w:rsidRPr="00923049">
        <w:t>International Context</w:t>
      </w:r>
      <w:bookmarkEnd w:id="56"/>
    </w:p>
    <w:p w14:paraId="51071FB2" w14:textId="6B1AFDD2" w:rsidR="002C5185" w:rsidRDefault="00E92092" w:rsidP="00B24995">
      <w:pPr>
        <w:pStyle w:val="EBBodyPara"/>
        <w:numPr>
          <w:ilvl w:val="0"/>
          <w:numId w:val="7"/>
        </w:numPr>
      </w:pPr>
      <w:r>
        <w:t xml:space="preserve">From 2021 onwards it is likely that the supply of international credits </w:t>
      </w:r>
      <w:r w:rsidR="00A70C74">
        <w:t>avail</w:t>
      </w:r>
      <w:r w:rsidR="002906A1">
        <w:t xml:space="preserve">able to the UK for use towards climate targets </w:t>
      </w:r>
      <w:r w:rsidR="003F20A9">
        <w:t>will fall</w:t>
      </w:r>
      <w:r w:rsidR="000C3AF6">
        <w:t xml:space="preserve">, as guidance </w:t>
      </w:r>
      <w:r w:rsidR="006C0A57">
        <w:t>on carbon accounting for country</w:t>
      </w:r>
      <w:r w:rsidR="00856CEC">
        <w:t>-</w:t>
      </w:r>
      <w:r w:rsidR="006C0A57">
        <w:t>to</w:t>
      </w:r>
      <w:r w:rsidR="00856CEC">
        <w:t>-</w:t>
      </w:r>
      <w:r w:rsidR="006C0A57">
        <w:t xml:space="preserve">country credit transfers, </w:t>
      </w:r>
      <w:r w:rsidR="000C3AF6">
        <w:t xml:space="preserve">negotiated under </w:t>
      </w:r>
      <w:r w:rsidR="00154E46">
        <w:t>Article 6 of the</w:t>
      </w:r>
      <w:r w:rsidR="000C3AF6">
        <w:t xml:space="preserve"> Paris Agreement</w:t>
      </w:r>
      <w:r w:rsidR="006C0A57">
        <w:t>,</w:t>
      </w:r>
      <w:r w:rsidR="000C3AF6">
        <w:t xml:space="preserve"> enters into force</w:t>
      </w:r>
      <w:r w:rsidR="003F20A9">
        <w:t>.</w:t>
      </w:r>
    </w:p>
    <w:p w14:paraId="315F8B46" w14:textId="3537D683" w:rsidR="003B19E9" w:rsidRPr="0017187D" w:rsidRDefault="00E65DE2" w:rsidP="002C5185">
      <w:pPr>
        <w:pStyle w:val="EBBodyPara"/>
        <w:numPr>
          <w:ilvl w:val="0"/>
          <w:numId w:val="7"/>
        </w:numPr>
      </w:pPr>
      <w:r>
        <w:t>Prior to this,</w:t>
      </w:r>
      <w:r w:rsidR="005A6E5E">
        <w:t xml:space="preserve"> and during earlier carbon budgets,</w:t>
      </w:r>
      <w:r>
        <w:t xml:space="preserve"> </w:t>
      </w:r>
      <w:r w:rsidR="00C050E8">
        <w:t xml:space="preserve">under the Kyoto Protocol </w:t>
      </w:r>
      <w:r>
        <w:t>countries hosting credi</w:t>
      </w:r>
      <w:r w:rsidR="005C1799">
        <w:t>t generating</w:t>
      </w:r>
      <w:r>
        <w:t xml:space="preserve"> programmes </w:t>
      </w:r>
      <w:r w:rsidR="00CE0689">
        <w:t xml:space="preserve">generally </w:t>
      </w:r>
      <w:r>
        <w:t xml:space="preserve">had no national </w:t>
      </w:r>
      <w:r w:rsidR="00CE0689">
        <w:t xml:space="preserve">emissions reductions targets. </w:t>
      </w:r>
      <w:r w:rsidR="00E01729" w:rsidRPr="002C5185">
        <w:rPr>
          <w:rFonts w:eastAsiaTheme="minorEastAsia"/>
        </w:rPr>
        <w:t xml:space="preserve">The key difference now </w:t>
      </w:r>
      <w:r w:rsidR="00A8520A">
        <w:rPr>
          <w:rFonts w:eastAsiaTheme="minorEastAsia"/>
        </w:rPr>
        <w:t>is t</w:t>
      </w:r>
      <w:r w:rsidR="00E01729" w:rsidRPr="002C5185">
        <w:rPr>
          <w:rFonts w:eastAsiaTheme="minorEastAsia"/>
        </w:rPr>
        <w:t xml:space="preserve">hat virtually all countries </w:t>
      </w:r>
      <w:r w:rsidR="00CF24BB" w:rsidRPr="002C5185">
        <w:rPr>
          <w:rFonts w:eastAsiaTheme="minorEastAsia"/>
        </w:rPr>
        <w:t xml:space="preserve">do </w:t>
      </w:r>
      <w:r w:rsidR="00E01729" w:rsidRPr="002C5185">
        <w:rPr>
          <w:rFonts w:eastAsiaTheme="minorEastAsia"/>
        </w:rPr>
        <w:t>have targets</w:t>
      </w:r>
      <w:r w:rsidR="00D32C5C">
        <w:t>. U</w:t>
      </w:r>
      <w:r w:rsidR="005C1799">
        <w:t xml:space="preserve">nder the Paris Agreement all </w:t>
      </w:r>
      <w:r w:rsidR="005C1799">
        <w:lastRenderedPageBreak/>
        <w:t xml:space="preserve">countries are now required to have emissions reduction targets (termed Nationally Determined Contributions), and therefore </w:t>
      </w:r>
      <w:r w:rsidR="005C1799">
        <w:rPr>
          <w:rFonts w:eastAsiaTheme="minorEastAsia"/>
        </w:rPr>
        <w:t>when one country sells a credit</w:t>
      </w:r>
      <w:r w:rsidR="00E01729" w:rsidRPr="002C5185">
        <w:rPr>
          <w:rFonts w:eastAsiaTheme="minorEastAsia"/>
        </w:rPr>
        <w:t xml:space="preserve"> that is used to meet </w:t>
      </w:r>
      <w:r w:rsidR="00E94B90" w:rsidRPr="002C5185">
        <w:rPr>
          <w:rFonts w:eastAsiaTheme="minorEastAsia"/>
        </w:rPr>
        <w:t xml:space="preserve">another’s </w:t>
      </w:r>
      <w:r w:rsidR="00E01729" w:rsidRPr="002C5185">
        <w:rPr>
          <w:rFonts w:eastAsiaTheme="minorEastAsia"/>
        </w:rPr>
        <w:t>target, the</w:t>
      </w:r>
      <w:r w:rsidR="00E94B90" w:rsidRPr="002C5185">
        <w:rPr>
          <w:rFonts w:eastAsiaTheme="minorEastAsia"/>
        </w:rPr>
        <w:t xml:space="preserve"> seller</w:t>
      </w:r>
      <w:r w:rsidR="00E01729" w:rsidRPr="002C5185">
        <w:rPr>
          <w:rFonts w:eastAsiaTheme="minorEastAsia"/>
        </w:rPr>
        <w:t xml:space="preserve"> must</w:t>
      </w:r>
      <w:r w:rsidR="005C1799">
        <w:rPr>
          <w:rFonts w:eastAsiaTheme="minorEastAsia"/>
        </w:rPr>
        <w:t xml:space="preserve"> </w:t>
      </w:r>
      <w:r w:rsidR="00E01729" w:rsidRPr="002C5185">
        <w:rPr>
          <w:rFonts w:eastAsiaTheme="minorEastAsia"/>
        </w:rPr>
        <w:t xml:space="preserve">add the abatement the credit represents to their </w:t>
      </w:r>
      <w:r w:rsidR="00720FD4">
        <w:rPr>
          <w:rFonts w:eastAsiaTheme="minorEastAsia"/>
        </w:rPr>
        <w:t xml:space="preserve">own </w:t>
      </w:r>
      <w:r w:rsidR="00E01729" w:rsidRPr="002C5185">
        <w:rPr>
          <w:rFonts w:eastAsiaTheme="minorEastAsia"/>
        </w:rPr>
        <w:t xml:space="preserve">emissions levels. This </w:t>
      </w:r>
      <w:r w:rsidR="005D4602" w:rsidRPr="002C5185">
        <w:rPr>
          <w:rFonts w:eastAsiaTheme="minorEastAsia"/>
        </w:rPr>
        <w:t xml:space="preserve">‘corresponding adjustment’ </w:t>
      </w:r>
      <w:r w:rsidR="00E01729" w:rsidRPr="002C5185">
        <w:rPr>
          <w:rFonts w:eastAsiaTheme="minorEastAsia"/>
        </w:rPr>
        <w:t>stops the abatement represented by the credit from being counted towards more than one target</w:t>
      </w:r>
      <w:r w:rsidR="005D4602" w:rsidRPr="002C5185">
        <w:rPr>
          <w:rFonts w:eastAsiaTheme="minorEastAsia"/>
        </w:rPr>
        <w:t xml:space="preserve">. It also </w:t>
      </w:r>
      <w:r w:rsidR="00E01729" w:rsidRPr="002C5185">
        <w:rPr>
          <w:rFonts w:eastAsiaTheme="minorEastAsia"/>
        </w:rPr>
        <w:t xml:space="preserve">requires the seller to ensure they are taking other steps to meet their </w:t>
      </w:r>
      <w:r w:rsidR="00233816" w:rsidRPr="002C5185">
        <w:rPr>
          <w:rFonts w:eastAsiaTheme="minorEastAsia"/>
        </w:rPr>
        <w:t>climate target</w:t>
      </w:r>
      <w:r w:rsidR="00E01729" w:rsidRPr="002C5185">
        <w:rPr>
          <w:rFonts w:eastAsiaTheme="minorEastAsia"/>
        </w:rPr>
        <w:t>, and do not ‘oversell’ their abatement internationally.</w:t>
      </w:r>
      <w:r w:rsidR="00233816" w:rsidRPr="002C5185">
        <w:rPr>
          <w:rFonts w:eastAsiaTheme="minorEastAsia"/>
        </w:rPr>
        <w:t xml:space="preserve"> </w:t>
      </w:r>
    </w:p>
    <w:p w14:paraId="1E66EC4F" w14:textId="109D5C5D" w:rsidR="0017187D" w:rsidRPr="003B19E9" w:rsidRDefault="0017187D" w:rsidP="002C5185">
      <w:pPr>
        <w:pStyle w:val="EBBodyPara"/>
        <w:numPr>
          <w:ilvl w:val="0"/>
          <w:numId w:val="7"/>
        </w:numPr>
      </w:pPr>
      <w:r w:rsidRPr="357D930B">
        <w:rPr>
          <w:rFonts w:eastAsiaTheme="minorEastAsia"/>
        </w:rPr>
        <w:t xml:space="preserve">The UK’s own </w:t>
      </w:r>
      <w:r w:rsidR="00E17BC2" w:rsidRPr="357D930B">
        <w:rPr>
          <w:rFonts w:eastAsiaTheme="minorEastAsia"/>
        </w:rPr>
        <w:t>N</w:t>
      </w:r>
      <w:r w:rsidRPr="357D930B">
        <w:rPr>
          <w:rFonts w:eastAsiaTheme="minorEastAsia"/>
        </w:rPr>
        <w:t xml:space="preserve">ationally </w:t>
      </w:r>
      <w:r w:rsidR="00E17BC2" w:rsidRPr="357D930B">
        <w:rPr>
          <w:rFonts w:eastAsiaTheme="minorEastAsia"/>
        </w:rPr>
        <w:t>D</w:t>
      </w:r>
      <w:r w:rsidRPr="357D930B">
        <w:rPr>
          <w:rFonts w:eastAsiaTheme="minorEastAsia"/>
        </w:rPr>
        <w:t xml:space="preserve">etermined </w:t>
      </w:r>
      <w:r w:rsidR="00E17BC2" w:rsidRPr="357D930B">
        <w:rPr>
          <w:rFonts w:eastAsiaTheme="minorEastAsia"/>
        </w:rPr>
        <w:t>C</w:t>
      </w:r>
      <w:r w:rsidRPr="357D930B">
        <w:rPr>
          <w:rFonts w:eastAsiaTheme="minorEastAsia"/>
        </w:rPr>
        <w:t>ontribution was set in December 2020 and commits to an at least 68% reduction in emissions by 2030, relative to 1990 levels. The UK intends to meet this 2030 target without the use of international credits</w:t>
      </w:r>
      <w:r w:rsidR="00AB2757" w:rsidRPr="357D930B">
        <w:rPr>
          <w:rFonts w:eastAsiaTheme="minorEastAsia"/>
        </w:rPr>
        <w:t>. T</w:t>
      </w:r>
      <w:r w:rsidR="00707D58">
        <w:t xml:space="preserve">he CCC </w:t>
      </w:r>
      <w:r w:rsidR="00AB2757">
        <w:t>has indicated it would</w:t>
      </w:r>
      <w:r w:rsidR="00707D58">
        <w:t xml:space="preserve"> support the use of international credits if the UK were to </w:t>
      </w:r>
      <w:r w:rsidR="005504E7">
        <w:t xml:space="preserve">increase its ambition beyond </w:t>
      </w:r>
      <w:r w:rsidR="00D57887">
        <w:t>existing targets</w:t>
      </w:r>
      <w:r w:rsidR="342644AC">
        <w:t>.</w:t>
      </w:r>
    </w:p>
    <w:p w14:paraId="514C855B" w14:textId="4B8C1C03" w:rsidR="00721471" w:rsidRDefault="00965963" w:rsidP="00D9456D">
      <w:pPr>
        <w:pStyle w:val="EBBodyPara"/>
        <w:numPr>
          <w:ilvl w:val="0"/>
          <w:numId w:val="7"/>
        </w:numPr>
      </w:pPr>
      <w:r w:rsidRPr="002C5185">
        <w:rPr>
          <w:rFonts w:eastAsiaTheme="minorEastAsia"/>
        </w:rPr>
        <w:t xml:space="preserve">Supply of international credits is likely to be inhibited until more countries have better developed plans around </w:t>
      </w:r>
      <w:r w:rsidR="00205194" w:rsidRPr="002C5185">
        <w:rPr>
          <w:rFonts w:eastAsiaTheme="minorEastAsia"/>
        </w:rPr>
        <w:t xml:space="preserve">what abatement </w:t>
      </w:r>
      <w:r w:rsidR="00370A6C" w:rsidRPr="002C5185">
        <w:rPr>
          <w:rFonts w:eastAsiaTheme="minorEastAsia"/>
        </w:rPr>
        <w:t>they will realise</w:t>
      </w:r>
      <w:r w:rsidR="00205194" w:rsidRPr="002C5185">
        <w:rPr>
          <w:rFonts w:eastAsiaTheme="minorEastAsia"/>
        </w:rPr>
        <w:t xml:space="preserve"> domestically, and what might be sold on the international carbon market</w:t>
      </w:r>
      <w:r w:rsidR="00111FE2" w:rsidRPr="002C5185">
        <w:rPr>
          <w:rFonts w:eastAsiaTheme="minorEastAsia"/>
        </w:rPr>
        <w:t>.</w:t>
      </w:r>
      <w:r w:rsidR="0029346E">
        <w:t xml:space="preserve"> </w:t>
      </w:r>
      <w:r w:rsidR="004E11A8">
        <w:t xml:space="preserve">Low supply </w:t>
      </w:r>
      <w:r w:rsidR="00D9456D">
        <w:t xml:space="preserve">may </w:t>
      </w:r>
      <w:r w:rsidR="005F160A">
        <w:t xml:space="preserve">reduce the </w:t>
      </w:r>
      <w:r w:rsidR="00580A0C">
        <w:t xml:space="preserve">viability </w:t>
      </w:r>
      <w:r w:rsidR="005F160A">
        <w:t>of international credits as a mechanism for managing uncertainty in domestic abatement,</w:t>
      </w:r>
      <w:r w:rsidR="00CF4D3C">
        <w:t xml:space="preserve"> as it cannot be </w:t>
      </w:r>
      <w:r w:rsidR="00D9456D">
        <w:t>guaranteed</w:t>
      </w:r>
      <w:r w:rsidR="00CF4D3C">
        <w:t xml:space="preserve"> that </w:t>
      </w:r>
      <w:r w:rsidR="000C6AE8">
        <w:t xml:space="preserve">high quality </w:t>
      </w:r>
      <w:r w:rsidR="00CF4D3C">
        <w:t xml:space="preserve">credits will be </w:t>
      </w:r>
      <w:r w:rsidR="00D9456D">
        <w:t xml:space="preserve">available to fill any shortfall identified towards the end of a carbon budget. </w:t>
      </w:r>
    </w:p>
    <w:p w14:paraId="4CF391C5" w14:textId="6EC01F03" w:rsidR="00201642" w:rsidRDefault="00201642" w:rsidP="00D9456D">
      <w:pPr>
        <w:pStyle w:val="EBBodyPara"/>
        <w:numPr>
          <w:ilvl w:val="0"/>
          <w:numId w:val="7"/>
        </w:numPr>
      </w:pPr>
      <w:r>
        <w:t xml:space="preserve">Low supply may also increase </w:t>
      </w:r>
      <w:r w:rsidR="00BD3CC2">
        <w:t xml:space="preserve">the </w:t>
      </w:r>
      <w:r>
        <w:t>price of international credits</w:t>
      </w:r>
      <w:r w:rsidR="00BD3CC2">
        <w:t>. T</w:t>
      </w:r>
      <w:r>
        <w:t xml:space="preserve">o address this a wide range of prices for international credits </w:t>
      </w:r>
      <w:r w:rsidR="00B04E24">
        <w:t>are considered</w:t>
      </w:r>
      <w:r w:rsidR="00B91213">
        <w:t xml:space="preserve"> whilst </w:t>
      </w:r>
      <w:r w:rsidR="00F43668">
        <w:t xml:space="preserve">potential </w:t>
      </w:r>
      <w:r w:rsidR="00B91213">
        <w:t>limits</w:t>
      </w:r>
      <w:r w:rsidR="00F43668">
        <w:t xml:space="preserve"> on supply also inform the choice of options.</w:t>
      </w:r>
      <w:r>
        <w:t>.</w:t>
      </w:r>
      <w:r w:rsidR="001C3169">
        <w:t>.</w:t>
      </w:r>
      <w:r w:rsidR="00A222DA">
        <w:t xml:space="preserve"> </w:t>
      </w:r>
    </w:p>
    <w:p w14:paraId="05085114" w14:textId="2B68E1D6" w:rsidR="00553A2E" w:rsidRDefault="000C7ACF" w:rsidP="00553A2E">
      <w:pPr>
        <w:pStyle w:val="Heading3"/>
      </w:pPr>
      <w:bookmarkStart w:id="57" w:name="_Toc67067474"/>
      <w:r>
        <w:t xml:space="preserve">3 </w:t>
      </w:r>
      <w:r w:rsidR="00AC1FA6">
        <w:t>Impact on carbon budgets of uncertainty in emissions projections</w:t>
      </w:r>
      <w:bookmarkEnd w:id="57"/>
    </w:p>
    <w:p w14:paraId="702A8716" w14:textId="25BEA997" w:rsidR="005142B6" w:rsidRDefault="49CBBB29" w:rsidP="00730139">
      <w:pPr>
        <w:pStyle w:val="EBBodyPara"/>
        <w:numPr>
          <w:ilvl w:val="0"/>
          <w:numId w:val="7"/>
        </w:numPr>
      </w:pPr>
      <w:r>
        <w:t xml:space="preserve">UK emissions fell </w:t>
      </w:r>
      <w:r w:rsidR="32E0175A">
        <w:t>by 44% between 1990 and 2019</w:t>
      </w:r>
      <w:r w:rsidR="0AC7ECF0">
        <w:t xml:space="preserve"> and we met our first two carbon budgets</w:t>
      </w:r>
      <w:r w:rsidR="37271FAC">
        <w:t xml:space="preserve">. The </w:t>
      </w:r>
      <w:r w:rsidR="005F60B5">
        <w:t>g</w:t>
      </w:r>
      <w:r w:rsidR="37271FAC">
        <w:t xml:space="preserve">overnment </w:t>
      </w:r>
      <w:r w:rsidR="7956EBC5">
        <w:t xml:space="preserve">has </w:t>
      </w:r>
      <w:r w:rsidR="777AECB8">
        <w:t xml:space="preserve">recently announced significant policy to </w:t>
      </w:r>
      <w:r w:rsidR="0EC4454C">
        <w:t xml:space="preserve">help </w:t>
      </w:r>
      <w:r w:rsidR="777AECB8">
        <w:t xml:space="preserve">meet </w:t>
      </w:r>
      <w:r w:rsidR="0EC4454C">
        <w:t>future</w:t>
      </w:r>
      <w:r w:rsidR="7956EBC5">
        <w:t xml:space="preserve"> carbon budget</w:t>
      </w:r>
      <w:r w:rsidR="0EC4454C">
        <w:t>s</w:t>
      </w:r>
      <w:r w:rsidR="777AECB8">
        <w:t>, including through the Energy White Paper and Ten Point Plan.</w:t>
      </w:r>
      <w:r w:rsidR="00D57887">
        <w:rPr>
          <w:rStyle w:val="FootnoteReference"/>
        </w:rPr>
        <w:footnoteReference w:id="4"/>
      </w:r>
    </w:p>
    <w:p w14:paraId="17305FDE" w14:textId="54334A41" w:rsidR="00831AEF" w:rsidRDefault="00831AEF" w:rsidP="00730139">
      <w:pPr>
        <w:pStyle w:val="EBBodyPara"/>
        <w:numPr>
          <w:ilvl w:val="0"/>
          <w:numId w:val="7"/>
        </w:numPr>
      </w:pPr>
      <w:r>
        <w:t>However, p</w:t>
      </w:r>
      <w:r w:rsidR="005C22DA">
        <w:t>lanning to meet carbon budgets relies on projections</w:t>
      </w:r>
      <w:r w:rsidR="00AA3D6C">
        <w:t xml:space="preserve"> of future emissions</w:t>
      </w:r>
      <w:r w:rsidR="005C22DA">
        <w:t>, which are inherently uncertain.</w:t>
      </w:r>
      <w:r>
        <w:t xml:space="preserve"> Th</w:t>
      </w:r>
      <w:r w:rsidR="005142B6">
        <w:t xml:space="preserve">is means that the required level of abatement to meet </w:t>
      </w:r>
      <w:r w:rsidR="005A6A0E">
        <w:t>the fourth carbon budget</w:t>
      </w:r>
      <w:r w:rsidR="005142B6">
        <w:t xml:space="preserve"> could be greater (or lower) than expected, and requires identifying contingencies to ensure that emissions over the 2023-27 period do not exceed their legislated level. </w:t>
      </w:r>
      <w:r w:rsidR="005A6A0E">
        <w:t>T</w:t>
      </w:r>
      <w:r w:rsidR="005142B6">
        <w:t xml:space="preserve">he main sources of this uncertainty </w:t>
      </w:r>
      <w:r w:rsidR="005A6A0E">
        <w:t xml:space="preserve">are discussed </w:t>
      </w:r>
      <w:r w:rsidR="005142B6">
        <w:t>below</w:t>
      </w:r>
      <w:r w:rsidR="00EC00AE">
        <w:t xml:space="preserve"> -</w:t>
      </w:r>
      <w:r w:rsidR="005142B6">
        <w:t xml:space="preserve"> inventory uncertainty and projections </w:t>
      </w:r>
      <w:r w:rsidR="007D75DA">
        <w:t xml:space="preserve">and policies </w:t>
      </w:r>
      <w:r w:rsidR="005142B6">
        <w:t>uncertainty.</w:t>
      </w:r>
    </w:p>
    <w:p w14:paraId="22B68F87" w14:textId="48BE8F40" w:rsidR="00721BD7" w:rsidRDefault="00033BB4" w:rsidP="00D354A3">
      <w:pPr>
        <w:pStyle w:val="EBBodyPara"/>
        <w:numPr>
          <w:ilvl w:val="0"/>
          <w:numId w:val="7"/>
        </w:numPr>
      </w:pPr>
      <w:r w:rsidRPr="00B37DC8">
        <w:rPr>
          <w:b/>
        </w:rPr>
        <w:t>Inventory uncertainty</w:t>
      </w:r>
      <w:r w:rsidRPr="005142B6">
        <w:t xml:space="preserve"> </w:t>
      </w:r>
      <w:r>
        <w:t xml:space="preserve">relates to </w:t>
      </w:r>
      <w:r w:rsidR="00F57F26">
        <w:t xml:space="preserve">how emissions are measured. </w:t>
      </w:r>
      <w:r w:rsidR="00050C55">
        <w:t>Scientific knowledge in rela</w:t>
      </w:r>
      <w:r w:rsidR="00D52B27">
        <w:t xml:space="preserve">tion to emissions sources develops continually over time, which can result in emissions </w:t>
      </w:r>
      <w:r w:rsidR="00165187">
        <w:t xml:space="preserve">for previous and future years being measured as higher or lower. </w:t>
      </w:r>
      <w:r w:rsidR="00BF00A2">
        <w:t>We have considered potential developments in scientific knowledge in line with section 10 of the Climate Change Act.</w:t>
      </w:r>
    </w:p>
    <w:p w14:paraId="53C62B0D" w14:textId="30CCBDCD" w:rsidR="00A91207" w:rsidRDefault="00165187" w:rsidP="00D354A3">
      <w:pPr>
        <w:pStyle w:val="EBBodyPara"/>
        <w:numPr>
          <w:ilvl w:val="0"/>
          <w:numId w:val="7"/>
        </w:numPr>
      </w:pPr>
      <w:r>
        <w:t xml:space="preserve">For example, the UK expects to adopt updated </w:t>
      </w:r>
      <w:r w:rsidR="00D354A3">
        <w:t xml:space="preserve">definitions of </w:t>
      </w:r>
      <w:r w:rsidR="00670FE3">
        <w:t xml:space="preserve">global warming potentials (GWPs) </w:t>
      </w:r>
      <w:r w:rsidR="00982793">
        <w:t xml:space="preserve">in the near future. GWPs measure the potency of each greenhouse gas relative to carbon dioxide, and updates to their values </w:t>
      </w:r>
      <w:r w:rsidR="00BB0786">
        <w:t xml:space="preserve">may increase (or reduce) measured emissions given that a substantial fraction of UK emissions are non-CO2 (with methane making up the </w:t>
      </w:r>
      <w:r w:rsidR="00FC3AEC">
        <w:t>most substantial proportion</w:t>
      </w:r>
      <w:r w:rsidR="00BB0786">
        <w:t xml:space="preserve">). The UK expects to adopt values from the IPCC Fifth Assessment Report (AR5 values), although further updates are possible before </w:t>
      </w:r>
      <w:r w:rsidR="00EC00AE">
        <w:t>the fou</w:t>
      </w:r>
      <w:r w:rsidR="005C49BF">
        <w:t>rth</w:t>
      </w:r>
      <w:r w:rsidR="00EC00AE">
        <w:t xml:space="preserve"> carbon budget</w:t>
      </w:r>
      <w:r w:rsidR="00BB0786">
        <w:t xml:space="preserve"> is accounted</w:t>
      </w:r>
      <w:r w:rsidR="00080CEC">
        <w:t>: in particular, the IPCC Sixth Assessment Report will be published in 2022</w:t>
      </w:r>
      <w:r w:rsidR="00BB0786" w:rsidDel="00080CEC">
        <w:t>.</w:t>
      </w:r>
    </w:p>
    <w:p w14:paraId="2FE0E879" w14:textId="3119870E" w:rsidR="00F57F26" w:rsidRDefault="00A91207" w:rsidP="00D354A3">
      <w:pPr>
        <w:pStyle w:val="EBBodyPara"/>
        <w:numPr>
          <w:ilvl w:val="0"/>
          <w:numId w:val="7"/>
        </w:numPr>
      </w:pPr>
      <w:r>
        <w:t>Likewise, measurements of existing emissions sources</w:t>
      </w:r>
      <w:r w:rsidR="00C7339C">
        <w:t xml:space="preserve">, and knowledge of </w:t>
      </w:r>
      <w:r w:rsidR="00C7339C" w:rsidRPr="00796961">
        <w:t>different emissions sources that need to be included,</w:t>
      </w:r>
      <w:r w:rsidRPr="00796961">
        <w:t xml:space="preserve"> improves over time</w:t>
      </w:r>
      <w:r w:rsidR="00C7339C" w:rsidRPr="00796961">
        <w:t xml:space="preserve">. This contributed to </w:t>
      </w:r>
      <w:r w:rsidR="00796961">
        <w:t>a 17</w:t>
      </w:r>
      <w:r w:rsidR="00C7339C" w:rsidRPr="00355773">
        <w:t xml:space="preserve"> M</w:t>
      </w:r>
      <w:r w:rsidR="00C7339C" w:rsidRPr="00796961">
        <w:t>t</w:t>
      </w:r>
      <w:r w:rsidR="00C7339C">
        <w:t xml:space="preserve"> increase in </w:t>
      </w:r>
      <w:r w:rsidR="005C49BF">
        <w:t xml:space="preserve">annual </w:t>
      </w:r>
      <w:r w:rsidR="00C7339C">
        <w:t>emissions</w:t>
      </w:r>
      <w:r w:rsidR="00C928AE">
        <w:t xml:space="preserve"> for 2018</w:t>
      </w:r>
      <w:r w:rsidR="00C7339C">
        <w:t xml:space="preserve"> </w:t>
      </w:r>
      <w:r w:rsidR="00CF0EE5">
        <w:t xml:space="preserve">in the most recent final </w:t>
      </w:r>
      <w:r w:rsidR="0011200C">
        <w:t xml:space="preserve">GHG </w:t>
      </w:r>
      <w:r w:rsidR="00CF0EE5">
        <w:t xml:space="preserve">inventory statistics, </w:t>
      </w:r>
      <w:r w:rsidR="00796961">
        <w:t xml:space="preserve">largely due to </w:t>
      </w:r>
      <w:r w:rsidR="0014305C" w:rsidRPr="00A517EE">
        <w:t>better representing emissions from drained and rewetted inland organic soils (peatlands) consistent with the 2013 IPCC Wetlands Supplement</w:t>
      </w:r>
      <w:r w:rsidR="005505B0">
        <w:t>.</w:t>
      </w:r>
      <w:r w:rsidR="005505B0">
        <w:rPr>
          <w:rStyle w:val="FootnoteReference"/>
        </w:rPr>
        <w:footnoteReference w:id="5"/>
      </w:r>
      <w:r w:rsidR="007D75DA">
        <w:t xml:space="preserve"> </w:t>
      </w:r>
    </w:p>
    <w:p w14:paraId="3278EAB5" w14:textId="09E807BF" w:rsidR="006D2AB6" w:rsidRDefault="00E000AA" w:rsidP="00D354A3">
      <w:pPr>
        <w:pStyle w:val="EBBodyPara"/>
        <w:numPr>
          <w:ilvl w:val="0"/>
          <w:numId w:val="7"/>
        </w:numPr>
      </w:pPr>
      <w:r>
        <w:t>Future u</w:t>
      </w:r>
      <w:r w:rsidR="00721BD7">
        <w:t xml:space="preserve">pdates therefore could mean that emissions over </w:t>
      </w:r>
      <w:r w:rsidR="005C49BF">
        <w:t>the fourth carbon budget period</w:t>
      </w:r>
      <w:r w:rsidR="00721BD7">
        <w:t xml:space="preserve"> will be higher than forecast. Whilst the Government is taking into account </w:t>
      </w:r>
      <w:r w:rsidR="37E210C0">
        <w:t xml:space="preserve">the </w:t>
      </w:r>
      <w:r w:rsidR="00721BD7">
        <w:t xml:space="preserve">known </w:t>
      </w:r>
      <w:r w:rsidR="006D2AB6">
        <w:t xml:space="preserve">ways </w:t>
      </w:r>
      <w:r w:rsidR="6DE72BB4">
        <w:t xml:space="preserve">in which </w:t>
      </w:r>
      <w:r w:rsidR="006D2AB6">
        <w:t xml:space="preserve">emissions could be higher in its planning, for example by considering the impact of adopting </w:t>
      </w:r>
      <w:r w:rsidR="00982793">
        <w:lastRenderedPageBreak/>
        <w:t>higher GWPs</w:t>
      </w:r>
      <w:r w:rsidR="006D2AB6">
        <w:t xml:space="preserve">, </w:t>
      </w:r>
      <w:r w:rsidR="0093269B">
        <w:t xml:space="preserve">there are limits on the foreseeability of these changes. The final emissions level over </w:t>
      </w:r>
      <w:r>
        <w:t>the fourth carbon budget</w:t>
      </w:r>
      <w:r w:rsidR="0093269B">
        <w:t xml:space="preserve"> will not be known until </w:t>
      </w:r>
      <w:r w:rsidR="00DB6AC8">
        <w:t>March 2029.</w:t>
      </w:r>
      <w:r w:rsidR="0093269B">
        <w:t xml:space="preserve"> </w:t>
      </w:r>
    </w:p>
    <w:p w14:paraId="77ECFC2E" w14:textId="34E13904" w:rsidR="00B42CA5" w:rsidRDefault="00270B9A" w:rsidP="00D354A3">
      <w:pPr>
        <w:pStyle w:val="EBBodyPara"/>
        <w:numPr>
          <w:ilvl w:val="0"/>
          <w:numId w:val="7"/>
        </w:numPr>
      </w:pPr>
      <w:r w:rsidRPr="000F75A3">
        <w:rPr>
          <w:b/>
          <w:bCs w:val="0"/>
        </w:rPr>
        <w:t>Projection</w:t>
      </w:r>
      <w:r w:rsidR="007D75DA" w:rsidRPr="000F75A3">
        <w:rPr>
          <w:b/>
          <w:bCs w:val="0"/>
        </w:rPr>
        <w:t>s</w:t>
      </w:r>
      <w:r w:rsidRPr="000F75A3">
        <w:rPr>
          <w:b/>
        </w:rPr>
        <w:t xml:space="preserve"> </w:t>
      </w:r>
      <w:r w:rsidR="000C3663" w:rsidRPr="000F75A3">
        <w:rPr>
          <w:b/>
        </w:rPr>
        <w:t xml:space="preserve">and policies </w:t>
      </w:r>
      <w:r w:rsidRPr="000F75A3">
        <w:rPr>
          <w:b/>
        </w:rPr>
        <w:t>uncertainty</w:t>
      </w:r>
      <w:r>
        <w:t xml:space="preserve"> relates to </w:t>
      </w:r>
      <w:r w:rsidR="00B343A0">
        <w:t xml:space="preserve">limits in the extent to which modelling can precisely forecast the future. </w:t>
      </w:r>
      <w:r w:rsidR="008844B5">
        <w:t>E</w:t>
      </w:r>
      <w:r w:rsidR="00B343A0">
        <w:t>missions depend on factors such as the level of economic activity</w:t>
      </w:r>
      <w:r w:rsidR="007F6F49">
        <w:t>, global commodity prices</w:t>
      </w:r>
      <w:r w:rsidR="00AE6D3A">
        <w:t xml:space="preserve"> and </w:t>
      </w:r>
      <w:r w:rsidR="00681CE9">
        <w:t>temperatures (which influence demand for heating, for example)</w:t>
      </w:r>
      <w:r w:rsidR="008844B5">
        <w:t xml:space="preserve"> several years in the future</w:t>
      </w:r>
      <w:r w:rsidR="00681CE9">
        <w:t>,</w:t>
      </w:r>
      <w:r w:rsidR="00483015">
        <w:t xml:space="preserve"> which ca</w:t>
      </w:r>
      <w:r w:rsidR="008844B5">
        <w:t>nnot be known exactly in advance.</w:t>
      </w:r>
      <w:r w:rsidR="00F254B0">
        <w:t xml:space="preserve"> Further, the </w:t>
      </w:r>
      <w:r w:rsidR="007F6F49">
        <w:t xml:space="preserve">future emissions </w:t>
      </w:r>
      <w:r w:rsidR="00F254B0">
        <w:t>savings associated with polic</w:t>
      </w:r>
      <w:r w:rsidR="007F6F49">
        <w:t>ies</w:t>
      </w:r>
      <w:r w:rsidR="00F254B0">
        <w:t xml:space="preserve"> </w:t>
      </w:r>
      <w:r w:rsidR="009B233F">
        <w:t>are also estimated and may depend for example on</w:t>
      </w:r>
      <w:r w:rsidR="00140074">
        <w:t xml:space="preserve"> </w:t>
      </w:r>
      <w:r w:rsidR="00610422">
        <w:t xml:space="preserve">uncertain </w:t>
      </w:r>
      <w:r w:rsidR="00140074">
        <w:t>take-up rates</w:t>
      </w:r>
      <w:r w:rsidR="001A482D">
        <w:t xml:space="preserve"> of low carbon technologies</w:t>
      </w:r>
      <w:r w:rsidR="00140074">
        <w:t>.</w:t>
      </w:r>
      <w:r w:rsidR="008844B5">
        <w:t xml:space="preserve"> Therefore,</w:t>
      </w:r>
      <w:r w:rsidR="00275012">
        <w:t xml:space="preserve"> it is possible that emissions are higher </w:t>
      </w:r>
      <w:r w:rsidR="00140074">
        <w:t xml:space="preserve">or lower </w:t>
      </w:r>
      <w:r w:rsidR="00275012">
        <w:t>than forecas</w:t>
      </w:r>
      <w:r w:rsidR="009918F8">
        <w:t>t</w:t>
      </w:r>
      <w:r w:rsidR="00275012">
        <w:t>.</w:t>
      </w:r>
    </w:p>
    <w:p w14:paraId="18644079" w14:textId="127CD636" w:rsidR="00275012" w:rsidRDefault="00D374F4" w:rsidP="00D354A3">
      <w:pPr>
        <w:pStyle w:val="EBBodyPara"/>
        <w:numPr>
          <w:ilvl w:val="0"/>
          <w:numId w:val="7"/>
        </w:numPr>
      </w:pPr>
      <w:r>
        <w:t>The table below</w:t>
      </w:r>
      <w:r w:rsidR="003D29A2">
        <w:t xml:space="preserve"> sets out</w:t>
      </w:r>
      <w:r w:rsidR="00493E3E">
        <w:t xml:space="preserve"> potential sources of additional </w:t>
      </w:r>
      <w:r w:rsidR="003D29A2">
        <w:t>emissions over the fourth carbon budget period</w:t>
      </w:r>
      <w:r w:rsidR="00B83E06">
        <w:t>.</w:t>
      </w:r>
      <w:r w:rsidR="00B83E06">
        <w:rPr>
          <w:rStyle w:val="FootnoteReference"/>
        </w:rPr>
        <w:footnoteReference w:id="6"/>
      </w:r>
      <w:r w:rsidR="004720DE">
        <w:t xml:space="preserve"> </w:t>
      </w:r>
    </w:p>
    <w:p w14:paraId="5A329D9F" w14:textId="1D0223CA" w:rsidR="005F4820" w:rsidRPr="005F4820" w:rsidRDefault="005F4820" w:rsidP="005F4820">
      <w:pPr>
        <w:pStyle w:val="EBBodyPara"/>
        <w:ind w:left="720"/>
        <w:rPr>
          <w:b/>
          <w:bCs w:val="0"/>
        </w:rPr>
      </w:pPr>
      <w:r>
        <w:rPr>
          <w:b/>
          <w:bCs w:val="0"/>
        </w:rPr>
        <w:t xml:space="preserve">Table 1: Uncertainty </w:t>
      </w:r>
      <w:r w:rsidR="0058550D">
        <w:rPr>
          <w:b/>
          <w:bCs w:val="0"/>
        </w:rPr>
        <w:t>over CB4</w:t>
      </w:r>
    </w:p>
    <w:tbl>
      <w:tblPr>
        <w:tblStyle w:val="TableGrid"/>
        <w:tblW w:w="0" w:type="auto"/>
        <w:tblInd w:w="720" w:type="dxa"/>
        <w:tblLook w:val="04A0" w:firstRow="1" w:lastRow="0" w:firstColumn="1" w:lastColumn="0" w:noHBand="0" w:noVBand="1"/>
      </w:tblPr>
      <w:tblGrid>
        <w:gridCol w:w="3696"/>
        <w:gridCol w:w="3704"/>
      </w:tblGrid>
      <w:tr w:rsidR="00AD714E" w14:paraId="1DA5F4CA" w14:textId="77777777" w:rsidTr="009C0160">
        <w:trPr>
          <w:trHeight w:val="283"/>
        </w:trPr>
        <w:tc>
          <w:tcPr>
            <w:tcW w:w="3696" w:type="dxa"/>
          </w:tcPr>
          <w:p w14:paraId="25190DCC" w14:textId="2484E466" w:rsidR="00493E3E" w:rsidRPr="00AD714E" w:rsidRDefault="00AD714E" w:rsidP="00493E3E">
            <w:pPr>
              <w:pStyle w:val="EBBodyPara"/>
              <w:rPr>
                <w:b/>
                <w:bCs w:val="0"/>
                <w:i/>
                <w:iCs/>
              </w:rPr>
            </w:pPr>
            <w:r w:rsidRPr="00AD714E">
              <w:rPr>
                <w:b/>
                <w:bCs w:val="0"/>
                <w:i/>
                <w:iCs/>
              </w:rPr>
              <w:t>Source</w:t>
            </w:r>
          </w:p>
        </w:tc>
        <w:tc>
          <w:tcPr>
            <w:tcW w:w="3704" w:type="dxa"/>
          </w:tcPr>
          <w:p w14:paraId="4D33106B" w14:textId="1427DD14" w:rsidR="00493E3E" w:rsidRPr="00AD714E" w:rsidRDefault="00AD714E" w:rsidP="00493E3E">
            <w:pPr>
              <w:pStyle w:val="EBBodyPara"/>
              <w:rPr>
                <w:b/>
                <w:bCs w:val="0"/>
                <w:i/>
                <w:iCs/>
              </w:rPr>
            </w:pPr>
            <w:r w:rsidRPr="00AD714E">
              <w:rPr>
                <w:b/>
                <w:bCs w:val="0"/>
                <w:i/>
                <w:iCs/>
              </w:rPr>
              <w:t>Potential Addition</w:t>
            </w:r>
            <w:r w:rsidR="000C19CE">
              <w:rPr>
                <w:b/>
                <w:bCs w:val="0"/>
                <w:i/>
                <w:iCs/>
              </w:rPr>
              <w:t xml:space="preserve"> over 2023-27</w:t>
            </w:r>
          </w:p>
        </w:tc>
      </w:tr>
      <w:tr w:rsidR="00AD714E" w14:paraId="65233BAD" w14:textId="77777777" w:rsidTr="009C0160">
        <w:trPr>
          <w:trHeight w:val="408"/>
        </w:trPr>
        <w:tc>
          <w:tcPr>
            <w:tcW w:w="3696" w:type="dxa"/>
          </w:tcPr>
          <w:p w14:paraId="02ACBB22" w14:textId="36311538" w:rsidR="00493E3E" w:rsidRDefault="00493E3E" w:rsidP="00493E3E">
            <w:pPr>
              <w:pStyle w:val="EBBodyPara"/>
            </w:pPr>
            <w:r>
              <w:t>Updates to</w:t>
            </w:r>
            <w:r w:rsidR="00514781">
              <w:t xml:space="preserve"> GWPs – AR5 </w:t>
            </w:r>
            <w:r w:rsidR="008976DF">
              <w:t>5</w:t>
            </w:r>
            <w:r w:rsidR="008976DF" w:rsidRPr="008976DF">
              <w:rPr>
                <w:vertAlign w:val="superscript"/>
              </w:rPr>
              <w:t>th</w:t>
            </w:r>
            <w:r w:rsidR="008976DF">
              <w:t xml:space="preserve"> Assessment Report values</w:t>
            </w:r>
          </w:p>
        </w:tc>
        <w:tc>
          <w:tcPr>
            <w:tcW w:w="3704" w:type="dxa"/>
          </w:tcPr>
          <w:p w14:paraId="3793C159" w14:textId="4B416926" w:rsidR="00493E3E" w:rsidRPr="00EE1647" w:rsidRDefault="004E1C5C" w:rsidP="00493E3E">
            <w:pPr>
              <w:pStyle w:val="EBBodyPara"/>
            </w:pPr>
            <w:r w:rsidRPr="009C0160">
              <w:t>1</w:t>
            </w:r>
            <w:r w:rsidR="00B83E06" w:rsidRPr="009C0160">
              <w:t>5</w:t>
            </w:r>
            <w:r w:rsidRPr="009C0160">
              <w:t xml:space="preserve"> </w:t>
            </w:r>
            <w:r w:rsidRPr="00817C77">
              <w:t xml:space="preserve">to </w:t>
            </w:r>
            <w:r w:rsidRPr="009C0160">
              <w:t>85</w:t>
            </w:r>
            <w:r w:rsidR="00514781" w:rsidRPr="009C0160">
              <w:t xml:space="preserve"> </w:t>
            </w:r>
            <w:r w:rsidR="00AD714E" w:rsidRPr="00817C77">
              <w:t xml:space="preserve">MtCO2e </w:t>
            </w:r>
            <w:r w:rsidR="00514781" w:rsidRPr="00817C77">
              <w:t>(without</w:t>
            </w:r>
            <w:r w:rsidR="00D649CF" w:rsidRPr="00817C77">
              <w:t>/with</w:t>
            </w:r>
            <w:r w:rsidR="00514781" w:rsidRPr="00817C77">
              <w:t xml:space="preserve"> feedback)</w:t>
            </w:r>
            <w:r w:rsidR="008976DF" w:rsidRPr="00EE1647">
              <w:t xml:space="preserve"> </w:t>
            </w:r>
          </w:p>
        </w:tc>
      </w:tr>
      <w:tr w:rsidR="000C19CE" w14:paraId="5AD9FC51" w14:textId="77777777" w:rsidTr="009C0160">
        <w:trPr>
          <w:trHeight w:val="166"/>
        </w:trPr>
        <w:tc>
          <w:tcPr>
            <w:tcW w:w="3696" w:type="dxa"/>
          </w:tcPr>
          <w:p w14:paraId="16D0ACC4" w14:textId="46EB78D2" w:rsidR="000C19CE" w:rsidRDefault="000C19CE" w:rsidP="00493E3E">
            <w:pPr>
              <w:pStyle w:val="EBBodyPara"/>
            </w:pPr>
            <w:r>
              <w:t>Wetlands Uncertainty</w:t>
            </w:r>
          </w:p>
        </w:tc>
        <w:tc>
          <w:tcPr>
            <w:tcW w:w="3704" w:type="dxa"/>
          </w:tcPr>
          <w:p w14:paraId="5E80974B" w14:textId="3D464410" w:rsidR="000C19CE" w:rsidRPr="009C0160" w:rsidRDefault="00305BC3" w:rsidP="00493E3E">
            <w:pPr>
              <w:pStyle w:val="EBBodyPara"/>
            </w:pPr>
            <w:r>
              <w:t>30</w:t>
            </w:r>
            <w:r w:rsidR="000C19CE" w:rsidRPr="00817C77">
              <w:t xml:space="preserve"> MtCO2e</w:t>
            </w:r>
            <w:r w:rsidR="000C19CE" w:rsidRPr="00817C77">
              <w:rPr>
                <w:rStyle w:val="FootnoteReference"/>
              </w:rPr>
              <w:footnoteReference w:id="7"/>
            </w:r>
          </w:p>
        </w:tc>
      </w:tr>
      <w:tr w:rsidR="00AD714E" w14:paraId="08BEAB96" w14:textId="77777777" w:rsidTr="009C0160">
        <w:trPr>
          <w:trHeight w:val="173"/>
        </w:trPr>
        <w:tc>
          <w:tcPr>
            <w:tcW w:w="3696" w:type="dxa"/>
          </w:tcPr>
          <w:p w14:paraId="13B54F51" w14:textId="3B8CB853" w:rsidR="00493E3E" w:rsidRDefault="00514781" w:rsidP="00493E3E">
            <w:pPr>
              <w:pStyle w:val="EBBodyPara"/>
            </w:pPr>
            <w:r>
              <w:t>Inventory Revisions</w:t>
            </w:r>
          </w:p>
        </w:tc>
        <w:tc>
          <w:tcPr>
            <w:tcW w:w="3704" w:type="dxa"/>
          </w:tcPr>
          <w:p w14:paraId="2DB08662" w14:textId="2D035790" w:rsidR="00493E3E" w:rsidRPr="00817C77" w:rsidRDefault="00790C55" w:rsidP="00493E3E">
            <w:pPr>
              <w:pStyle w:val="EBBodyPara"/>
            </w:pPr>
            <w:r w:rsidRPr="009C0160">
              <w:t>5</w:t>
            </w:r>
            <w:r w:rsidR="00B83E06" w:rsidRPr="009C0160">
              <w:t>5</w:t>
            </w:r>
            <w:r w:rsidR="00514781" w:rsidRPr="009C0160">
              <w:t xml:space="preserve"> </w:t>
            </w:r>
            <w:r w:rsidR="00514781" w:rsidRPr="00817C77">
              <w:t>Mt</w:t>
            </w:r>
            <w:r w:rsidR="00AD714E" w:rsidRPr="00817C77">
              <w:t>CO2e</w:t>
            </w:r>
            <w:r w:rsidR="00E47608" w:rsidRPr="00817C77">
              <w:rPr>
                <w:rStyle w:val="FootnoteReference"/>
              </w:rPr>
              <w:footnoteReference w:id="8"/>
            </w:r>
          </w:p>
        </w:tc>
      </w:tr>
      <w:tr w:rsidR="000C19CE" w14:paraId="3C1B2F7C" w14:textId="77777777" w:rsidTr="009C0160">
        <w:trPr>
          <w:trHeight w:val="283"/>
        </w:trPr>
        <w:tc>
          <w:tcPr>
            <w:tcW w:w="3696" w:type="dxa"/>
          </w:tcPr>
          <w:p w14:paraId="1556F2FC" w14:textId="014C9C6C" w:rsidR="000C19CE" w:rsidRDefault="000C19CE" w:rsidP="00493E3E">
            <w:pPr>
              <w:pStyle w:val="EBBodyPara"/>
            </w:pPr>
            <w:r>
              <w:t xml:space="preserve">Projections uncertainty </w:t>
            </w:r>
            <w:r w:rsidR="00D34EEF">
              <w:rPr>
                <w:rStyle w:val="FootnoteReference"/>
              </w:rPr>
              <w:footnoteReference w:id="9"/>
            </w:r>
          </w:p>
        </w:tc>
        <w:tc>
          <w:tcPr>
            <w:tcW w:w="3704" w:type="dxa"/>
          </w:tcPr>
          <w:p w14:paraId="43B45AA7" w14:textId="2A421956" w:rsidR="000C19CE" w:rsidRPr="00817C77" w:rsidRDefault="000C19CE" w:rsidP="00493E3E">
            <w:pPr>
              <w:pStyle w:val="EBBodyPara"/>
            </w:pPr>
            <w:r w:rsidRPr="00817C77">
              <w:t>12</w:t>
            </w:r>
            <w:r w:rsidR="00817C77">
              <w:t>5</w:t>
            </w:r>
            <w:r w:rsidRPr="00817C77">
              <w:t xml:space="preserve"> MtCO2e</w:t>
            </w:r>
          </w:p>
        </w:tc>
      </w:tr>
    </w:tbl>
    <w:p w14:paraId="051E8190" w14:textId="3C479D8E" w:rsidR="00493E3E" w:rsidRDefault="0058550D" w:rsidP="00493E3E">
      <w:pPr>
        <w:pStyle w:val="EBBodyPara"/>
        <w:ind w:left="720"/>
      </w:pPr>
      <w:r w:rsidRPr="00813363">
        <w:rPr>
          <w:b/>
          <w:bCs w:val="0"/>
          <w:sz w:val="18"/>
          <w:szCs w:val="18"/>
        </w:rPr>
        <w:t>Source: BEIS Analysis</w:t>
      </w:r>
    </w:p>
    <w:p w14:paraId="5968CAA7" w14:textId="77777777" w:rsidR="005F4820" w:rsidRDefault="005F4820" w:rsidP="005F4820">
      <w:pPr>
        <w:pStyle w:val="EBBodyPara"/>
        <w:numPr>
          <w:ilvl w:val="0"/>
          <w:numId w:val="7"/>
        </w:numPr>
      </w:pPr>
      <w:r>
        <w:t xml:space="preserve">The level of GHG emissions over the fourth carbon budget influences the extent to which the above uncertainty would require additional abatement to be undertaken in order to meet the budget, and therefore the likelihood that credits would be used. To assess this, we have drawn on the latest 2019 Energy and Emissions Projections which includes uncertainty analysis. We maintain the assumption that the traded sector contributes in the same way as the non-traded sector to the budget, eg because the UK is now part of a standalone ETS, and absent further linking, it is not necessary to account for cross-border flows of ETS allowances. </w:t>
      </w:r>
    </w:p>
    <w:p w14:paraId="24333C97" w14:textId="77777777" w:rsidR="005F4820" w:rsidRDefault="005F4820" w:rsidP="005F4820">
      <w:pPr>
        <w:pStyle w:val="EBBodyPara"/>
        <w:numPr>
          <w:ilvl w:val="0"/>
          <w:numId w:val="7"/>
        </w:numPr>
      </w:pPr>
      <w:r>
        <w:t>This analysis considers only the impact of policies which have been implemented, adopted or planned as at August 2019. Since then, the government has identified further savings through the Ten Point Plan and Sectoral Strategies, which will help ensure delivery of Carbon Budgets 4, 5 and 6, as well as the UK’s 2030 NDC. These will be brought together in the government’s Net Zero Strategy later this year.</w:t>
      </w:r>
    </w:p>
    <w:p w14:paraId="5CA8311D" w14:textId="143333CA" w:rsidR="005F4820" w:rsidRDefault="005F4820" w:rsidP="005F4820">
      <w:pPr>
        <w:pStyle w:val="EBBodyPara"/>
        <w:numPr>
          <w:ilvl w:val="0"/>
          <w:numId w:val="7"/>
        </w:numPr>
      </w:pPr>
      <w:r>
        <w:t xml:space="preserve">Figure </w:t>
      </w:r>
      <w:r w:rsidR="004420F6">
        <w:t>1</w:t>
      </w:r>
      <w:r>
        <w:t xml:space="preserve"> below shows an indicative 95% uncertainty range for Carbon Budget 4 emissions, factoring in forthcoming changes to Global Warming Potentials. Based on central projections, it is unlikely that credits would be needed. Even without further policy, if the central projection is realised the government would overachieve the fourth carbon budget, were GWPs to be at the lower end of the possible values that may be adopted. Were GWPs at the higher end, further savings would be required but within the range that further domestic policy is expected to be able to fill. However, there remains the risk that unexpected increases in emissions would leave a shortfall to Carbon Budget 4. </w:t>
      </w:r>
    </w:p>
    <w:p w14:paraId="6F6FB341" w14:textId="77777777" w:rsidR="00735766" w:rsidRDefault="00735766" w:rsidP="005F4820">
      <w:pPr>
        <w:pStyle w:val="EBBodyPara"/>
        <w:ind w:left="720"/>
        <w:rPr>
          <w:b/>
          <w:bCs w:val="0"/>
        </w:rPr>
      </w:pPr>
    </w:p>
    <w:p w14:paraId="52D93462" w14:textId="77777777" w:rsidR="00735766" w:rsidRDefault="00735766" w:rsidP="005F4820">
      <w:pPr>
        <w:pStyle w:val="EBBodyPara"/>
        <w:ind w:left="720"/>
        <w:rPr>
          <w:b/>
          <w:bCs w:val="0"/>
        </w:rPr>
      </w:pPr>
    </w:p>
    <w:p w14:paraId="3B711195" w14:textId="627731D2" w:rsidR="005F4820" w:rsidRPr="00033BB4" w:rsidRDefault="005F4820" w:rsidP="005F4820">
      <w:pPr>
        <w:pStyle w:val="EBBodyPara"/>
        <w:ind w:left="720"/>
        <w:rPr>
          <w:b/>
          <w:bCs w:val="0"/>
        </w:rPr>
      </w:pPr>
      <w:r w:rsidRPr="0058550D">
        <w:rPr>
          <w:b/>
          <w:bCs w:val="0"/>
        </w:rPr>
        <w:lastRenderedPageBreak/>
        <w:t xml:space="preserve">Figure 1: </w:t>
      </w:r>
      <w:r w:rsidR="00735766">
        <w:rPr>
          <w:b/>
          <w:bCs w:val="0"/>
        </w:rPr>
        <w:t>Possible emissions relative to CB4 under forthcoming GWPs.</w:t>
      </w:r>
    </w:p>
    <w:p w14:paraId="7BBC581E" w14:textId="29A33743" w:rsidR="005F4820" w:rsidRPr="002871D8" w:rsidRDefault="00112F81" w:rsidP="005F4820">
      <w:pPr>
        <w:pStyle w:val="EBBodyPara"/>
        <w:ind w:left="720"/>
      </w:pPr>
      <w:r w:rsidRPr="00112F81">
        <w:rPr>
          <w:noProof/>
        </w:rPr>
        <w:t xml:space="preserve"> </w:t>
      </w:r>
      <w:r>
        <w:rPr>
          <w:noProof/>
        </w:rPr>
        <mc:AlternateContent>
          <mc:Choice Requires="cx1">
            <w:drawing>
              <wp:inline distT="0" distB="0" distL="0" distR="0" wp14:anchorId="6624A262" wp14:editId="26767640">
                <wp:extent cx="4572000" cy="2743200"/>
                <wp:effectExtent l="0" t="0" r="0" b="0"/>
                <wp:docPr id="1" name="Chart 1">
                  <a:extLst xmlns:a="http://schemas.openxmlformats.org/drawingml/2006/main">
                    <a:ext uri="{FF2B5EF4-FFF2-40B4-BE49-F238E27FC236}">
                      <a16:creationId xmlns:a16="http://schemas.microsoft.com/office/drawing/2014/main" id="{B0878F88-3EFC-4530-A8F2-56266D5A6C33}"/>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9"/>
                  </a:graphicData>
                </a:graphic>
              </wp:inline>
            </w:drawing>
          </mc:Choice>
          <mc:Fallback>
            <w:drawing>
              <wp:inline distT="0" distB="0" distL="0" distR="0" wp14:anchorId="6624A262" wp14:editId="26767640">
                <wp:extent cx="4572000" cy="2743200"/>
                <wp:effectExtent l="0" t="0" r="0" b="0"/>
                <wp:docPr id="1" name="Chart 1">
                  <a:extLst xmlns:a="http://schemas.openxmlformats.org/drawingml/2006/main">
                    <a:ext uri="{FF2B5EF4-FFF2-40B4-BE49-F238E27FC236}">
                      <a16:creationId xmlns:a16="http://schemas.microsoft.com/office/drawing/2014/main" id="{B0878F88-3EFC-4530-A8F2-56266D5A6C33}"/>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B0878F88-3EFC-4530-A8F2-56266D5A6C33}"/>
                            </a:ext>
                          </a:extLst>
                        </pic:cNvPr>
                        <pic:cNvPicPr>
                          <a:picLocks noGrp="1" noRot="1" noChangeAspect="1" noMove="1" noResize="1" noEditPoints="1" noAdjustHandles="1" noChangeArrowheads="1" noChangeShapeType="1"/>
                        </pic:cNvPicPr>
                      </pic:nvPicPr>
                      <pic:blipFill>
                        <a:blip r:embed="rId20"/>
                        <a:stretch>
                          <a:fillRect/>
                        </a:stretch>
                      </pic:blipFill>
                      <pic:spPr>
                        <a:xfrm>
                          <a:off x="0" y="0"/>
                          <a:ext cx="4572000" cy="2743200"/>
                        </a:xfrm>
                        <a:prstGeom prst="rect">
                          <a:avLst/>
                        </a:prstGeom>
                      </pic:spPr>
                    </pic:pic>
                  </a:graphicData>
                </a:graphic>
              </wp:inline>
            </w:drawing>
          </mc:Fallback>
        </mc:AlternateContent>
      </w:r>
    </w:p>
    <w:p w14:paraId="3637C09E" w14:textId="7737D2B3" w:rsidR="005F4820" w:rsidRPr="005F4820" w:rsidRDefault="005F4820" w:rsidP="005F4820">
      <w:pPr>
        <w:pStyle w:val="EBBodyPara"/>
        <w:ind w:left="720"/>
        <w:rPr>
          <w:b/>
          <w:bCs w:val="0"/>
          <w:sz w:val="18"/>
          <w:szCs w:val="18"/>
        </w:rPr>
      </w:pPr>
      <w:r w:rsidRPr="00813363">
        <w:rPr>
          <w:b/>
          <w:bCs w:val="0"/>
          <w:sz w:val="18"/>
          <w:szCs w:val="18"/>
        </w:rPr>
        <w:t xml:space="preserve">Source: BEIS Analysis of </w:t>
      </w:r>
      <w:r>
        <w:rPr>
          <w:b/>
          <w:bCs w:val="0"/>
          <w:sz w:val="18"/>
          <w:szCs w:val="18"/>
        </w:rPr>
        <w:t>EEP 2018, EEP 2019, and EEP 2019 Covid Projections, including an adjustment to add Wetlands emissions and show the impacts of AR5 GWPs.</w:t>
      </w:r>
    </w:p>
    <w:p w14:paraId="5A8F9F17" w14:textId="78C3B415" w:rsidR="00BB6E16" w:rsidRDefault="00F26CEF" w:rsidP="00EB0046">
      <w:pPr>
        <w:pStyle w:val="Heading3"/>
      </w:pPr>
      <w:bookmarkStart w:id="58" w:name="_Toc67067475"/>
      <w:r>
        <w:t>4</w:t>
      </w:r>
      <w:r w:rsidR="00AF7EBD">
        <w:t xml:space="preserve"> </w:t>
      </w:r>
      <w:r w:rsidR="00BB6E16">
        <w:t>Review of the third carbon budget credit limit</w:t>
      </w:r>
      <w:bookmarkEnd w:id="58"/>
    </w:p>
    <w:p w14:paraId="5ABC4C1C" w14:textId="05F7169F" w:rsidR="004137D6" w:rsidRDefault="00201ED8" w:rsidP="005F4820">
      <w:pPr>
        <w:pStyle w:val="EBBodyPara"/>
        <w:numPr>
          <w:ilvl w:val="0"/>
          <w:numId w:val="7"/>
        </w:numPr>
      </w:pPr>
      <w:r w:rsidRPr="002871D8">
        <w:t>When the third carbon budget credit limit was set</w:t>
      </w:r>
      <w:r w:rsidR="004137D6">
        <w:t xml:space="preserve"> in 2016</w:t>
      </w:r>
      <w:r w:rsidRPr="002871D8">
        <w:t xml:space="preserve">, the Impact Assessment estimated that </w:t>
      </w:r>
      <w:r w:rsidR="0028627A">
        <w:t xml:space="preserve">a credit limit of 55 MtCO2e would be appropriate. </w:t>
      </w:r>
      <w:r w:rsidR="004137D6" w:rsidRPr="002871D8">
        <w:t xml:space="preserve">The government is not aware of evidence that suggests any widespread negative impact on investor confidence resulting from </w:t>
      </w:r>
      <w:r w:rsidR="004137D6">
        <w:t>this decision.</w:t>
      </w:r>
    </w:p>
    <w:p w14:paraId="144DD272" w14:textId="6C30E716" w:rsidR="004137D6" w:rsidRPr="002871D8" w:rsidRDefault="004137D6" w:rsidP="005F4820">
      <w:pPr>
        <w:pStyle w:val="EBBodyPara"/>
        <w:numPr>
          <w:ilvl w:val="0"/>
          <w:numId w:val="7"/>
        </w:numPr>
      </w:pPr>
      <w:r>
        <w:t>The third carbon budget period ends in 2022 and the final statement of emissions for the period will not be made until May 2024. It is therefore not possible to fully assess at this time whether the third carbon budget credit limit level is adequate or proportionate</w:t>
      </w:r>
      <w:r w:rsidR="00C3076E">
        <w:t xml:space="preserve">. </w:t>
      </w:r>
      <w:r w:rsidR="00460821">
        <w:t xml:space="preserve">However, when the limit was set it was noted that </w:t>
      </w:r>
      <w:r w:rsidR="00F52EA3">
        <w:t xml:space="preserve">unanticipated revisions </w:t>
      </w:r>
      <w:r w:rsidR="00EB5A9A">
        <w:t>could lead to pressures on the budget and that a positive credit limit would help manage these</w:t>
      </w:r>
      <w:r w:rsidR="009E1E03">
        <w:t>. These reasons still appear valid</w:t>
      </w:r>
      <w:r w:rsidR="16A7827D">
        <w:t xml:space="preserve"> </w:t>
      </w:r>
      <w:r w:rsidR="005B4713">
        <w:t>for the third carbon budget period.</w:t>
      </w:r>
    </w:p>
    <w:p w14:paraId="14EA9FF2" w14:textId="726872D5" w:rsidR="008B5386" w:rsidRPr="008B5386" w:rsidRDefault="008B5386" w:rsidP="008B5386">
      <w:pPr>
        <w:pStyle w:val="Heading2"/>
      </w:pPr>
      <w:bookmarkStart w:id="59" w:name="_Toc67067476"/>
      <w:r w:rsidRPr="008B5386">
        <w:t xml:space="preserve">PART </w:t>
      </w:r>
      <w:r w:rsidR="006D2B90">
        <w:t>B</w:t>
      </w:r>
      <w:r w:rsidRPr="008B5386">
        <w:t xml:space="preserve">: </w:t>
      </w:r>
      <w:r>
        <w:t>ASSESSMENT OF OPTIONS</w:t>
      </w:r>
      <w:bookmarkEnd w:id="59"/>
    </w:p>
    <w:p w14:paraId="37BA71E4" w14:textId="58F74720" w:rsidR="00EB0046" w:rsidRDefault="00EB0046" w:rsidP="005F4820">
      <w:pPr>
        <w:pStyle w:val="EBBodyPara"/>
        <w:numPr>
          <w:ilvl w:val="0"/>
          <w:numId w:val="7"/>
        </w:numPr>
      </w:pPr>
      <w:r>
        <w:t>The options considered are:</w:t>
      </w:r>
    </w:p>
    <w:p w14:paraId="0DC6B8D1" w14:textId="61DF448B" w:rsidR="00CA12BA" w:rsidRPr="00BA2270" w:rsidRDefault="00CA12BA" w:rsidP="002871D8">
      <w:pPr>
        <w:pStyle w:val="EBBodyPara"/>
        <w:numPr>
          <w:ilvl w:val="0"/>
          <w:numId w:val="13"/>
        </w:numPr>
      </w:pPr>
      <w:r w:rsidRPr="44AE1EAC">
        <w:t xml:space="preserve">Option 1: </w:t>
      </w:r>
      <w:r w:rsidR="00EB0046">
        <w:t xml:space="preserve">No </w:t>
      </w:r>
      <w:r w:rsidR="00EB0046" w:rsidRPr="00AF7EBD">
        <w:t xml:space="preserve">flexibility </w:t>
      </w:r>
      <w:r w:rsidR="008060D0" w:rsidRPr="00AF7EBD">
        <w:t>(</w:t>
      </w:r>
      <w:r w:rsidRPr="00AF7EBD">
        <w:t>0 MtCO2e</w:t>
      </w:r>
      <w:r w:rsidR="008060D0" w:rsidRPr="00AF7EBD">
        <w:t>)</w:t>
      </w:r>
      <w:r w:rsidR="00485401" w:rsidRPr="00AF7EBD">
        <w:t>. T</w:t>
      </w:r>
      <w:r w:rsidRPr="00AF7EBD">
        <w:t xml:space="preserve">he </w:t>
      </w:r>
      <w:r w:rsidR="00F26CEF" w:rsidRPr="00AF7EBD">
        <w:t>g</w:t>
      </w:r>
      <w:r w:rsidRPr="00AF7EBD">
        <w:t>over</w:t>
      </w:r>
      <w:r w:rsidRPr="44AE1EAC">
        <w:t>nment would be unable to count credits towards the</w:t>
      </w:r>
      <w:r w:rsidR="00C636E5" w:rsidRPr="44AE1EAC">
        <w:t xml:space="preserve"> </w:t>
      </w:r>
      <w:r w:rsidR="041DED36" w:rsidRPr="44AE1EAC">
        <w:t xml:space="preserve">fourth </w:t>
      </w:r>
      <w:r w:rsidRPr="44AE1EAC">
        <w:t>carbon budget.</w:t>
      </w:r>
    </w:p>
    <w:p w14:paraId="57CD883C" w14:textId="4D556FD2" w:rsidR="00CA12BA" w:rsidRPr="00AF7EBD" w:rsidRDefault="00CA12BA" w:rsidP="002871D8">
      <w:pPr>
        <w:pStyle w:val="EBBodyPara"/>
        <w:numPr>
          <w:ilvl w:val="0"/>
          <w:numId w:val="13"/>
        </w:numPr>
      </w:pPr>
      <w:r w:rsidRPr="44AE1EAC">
        <w:t>Option 2:</w:t>
      </w:r>
      <w:r w:rsidR="00EB0046">
        <w:t xml:space="preserve"> A moderate degree of </w:t>
      </w:r>
      <w:r w:rsidR="00EB0046" w:rsidRPr="00AF7EBD">
        <w:t>flexibility (</w:t>
      </w:r>
      <w:r w:rsidR="008060D0" w:rsidRPr="00AF7EBD">
        <w:t xml:space="preserve">55 </w:t>
      </w:r>
      <w:r w:rsidRPr="00AF7EBD">
        <w:t>MtCO2e</w:t>
      </w:r>
      <w:r w:rsidR="00EB0046" w:rsidRPr="00AF7EBD">
        <w:t>),</w:t>
      </w:r>
      <w:r w:rsidR="008F117B" w:rsidRPr="00AF7EBD">
        <w:t xml:space="preserve"> represent</w:t>
      </w:r>
      <w:r w:rsidR="00EB0046" w:rsidRPr="00AF7EBD">
        <w:t>ing</w:t>
      </w:r>
      <w:r w:rsidR="008F117B" w:rsidRPr="00AF7EBD">
        <w:t xml:space="preserve"> around 2.</w:t>
      </w:r>
      <w:r w:rsidR="33D01A2B" w:rsidRPr="00AF7EBD">
        <w:t>8</w:t>
      </w:r>
      <w:r w:rsidR="008F117B" w:rsidRPr="00AF7EBD">
        <w:t xml:space="preserve">% of the </w:t>
      </w:r>
      <w:r w:rsidR="19B9ACEE" w:rsidRPr="00AF7EBD">
        <w:t xml:space="preserve">fourth </w:t>
      </w:r>
      <w:r w:rsidR="008F117B" w:rsidRPr="00AF7EBD">
        <w:t>carbon budget</w:t>
      </w:r>
      <w:r w:rsidR="00EB0046" w:rsidRPr="00AF7EBD">
        <w:t>. This is the same level as the second and third carbon budget credit limits.</w:t>
      </w:r>
    </w:p>
    <w:p w14:paraId="39FD4D99" w14:textId="18BCA7CD" w:rsidR="00CA12BA" w:rsidRPr="00AF7EBD" w:rsidRDefault="00CA12BA" w:rsidP="002871D8">
      <w:pPr>
        <w:pStyle w:val="EBBodyPara"/>
        <w:numPr>
          <w:ilvl w:val="0"/>
          <w:numId w:val="13"/>
        </w:numPr>
      </w:pPr>
      <w:r w:rsidRPr="00AF7EBD">
        <w:t xml:space="preserve">Option 3: </w:t>
      </w:r>
      <w:r w:rsidR="00EB0046" w:rsidRPr="00AF7EBD">
        <w:t xml:space="preserve">A high degree of flexibility </w:t>
      </w:r>
      <w:r w:rsidR="00361F7E" w:rsidRPr="00AF7EBD">
        <w:t>(</w:t>
      </w:r>
      <w:r w:rsidRPr="00AF7EBD">
        <w:t>90 MtCO2e</w:t>
      </w:r>
      <w:r w:rsidR="00361F7E" w:rsidRPr="00AF7EBD">
        <w:t>)</w:t>
      </w:r>
      <w:r w:rsidR="00EB0046" w:rsidRPr="00AF7EBD">
        <w:t xml:space="preserve">, </w:t>
      </w:r>
      <w:r w:rsidR="00EF3D9F" w:rsidRPr="00AF7EBD">
        <w:t>represent</w:t>
      </w:r>
      <w:r w:rsidR="00EB0046" w:rsidRPr="00AF7EBD">
        <w:t>ing</w:t>
      </w:r>
      <w:r w:rsidR="00EF3D9F" w:rsidRPr="00AF7EBD">
        <w:t xml:space="preserve"> around 3.5% of the </w:t>
      </w:r>
      <w:r w:rsidR="25B7B8EF" w:rsidRPr="00AF7EBD">
        <w:t xml:space="preserve">fourth </w:t>
      </w:r>
      <w:r w:rsidR="00EF3D9F" w:rsidRPr="00AF7EBD">
        <w:t>carbon budget.</w:t>
      </w:r>
    </w:p>
    <w:p w14:paraId="7A169C2F" w14:textId="3001B742" w:rsidR="00AD6EAD" w:rsidRDefault="001C3AF1" w:rsidP="008B5386">
      <w:pPr>
        <w:pStyle w:val="Heading3"/>
      </w:pPr>
      <w:bookmarkStart w:id="60" w:name="_Toc67067477"/>
      <w:r>
        <w:t>5</w:t>
      </w:r>
      <w:r w:rsidR="003203BD">
        <w:t xml:space="preserve"> </w:t>
      </w:r>
      <w:r w:rsidR="00C9304A">
        <w:t>Impact of cost of</w:t>
      </w:r>
      <w:r w:rsidR="003203BD">
        <w:t xml:space="preserve"> complying with domestic carbon targets</w:t>
      </w:r>
      <w:bookmarkEnd w:id="60"/>
    </w:p>
    <w:p w14:paraId="534E0D20" w14:textId="3586C88C" w:rsidR="005B69C1" w:rsidRDefault="003D389D" w:rsidP="005F4820">
      <w:pPr>
        <w:pStyle w:val="EBBodyPara"/>
        <w:numPr>
          <w:ilvl w:val="0"/>
          <w:numId w:val="7"/>
        </w:numPr>
      </w:pPr>
      <w:r>
        <w:t xml:space="preserve">The </w:t>
      </w:r>
      <w:r w:rsidR="56EECB51">
        <w:t>g</w:t>
      </w:r>
      <w:r>
        <w:t>overnment intends to meet its carbon targets through domestic action</w:t>
      </w:r>
      <w:r w:rsidR="003B6635">
        <w:t>, although has typically reserved the right to use</w:t>
      </w:r>
      <w:r w:rsidR="003C3549">
        <w:t xml:space="preserve"> </w:t>
      </w:r>
      <w:r w:rsidR="00BE370A">
        <w:t xml:space="preserve">provisions in the Climate Change Act </w:t>
      </w:r>
      <w:r w:rsidR="003C3549">
        <w:t xml:space="preserve">to use </w:t>
      </w:r>
      <w:r w:rsidR="00BE370A">
        <w:t xml:space="preserve">international carbon credits </w:t>
      </w:r>
      <w:r w:rsidR="00B31371">
        <w:t xml:space="preserve">in certain circumstances. These include the avoidance of significant costs to the UK taxpayer of undertaking urgent </w:t>
      </w:r>
      <w:r w:rsidR="00221472">
        <w:t xml:space="preserve">abatement necessitated by upwards revisions to </w:t>
      </w:r>
      <w:r w:rsidR="00E61459">
        <w:t xml:space="preserve">the UK’s GHG </w:t>
      </w:r>
      <w:r w:rsidR="00221472">
        <w:t>inventor</w:t>
      </w:r>
      <w:r w:rsidR="00E61459">
        <w:t>y</w:t>
      </w:r>
      <w:r w:rsidR="00221472">
        <w:t>. As the analysis in part 4 demonstrate</w:t>
      </w:r>
      <w:r w:rsidR="00E61459">
        <w:t>d</w:t>
      </w:r>
      <w:r w:rsidR="00221472">
        <w:t>, such upwards revisions can be significant.</w:t>
      </w:r>
    </w:p>
    <w:p w14:paraId="5365F7FA" w14:textId="3F154B84" w:rsidR="003D389D" w:rsidRDefault="003D389D" w:rsidP="005F4820">
      <w:pPr>
        <w:pStyle w:val="EBBodyPara"/>
        <w:numPr>
          <w:ilvl w:val="0"/>
          <w:numId w:val="7"/>
        </w:numPr>
      </w:pPr>
      <w:r>
        <w:t xml:space="preserve">The setting of the credit limit order does not in itself imply a cost of complying with carbon </w:t>
      </w:r>
      <w:r w:rsidR="00400426">
        <w:t>budgets</w:t>
      </w:r>
      <w:r>
        <w:t xml:space="preserve">, and if no credits are needed then the credit limit also has no cost. </w:t>
      </w:r>
      <w:r w:rsidR="000E2D97">
        <w:t>However, a</w:t>
      </w:r>
      <w:r w:rsidR="00221472">
        <w:t xml:space="preserve"> positive credit limit provides the </w:t>
      </w:r>
      <w:r w:rsidR="2EDA7C0C">
        <w:t>g</w:t>
      </w:r>
      <w:r w:rsidR="00221472">
        <w:t>overnment with the opportunity to avoid high unanticipated costs</w:t>
      </w:r>
      <w:r w:rsidR="00C54CA1">
        <w:t xml:space="preserve">, with positive fiscal implications, relevant to section 10 of the </w:t>
      </w:r>
      <w:r w:rsidR="00713D0E">
        <w:t>C</w:t>
      </w:r>
      <w:r w:rsidR="00C54CA1">
        <w:t xml:space="preserve">limate </w:t>
      </w:r>
      <w:r w:rsidR="00713D0E">
        <w:t>C</w:t>
      </w:r>
      <w:r w:rsidR="00C54CA1">
        <w:t xml:space="preserve">hange </w:t>
      </w:r>
      <w:r w:rsidR="00713D0E">
        <w:t>A</w:t>
      </w:r>
      <w:r w:rsidR="00C54CA1">
        <w:t>ct.</w:t>
      </w:r>
      <w:r w:rsidR="00221472">
        <w:t xml:space="preserve"> </w:t>
      </w:r>
      <w:r w:rsidR="00BB13A7">
        <w:t>The benefits and costs of such a decision vary with different positive credit limits</w:t>
      </w:r>
      <w:r w:rsidR="003B1A8C">
        <w:t xml:space="preserve">, but also depend on the scale of </w:t>
      </w:r>
      <w:r w:rsidR="003B1A8C">
        <w:lastRenderedPageBreak/>
        <w:t xml:space="preserve">any </w:t>
      </w:r>
      <w:r w:rsidR="00FA0D6D">
        <w:t>credit purchase deemed necessary to meet the carbon budget were domestic action not available.</w:t>
      </w:r>
    </w:p>
    <w:p w14:paraId="20005C80" w14:textId="3B288F55" w:rsidR="00A2467F" w:rsidRDefault="00153575" w:rsidP="005F4820">
      <w:pPr>
        <w:pStyle w:val="EBBodyPara"/>
        <w:numPr>
          <w:ilvl w:val="0"/>
          <w:numId w:val="7"/>
        </w:numPr>
      </w:pPr>
      <w:r w:rsidRPr="00D95618">
        <w:t xml:space="preserve">The counterfactual </w:t>
      </w:r>
      <w:r>
        <w:t xml:space="preserve">for our analysis </w:t>
      </w:r>
      <w:r w:rsidRPr="00D95618">
        <w:t xml:space="preserve">is where </w:t>
      </w:r>
      <w:r>
        <w:t xml:space="preserve">the UK is constrained to </w:t>
      </w:r>
      <w:r w:rsidRPr="00D95618">
        <w:t>undertake additional a</w:t>
      </w:r>
      <w:r w:rsidR="009E6198">
        <w:t>batement</w:t>
      </w:r>
      <w:r w:rsidRPr="00D95618">
        <w:t xml:space="preserve"> to address </w:t>
      </w:r>
      <w:r w:rsidR="00DA7F34">
        <w:t>any</w:t>
      </w:r>
      <w:r>
        <w:t xml:space="preserve"> shortfall</w:t>
      </w:r>
      <w:r w:rsidRPr="00D95618">
        <w:t xml:space="preserve"> domestically (via a </w:t>
      </w:r>
      <w:r w:rsidR="00DA7F34">
        <w:t xml:space="preserve">credit </w:t>
      </w:r>
      <w:r w:rsidRPr="00D95618">
        <w:t>limit of 0).</w:t>
      </w:r>
      <w:r>
        <w:t xml:space="preserve"> </w:t>
      </w:r>
      <w:r w:rsidR="009E6198">
        <w:t xml:space="preserve">A </w:t>
      </w:r>
      <w:r w:rsidR="00BD4B08">
        <w:t xml:space="preserve">positive </w:t>
      </w:r>
      <w:r w:rsidR="0010654C">
        <w:t xml:space="preserve">credit </w:t>
      </w:r>
      <w:r w:rsidR="00BD4B08">
        <w:t xml:space="preserve">limit </w:t>
      </w:r>
      <w:r w:rsidR="0010654C">
        <w:t>provides the option to meet some or all of any shortfall by purchasing international credit</w:t>
      </w:r>
      <w:r w:rsidR="009957DC">
        <w:t>s</w:t>
      </w:r>
      <w:r w:rsidR="0010654C">
        <w:t xml:space="preserve">. </w:t>
      </w:r>
      <w:r w:rsidR="00BD4B08">
        <w:t xml:space="preserve"> </w:t>
      </w:r>
    </w:p>
    <w:p w14:paraId="43550D5C" w14:textId="37D49788" w:rsidR="00567F69" w:rsidRDefault="0010654C" w:rsidP="005F4820">
      <w:pPr>
        <w:pStyle w:val="EBBodyPara"/>
        <w:numPr>
          <w:ilvl w:val="0"/>
          <w:numId w:val="7"/>
        </w:numPr>
      </w:pPr>
      <w:r>
        <w:t xml:space="preserve">Illustrative analysis </w:t>
      </w:r>
      <w:r w:rsidR="00E43611">
        <w:t xml:space="preserve">has been undertaken </w:t>
      </w:r>
      <w:r w:rsidR="00964E1A">
        <w:t>to demonstrate the possible costs and benefits</w:t>
      </w:r>
      <w:r w:rsidR="00214DC7">
        <w:t>, given that the costs of both domestic abatement and international credits are uncertain.</w:t>
      </w:r>
      <w:r w:rsidR="00944E0C">
        <w:t xml:space="preserve"> This analysis reflects different assumptions about the technology </w:t>
      </w:r>
      <w:r w:rsidR="009A14B7">
        <w:t xml:space="preserve">available </w:t>
      </w:r>
      <w:r w:rsidR="00C54CA1">
        <w:t>during the fourth and fifth carbon budgets, relevant to the section 10 criteria set out in the climate change act.</w:t>
      </w:r>
      <w:r w:rsidR="00214DC7">
        <w:t xml:space="preserve"> </w:t>
      </w:r>
      <w:r w:rsidR="00297BD4">
        <w:t>Under all credit limit options</w:t>
      </w:r>
      <w:r w:rsidR="00803A45">
        <w:t xml:space="preserve"> (including 0)</w:t>
      </w:r>
      <w:r w:rsidR="00297BD4">
        <w:t xml:space="preserve"> global emissions </w:t>
      </w:r>
      <w:r w:rsidR="00567F69">
        <w:t xml:space="preserve">are assumed to be the same – reflecting that any credit purchases would be </w:t>
      </w:r>
      <w:r w:rsidR="00807ED4">
        <w:t>o</w:t>
      </w:r>
      <w:r w:rsidR="00567F69">
        <w:t xml:space="preserve">n the basis that they </w:t>
      </w:r>
      <w:r w:rsidR="00803A45">
        <w:t>represent</w:t>
      </w:r>
      <w:r w:rsidR="00567F69">
        <w:t xml:space="preserve"> additional abatement by the selling country. </w:t>
      </w:r>
      <w:r w:rsidR="00C67184">
        <w:t>We have therefore assumed carbon benefits are unchanged across options.</w:t>
      </w:r>
      <w:r w:rsidR="00567F69">
        <w:t xml:space="preserve"> </w:t>
      </w:r>
    </w:p>
    <w:p w14:paraId="59506391" w14:textId="1BE0809E" w:rsidR="006F57DF" w:rsidRDefault="00F36C8F" w:rsidP="005F4820">
      <w:pPr>
        <w:pStyle w:val="EBBodyPara"/>
        <w:numPr>
          <w:ilvl w:val="0"/>
          <w:numId w:val="7"/>
        </w:numPr>
      </w:pPr>
      <w:r>
        <w:t xml:space="preserve">The cost of </w:t>
      </w:r>
      <w:r w:rsidR="008772D5">
        <w:t xml:space="preserve">international </w:t>
      </w:r>
      <w:r>
        <w:t xml:space="preserve">credits is </w:t>
      </w:r>
      <w:r w:rsidR="006B5071">
        <w:t>proxied</w:t>
      </w:r>
      <w:r w:rsidR="00D87A1C">
        <w:t xml:space="preserve"> </w:t>
      </w:r>
      <w:r w:rsidR="006B5071">
        <w:t>b</w:t>
      </w:r>
      <w:r w:rsidR="0077306E">
        <w:t>oth by</w:t>
      </w:r>
      <w:r w:rsidR="003E3456">
        <w:t xml:space="preserve"> </w:t>
      </w:r>
      <w:r w:rsidR="00695CF2">
        <w:t xml:space="preserve">current prices and </w:t>
      </w:r>
      <w:r w:rsidR="0077306E">
        <w:t>the</w:t>
      </w:r>
      <w:r w:rsidR="00EE522F">
        <w:t xml:space="preserve"> </w:t>
      </w:r>
      <w:r w:rsidR="00E93C53">
        <w:t>prices</w:t>
      </w:r>
      <w:r w:rsidR="00BC0D74">
        <w:t xml:space="preserve"> produced by BEIS’s </w:t>
      </w:r>
      <w:r w:rsidR="00E93C53">
        <w:t>Global Carbon Finance (</w:t>
      </w:r>
      <w:r w:rsidR="0077306E" w:rsidRPr="00B1304F">
        <w:t>G</w:t>
      </w:r>
      <w:r w:rsidR="00537D03">
        <w:t>L</w:t>
      </w:r>
      <w:r w:rsidR="00620B9F">
        <w:t>O</w:t>
      </w:r>
      <w:r w:rsidR="0077306E" w:rsidRPr="00B1304F">
        <w:t>C</w:t>
      </w:r>
      <w:r w:rsidR="00620B9F">
        <w:t>A</w:t>
      </w:r>
      <w:r w:rsidR="0077306E" w:rsidRPr="00B1304F">
        <w:t>F</w:t>
      </w:r>
      <w:r w:rsidR="00E93C53">
        <w:t>)</w:t>
      </w:r>
      <w:r w:rsidR="0077306E" w:rsidRPr="00B1304F">
        <w:t xml:space="preserve"> </w:t>
      </w:r>
      <w:r w:rsidR="00BC0D74">
        <w:t>model</w:t>
      </w:r>
      <w:r w:rsidR="00985A41">
        <w:t xml:space="preserve">, </w:t>
      </w:r>
      <w:r w:rsidR="005801DE">
        <w:t>with a range provided by considering scenarios</w:t>
      </w:r>
      <w:r w:rsidR="00BC0D74">
        <w:t xml:space="preserve"> where global ambition </w:t>
      </w:r>
      <w:r w:rsidR="00B67D62">
        <w:t>keeps global warming to</w:t>
      </w:r>
      <w:r w:rsidR="00BC0D74">
        <w:t xml:space="preserve"> </w:t>
      </w:r>
      <w:r w:rsidR="00B67D62">
        <w:t xml:space="preserve">1.5 degrees </w:t>
      </w:r>
      <w:r w:rsidR="003E3456">
        <w:t>below</w:t>
      </w:r>
      <w:r w:rsidR="00B67D62">
        <w:t xml:space="preserve"> pre-industrial levels by </w:t>
      </w:r>
      <w:r w:rsidR="00195D42">
        <w:t>2100</w:t>
      </w:r>
      <w:r w:rsidR="00B67D62">
        <w:t xml:space="preserve">. </w:t>
      </w:r>
      <w:r w:rsidR="0077306E" w:rsidRPr="00B1304F">
        <w:t>G</w:t>
      </w:r>
      <w:r w:rsidR="00985A41">
        <w:t>L</w:t>
      </w:r>
      <w:r w:rsidR="00620B9F">
        <w:t>O</w:t>
      </w:r>
      <w:r w:rsidR="0077306E" w:rsidRPr="00B1304F">
        <w:t>C</w:t>
      </w:r>
      <w:r w:rsidR="00620B9F">
        <w:t>A</w:t>
      </w:r>
      <w:r w:rsidR="0077306E" w:rsidRPr="00B1304F">
        <w:t xml:space="preserve">F is a scenario modelling tool that </w:t>
      </w:r>
      <w:r w:rsidR="00A4272B" w:rsidRPr="00A4272B">
        <w:t xml:space="preserve">calculates </w:t>
      </w:r>
      <w:r w:rsidR="00620B9F">
        <w:t>emission</w:t>
      </w:r>
      <w:r w:rsidR="00A4272B" w:rsidRPr="00A4272B">
        <w:t xml:space="preserve"> prices using a global least cost (equal marginal cost) approach, also equivalent to a theoretical global carbon market approach: regions and sectors can freely trade abatement outcomes depending on their relative marginal costs</w:t>
      </w:r>
      <w:r w:rsidR="00A4272B">
        <w:t>, emissions projections</w:t>
      </w:r>
      <w:r w:rsidR="00A4272B" w:rsidRPr="00A4272B">
        <w:t xml:space="preserve"> and the stringency of the global decarbonisation target. The model solves for the most cost-effective allocation of abatement and equilibrium emissions prices</w:t>
      </w:r>
      <w:r w:rsidR="0077306E" w:rsidRPr="00B1304F">
        <w:t xml:space="preserve"> given a </w:t>
      </w:r>
      <w:r w:rsidR="00A4272B" w:rsidRPr="00A4272B">
        <w:t>global emissions targets scenario</w:t>
      </w:r>
      <w:r w:rsidR="007510A5">
        <w:t xml:space="preserve"> and </w:t>
      </w:r>
      <w:r w:rsidR="00F7704D">
        <w:t xml:space="preserve">a </w:t>
      </w:r>
      <w:r w:rsidR="00066E1C">
        <w:t xml:space="preserve">specification of the </w:t>
      </w:r>
      <w:r w:rsidR="007510A5">
        <w:t xml:space="preserve">carbon market design. </w:t>
      </w:r>
      <w:r w:rsidR="0077306E">
        <w:t>Whilst the model is capable</w:t>
      </w:r>
      <w:r w:rsidR="0077306E" w:rsidRPr="00B1304F">
        <w:t xml:space="preserve"> of </w:t>
      </w:r>
      <w:r w:rsidR="0077306E">
        <w:t xml:space="preserve">producing </w:t>
      </w:r>
      <w:r w:rsidR="00066E1C">
        <w:t>emission prices</w:t>
      </w:r>
      <w:r w:rsidR="0077306E">
        <w:t>, it is not a forecasting tool</w:t>
      </w:r>
      <w:r w:rsidR="00DC53E6">
        <w:t xml:space="preserve"> of real-world outcomes</w:t>
      </w:r>
      <w:r w:rsidR="0077306E">
        <w:t>. In particular,</w:t>
      </w:r>
      <w:r w:rsidR="0077306E" w:rsidDel="008C5788">
        <w:t xml:space="preserve"> </w:t>
      </w:r>
      <w:r w:rsidR="008C5788">
        <w:t>the model</w:t>
      </w:r>
      <w:r w:rsidR="0077306E">
        <w:t xml:space="preserve"> assumes an i</w:t>
      </w:r>
      <w:r w:rsidR="0077306E" w:rsidRPr="000E7E31">
        <w:t xml:space="preserve">dealised </w:t>
      </w:r>
      <w:r w:rsidR="00F7704D">
        <w:t xml:space="preserve">global </w:t>
      </w:r>
      <w:r w:rsidR="0077306E" w:rsidRPr="000E7E31">
        <w:t xml:space="preserve">carbon market </w:t>
      </w:r>
      <w:r w:rsidR="0077306E">
        <w:t>with</w:t>
      </w:r>
      <w:r w:rsidR="00CE6109">
        <w:t xml:space="preserve"> frictionless</w:t>
      </w:r>
      <w:r w:rsidR="0077306E">
        <w:t xml:space="preserve"> trade across all </w:t>
      </w:r>
      <w:r w:rsidR="00F7704D">
        <w:t xml:space="preserve">countries and all </w:t>
      </w:r>
      <w:r w:rsidR="0077306E">
        <w:t>sectors in the economy</w:t>
      </w:r>
      <w:r w:rsidR="00C33736">
        <w:t xml:space="preserve">, which </w:t>
      </w:r>
      <w:r w:rsidR="00C27254">
        <w:t xml:space="preserve">is a strong assumption for the </w:t>
      </w:r>
      <w:r w:rsidR="00AF4C06">
        <w:t xml:space="preserve">fourth carbon budget </w:t>
      </w:r>
      <w:r w:rsidR="00C27254">
        <w:t xml:space="preserve">and </w:t>
      </w:r>
      <w:r w:rsidR="00AF4C06">
        <w:t xml:space="preserve">fifth carbon budget </w:t>
      </w:r>
      <w:r w:rsidR="00C27254">
        <w:t>period here</w:t>
      </w:r>
      <w:r w:rsidR="0077306E">
        <w:t xml:space="preserve">. </w:t>
      </w:r>
      <w:r w:rsidR="006F57DF">
        <w:t xml:space="preserve">Our estimates based on current </w:t>
      </w:r>
      <w:r w:rsidR="00A66E7B">
        <w:t>prices</w:t>
      </w:r>
      <w:r w:rsidR="006F57DF">
        <w:t xml:space="preserve"> using an independent stand</w:t>
      </w:r>
      <w:r w:rsidR="006F57DF" w:rsidRPr="002E0FC6">
        <w:t>ard</w:t>
      </w:r>
      <w:r w:rsidR="006F57DF" w:rsidRPr="002E0FC6" w:rsidDel="0046238C">
        <w:t xml:space="preserve"> </w:t>
      </w:r>
      <w:r w:rsidR="006F57DF" w:rsidRPr="002E0FC6">
        <w:t>are £</w:t>
      </w:r>
      <w:r w:rsidR="006F57DF" w:rsidRPr="00622B1F">
        <w:t>8</w:t>
      </w:r>
      <w:r w:rsidR="006F57DF" w:rsidRPr="002E0FC6">
        <w:t>-£</w:t>
      </w:r>
      <w:r w:rsidR="006F57DF" w:rsidRPr="00622B1F">
        <w:t>40</w:t>
      </w:r>
      <w:r w:rsidR="00832028">
        <w:rPr>
          <w:bCs w:val="0"/>
        </w:rPr>
        <w:t>/t</w:t>
      </w:r>
      <w:r w:rsidR="006F57DF" w:rsidRPr="002E0FC6">
        <w:t>.</w:t>
      </w:r>
      <w:r w:rsidR="006F57DF">
        <w:t xml:space="preserve"> It is important to note that these current market prices do not reflect effects of the introduction of Paris Agreement guidance on carbon trading through the 2020s (see ‘2 International Context’) which could cause prices to increase. Our estimates from GLOCAF are </w:t>
      </w:r>
      <w:r w:rsidR="004531F9">
        <w:t>£</w:t>
      </w:r>
      <w:r w:rsidR="00903BCF">
        <w:t>93/t in 2025</w:t>
      </w:r>
      <w:r w:rsidR="00CF3F30">
        <w:t>. We therefore use a range of credit prices to reflect the uncertainty.</w:t>
      </w:r>
    </w:p>
    <w:p w14:paraId="1F97A91E" w14:textId="13EDD2C3" w:rsidR="009F491E" w:rsidRDefault="00601F2F" w:rsidP="005F4820">
      <w:pPr>
        <w:pStyle w:val="EBBodyPara"/>
        <w:numPr>
          <w:ilvl w:val="0"/>
          <w:numId w:val="7"/>
        </w:numPr>
      </w:pPr>
      <w:r>
        <w:t xml:space="preserve">Any unplanned domestic abatement is likely to be more costly than the average abatement cost of meeting the fourth carbon budget. </w:t>
      </w:r>
      <w:r w:rsidR="00AD2F11">
        <w:t>We have used CCC cost data to assess domestic costs.</w:t>
      </w:r>
      <w:r w:rsidR="00AD2F11">
        <w:rPr>
          <w:rStyle w:val="FootnoteReference"/>
        </w:rPr>
        <w:footnoteReference w:id="10"/>
      </w:r>
      <w:r w:rsidR="00AD2F11">
        <w:t xml:space="preserve"> </w:t>
      </w:r>
      <w:r>
        <w:t xml:space="preserve"> </w:t>
      </w:r>
      <w:r w:rsidR="00FA3BB0">
        <w:t xml:space="preserve">We use the most expensive sector in the CCC data </w:t>
      </w:r>
      <w:r w:rsidR="00C43E8C">
        <w:t>in 2025</w:t>
      </w:r>
      <w:r w:rsidR="00CE775C">
        <w:t xml:space="preserve"> </w:t>
      </w:r>
      <w:r w:rsidR="00FA3BB0">
        <w:t xml:space="preserve">to proxy the cost of urgent abatement action. This is </w:t>
      </w:r>
      <w:r w:rsidR="00A8110E">
        <w:t>£</w:t>
      </w:r>
      <w:r w:rsidR="00C43E8C">
        <w:t>243</w:t>
      </w:r>
      <w:r w:rsidR="00A8110E">
        <w:t xml:space="preserve">/t in undiscounted terms. </w:t>
      </w:r>
    </w:p>
    <w:p w14:paraId="0A901764" w14:textId="0EB2EDFD" w:rsidR="009F3214" w:rsidRDefault="003E5CDA" w:rsidP="005F4820">
      <w:pPr>
        <w:pStyle w:val="EBBodyPara"/>
        <w:numPr>
          <w:ilvl w:val="0"/>
          <w:numId w:val="7"/>
        </w:numPr>
      </w:pPr>
      <w:r>
        <w:t xml:space="preserve">The table below </w:t>
      </w:r>
      <w:r w:rsidR="004F53C0">
        <w:t xml:space="preserve">shows the potential </w:t>
      </w:r>
      <w:r w:rsidR="002C4C79">
        <w:t>savings</w:t>
      </w:r>
      <w:r w:rsidR="004F53C0">
        <w:t xml:space="preserve"> over the </w:t>
      </w:r>
      <w:r w:rsidR="00B13F23">
        <w:t xml:space="preserve">fourth carbon budget period </w:t>
      </w:r>
      <w:r w:rsidR="00326304">
        <w:t xml:space="preserve">only </w:t>
      </w:r>
      <w:r w:rsidR="00B26467">
        <w:t>from using credits</w:t>
      </w:r>
      <w:r w:rsidR="002C4C79">
        <w:t xml:space="preserve">, </w:t>
      </w:r>
      <w:r w:rsidR="00800D8B">
        <w:t xml:space="preserve">relative to domestic abatement. </w:t>
      </w:r>
      <w:r w:rsidR="003B42E1">
        <w:t xml:space="preserve">The calculation assumes </w:t>
      </w:r>
      <w:r w:rsidR="00320683">
        <w:t xml:space="preserve">illustrative shortfalls of </w:t>
      </w:r>
      <w:r w:rsidR="007C4E5D">
        <w:t>25 and 75 MtCO2e</w:t>
      </w:r>
      <w:r w:rsidR="00FE7170">
        <w:t xml:space="preserve"> and a range of credits prices of </w:t>
      </w:r>
      <w:r w:rsidR="00FE7170" w:rsidRPr="00C42D06">
        <w:t>£</w:t>
      </w:r>
      <w:r w:rsidR="00641000">
        <w:t>8 to £93</w:t>
      </w:r>
      <w:r w:rsidR="00FE7170">
        <w:t>/</w:t>
      </w:r>
      <w:r w:rsidR="00F02AC9">
        <w:t>t</w:t>
      </w:r>
      <w:r w:rsidR="00FE7170">
        <w:t xml:space="preserve"> compared to domestic abatements costs of </w:t>
      </w:r>
      <w:r w:rsidR="00F02AC9">
        <w:t>£2</w:t>
      </w:r>
      <w:r w:rsidR="00100225">
        <w:t>43</w:t>
      </w:r>
      <w:r w:rsidR="00F02AC9">
        <w:t>/t</w:t>
      </w:r>
      <w:r w:rsidR="00AD77BD">
        <w:t>.</w:t>
      </w:r>
      <w:r w:rsidR="00641000">
        <w:rPr>
          <w:rStyle w:val="FootnoteReference"/>
        </w:rPr>
        <w:footnoteReference w:id="11"/>
      </w:r>
      <w:r w:rsidR="00B26467">
        <w:t xml:space="preserve"> </w:t>
      </w:r>
      <w:r w:rsidR="00BC45CD">
        <w:t>A positive credit limit would allow the government to use credits to undertake the abatement: whether credits are at the top or the lower end of the range above, their use would reduce costs over the fourth carbon budget.</w:t>
      </w:r>
    </w:p>
    <w:p w14:paraId="25B4BF7D" w14:textId="1C7EC1BF" w:rsidR="0094413D" w:rsidRDefault="0094413D" w:rsidP="0094413D">
      <w:pPr>
        <w:pStyle w:val="EBBodyPara"/>
      </w:pPr>
    </w:p>
    <w:p w14:paraId="45DB6F90" w14:textId="0E53C37A" w:rsidR="0058550D" w:rsidRDefault="0058550D" w:rsidP="0094413D">
      <w:pPr>
        <w:pStyle w:val="EBBodyPara"/>
      </w:pPr>
    </w:p>
    <w:p w14:paraId="3E7EE2D5" w14:textId="24D0D21C" w:rsidR="0058550D" w:rsidRDefault="0058550D" w:rsidP="0094413D">
      <w:pPr>
        <w:pStyle w:val="EBBodyPara"/>
      </w:pPr>
    </w:p>
    <w:p w14:paraId="7A192FA5" w14:textId="3345C4FA" w:rsidR="0058550D" w:rsidRDefault="0058550D" w:rsidP="0094413D">
      <w:pPr>
        <w:pStyle w:val="EBBodyPara"/>
      </w:pPr>
    </w:p>
    <w:p w14:paraId="16A2845D" w14:textId="73BC9995" w:rsidR="0058550D" w:rsidRDefault="0058550D" w:rsidP="0094413D">
      <w:pPr>
        <w:pStyle w:val="EBBodyPara"/>
      </w:pPr>
    </w:p>
    <w:p w14:paraId="255CD301" w14:textId="77777777" w:rsidR="0058550D" w:rsidRDefault="0058550D" w:rsidP="0094413D">
      <w:pPr>
        <w:pStyle w:val="EBBodyPara"/>
      </w:pPr>
    </w:p>
    <w:p w14:paraId="4D74547F" w14:textId="77777777" w:rsidR="0094413D" w:rsidRDefault="0094413D" w:rsidP="0094413D">
      <w:pPr>
        <w:pStyle w:val="EBBodyPara"/>
      </w:pPr>
    </w:p>
    <w:p w14:paraId="1252B94B" w14:textId="77777777" w:rsidR="0094413D" w:rsidRDefault="0094413D" w:rsidP="0094413D">
      <w:pPr>
        <w:pStyle w:val="EBBodyPara"/>
      </w:pPr>
    </w:p>
    <w:p w14:paraId="7E64A2F9" w14:textId="77777777" w:rsidR="0094413D" w:rsidRDefault="0094413D" w:rsidP="0094413D">
      <w:pPr>
        <w:pStyle w:val="EBBodyPara"/>
      </w:pPr>
    </w:p>
    <w:p w14:paraId="584405A9" w14:textId="77777777" w:rsidR="0094413D" w:rsidRDefault="0094413D" w:rsidP="0094413D">
      <w:pPr>
        <w:pStyle w:val="EBBodyPara"/>
      </w:pPr>
    </w:p>
    <w:p w14:paraId="7ED580A0" w14:textId="5A702D17" w:rsidR="000511A6" w:rsidRPr="00EB3574" w:rsidRDefault="000511A6" w:rsidP="00EB3574">
      <w:pPr>
        <w:pStyle w:val="EBBodyPara"/>
        <w:ind w:left="720"/>
        <w:rPr>
          <w:b/>
        </w:rPr>
      </w:pPr>
      <w:r w:rsidRPr="00EB3574">
        <w:rPr>
          <w:b/>
        </w:rPr>
        <w:lastRenderedPageBreak/>
        <w:t xml:space="preserve">Table </w:t>
      </w:r>
      <w:r w:rsidR="0058550D">
        <w:rPr>
          <w:b/>
        </w:rPr>
        <w:t>2</w:t>
      </w:r>
      <w:r w:rsidR="00B3347F" w:rsidRPr="00EB3574">
        <w:rPr>
          <w:b/>
        </w:rPr>
        <w:t xml:space="preserve">: </w:t>
      </w:r>
      <w:r w:rsidR="00E1575E">
        <w:rPr>
          <w:b/>
          <w:bCs w:val="0"/>
        </w:rPr>
        <w:t>Net Present</w:t>
      </w:r>
      <w:r w:rsidR="008E38F4">
        <w:rPr>
          <w:b/>
          <w:bCs w:val="0"/>
        </w:rPr>
        <w:t xml:space="preserve"> value </w:t>
      </w:r>
      <w:r w:rsidR="00E1575E">
        <w:rPr>
          <w:b/>
          <w:bCs w:val="0"/>
        </w:rPr>
        <w:t xml:space="preserve">(avoided abatement costs) over fourth carbon budget </w:t>
      </w:r>
    </w:p>
    <w:tbl>
      <w:tblPr>
        <w:tblStyle w:val="TableGrid"/>
        <w:tblW w:w="0" w:type="auto"/>
        <w:tblInd w:w="720" w:type="dxa"/>
        <w:tblLook w:val="04A0" w:firstRow="1" w:lastRow="0" w:firstColumn="1" w:lastColumn="0" w:noHBand="0" w:noVBand="1"/>
      </w:tblPr>
      <w:tblGrid>
        <w:gridCol w:w="1673"/>
        <w:gridCol w:w="1933"/>
        <w:gridCol w:w="1936"/>
        <w:gridCol w:w="1996"/>
        <w:gridCol w:w="1660"/>
      </w:tblGrid>
      <w:tr w:rsidR="00E55F87" w:rsidRPr="00FB1D9C" w14:paraId="3A698898" w14:textId="43995F01" w:rsidTr="00003E09">
        <w:tc>
          <w:tcPr>
            <w:tcW w:w="3606" w:type="dxa"/>
            <w:gridSpan w:val="2"/>
            <w:vMerge w:val="restart"/>
          </w:tcPr>
          <w:p w14:paraId="67EFC316" w14:textId="10A1FC9C" w:rsidR="00E55F87" w:rsidRPr="00FB1D9C" w:rsidRDefault="00E55F87" w:rsidP="00830D76">
            <w:pPr>
              <w:pStyle w:val="EBBodyPara"/>
            </w:pPr>
            <w:r w:rsidRPr="00FB1D9C">
              <w:t>£m, 2019 prices</w:t>
            </w:r>
          </w:p>
        </w:tc>
        <w:tc>
          <w:tcPr>
            <w:tcW w:w="5592" w:type="dxa"/>
            <w:gridSpan w:val="3"/>
          </w:tcPr>
          <w:p w14:paraId="045B376A" w14:textId="34733A89" w:rsidR="00E55F87" w:rsidRPr="00FB1D9C" w:rsidRDefault="00E55F87" w:rsidP="00EB3574">
            <w:pPr>
              <w:pStyle w:val="EBBodyPara"/>
              <w:jc w:val="center"/>
            </w:pPr>
            <w:r w:rsidRPr="00FB1D9C">
              <w:t>Credit limits</w:t>
            </w:r>
          </w:p>
        </w:tc>
      </w:tr>
      <w:tr w:rsidR="00E55F87" w:rsidRPr="00FB1D9C" w14:paraId="055C2C05" w14:textId="740D444E" w:rsidTr="00003E09">
        <w:tc>
          <w:tcPr>
            <w:tcW w:w="3606" w:type="dxa"/>
            <w:gridSpan w:val="2"/>
            <w:vMerge/>
          </w:tcPr>
          <w:p w14:paraId="4F401A4B" w14:textId="6DDE7CE8" w:rsidR="00E55F87" w:rsidRPr="00FB1D9C" w:rsidRDefault="00E55F87" w:rsidP="00830D76">
            <w:pPr>
              <w:pStyle w:val="EBBodyPara"/>
            </w:pPr>
          </w:p>
        </w:tc>
        <w:tc>
          <w:tcPr>
            <w:tcW w:w="1936" w:type="dxa"/>
            <w:vAlign w:val="bottom"/>
          </w:tcPr>
          <w:p w14:paraId="17BE1CA4" w14:textId="23184869" w:rsidR="00E55F87" w:rsidRPr="00FB1D9C" w:rsidRDefault="00E55F87">
            <w:pPr>
              <w:pStyle w:val="EBBodyPara"/>
            </w:pPr>
            <w:r w:rsidRPr="00FB1D9C">
              <w:t>Option 1 (counterfactual)</w:t>
            </w:r>
          </w:p>
          <w:p w14:paraId="693D7EE5" w14:textId="6555C4F1" w:rsidR="00E55F87" w:rsidRPr="00FB1D9C" w:rsidRDefault="00E55F87">
            <w:pPr>
              <w:pStyle w:val="EBBodyPara"/>
            </w:pPr>
            <w:r w:rsidRPr="00FB1D9C">
              <w:t>0 MtCO2e</w:t>
            </w:r>
          </w:p>
        </w:tc>
        <w:tc>
          <w:tcPr>
            <w:tcW w:w="1996" w:type="dxa"/>
            <w:vAlign w:val="bottom"/>
          </w:tcPr>
          <w:p w14:paraId="3F0BCD29" w14:textId="66BEE206" w:rsidR="00E55F87" w:rsidRPr="00FB1D9C" w:rsidRDefault="00E55F87">
            <w:pPr>
              <w:pStyle w:val="EBBodyPara"/>
            </w:pPr>
            <w:r w:rsidRPr="00FB1D9C">
              <w:t>Option 2</w:t>
            </w:r>
          </w:p>
          <w:p w14:paraId="19CE1532" w14:textId="451243EB" w:rsidR="00E55F87" w:rsidRPr="00FB1D9C" w:rsidRDefault="00CC6942">
            <w:pPr>
              <w:pStyle w:val="EBBodyPara"/>
            </w:pPr>
            <w:r w:rsidRPr="00FB1D9C">
              <w:t>55</w:t>
            </w:r>
            <w:r w:rsidR="00E55F87" w:rsidRPr="00FB1D9C">
              <w:t xml:space="preserve"> MtCO2e</w:t>
            </w:r>
          </w:p>
        </w:tc>
        <w:tc>
          <w:tcPr>
            <w:tcW w:w="1660" w:type="dxa"/>
            <w:vAlign w:val="bottom"/>
          </w:tcPr>
          <w:p w14:paraId="4A4D3BDB" w14:textId="4794514D" w:rsidR="00E55F87" w:rsidRPr="00FB1D9C" w:rsidRDefault="00E55F87">
            <w:pPr>
              <w:pStyle w:val="EBBodyPara"/>
            </w:pPr>
            <w:r w:rsidRPr="00FB1D9C">
              <w:t>Option 3</w:t>
            </w:r>
          </w:p>
          <w:p w14:paraId="7739F440" w14:textId="0EA1E650" w:rsidR="00E55F87" w:rsidRPr="00FB1D9C" w:rsidRDefault="00E55F87">
            <w:pPr>
              <w:pStyle w:val="EBBodyPara"/>
            </w:pPr>
            <w:r w:rsidRPr="00FB1D9C">
              <w:t>90 MtCO2e</w:t>
            </w:r>
          </w:p>
        </w:tc>
      </w:tr>
      <w:tr w:rsidR="00645014" w:rsidRPr="00FB1D9C" w14:paraId="1D5711CC" w14:textId="3D1BB944" w:rsidTr="00003E09">
        <w:tc>
          <w:tcPr>
            <w:tcW w:w="1673" w:type="dxa"/>
            <w:vMerge w:val="restart"/>
          </w:tcPr>
          <w:p w14:paraId="3BEEBB35" w14:textId="3C025BD9" w:rsidR="008C71C6" w:rsidRPr="00FB1D9C" w:rsidRDefault="008C71C6">
            <w:pPr>
              <w:pStyle w:val="EBBodyPara"/>
              <w:jc w:val="center"/>
            </w:pPr>
          </w:p>
          <w:p w14:paraId="3A220071" w14:textId="263514AB" w:rsidR="008C71C6" w:rsidRPr="00FB1D9C" w:rsidRDefault="009D1A31">
            <w:pPr>
              <w:pStyle w:val="EBBodyPara"/>
              <w:jc w:val="center"/>
            </w:pPr>
            <w:r w:rsidRPr="00FB1D9C">
              <w:t>Shortfall</w:t>
            </w:r>
            <w:r w:rsidR="0076272E" w:rsidRPr="00FB1D9C">
              <w:t xml:space="preserve"> scenario</w:t>
            </w:r>
          </w:p>
        </w:tc>
        <w:tc>
          <w:tcPr>
            <w:tcW w:w="1933" w:type="dxa"/>
          </w:tcPr>
          <w:p w14:paraId="4AA07FCF" w14:textId="4581C6DB" w:rsidR="00645014" w:rsidRPr="00FB1D9C" w:rsidRDefault="00645014" w:rsidP="00830D76">
            <w:pPr>
              <w:pStyle w:val="EBBodyPara"/>
            </w:pPr>
            <w:r w:rsidRPr="00FB1D9C">
              <w:t>0 Mt</w:t>
            </w:r>
          </w:p>
        </w:tc>
        <w:tc>
          <w:tcPr>
            <w:tcW w:w="1936" w:type="dxa"/>
          </w:tcPr>
          <w:p w14:paraId="0A54124D" w14:textId="316494FC" w:rsidR="00645014" w:rsidRPr="00FB1D9C" w:rsidRDefault="00A01786" w:rsidP="00830D76">
            <w:pPr>
              <w:pStyle w:val="EBBodyPara"/>
            </w:pPr>
            <w:r w:rsidRPr="00FB1D9C">
              <w:t>N/A</w:t>
            </w:r>
          </w:p>
        </w:tc>
        <w:tc>
          <w:tcPr>
            <w:tcW w:w="1996" w:type="dxa"/>
          </w:tcPr>
          <w:p w14:paraId="564ECF3D" w14:textId="7B93DD9D" w:rsidR="00645014" w:rsidRPr="00FB1D9C" w:rsidRDefault="00645014" w:rsidP="00830D76">
            <w:pPr>
              <w:pStyle w:val="EBBodyPara"/>
            </w:pPr>
            <w:r w:rsidRPr="00FB1D9C">
              <w:t>0</w:t>
            </w:r>
          </w:p>
        </w:tc>
        <w:tc>
          <w:tcPr>
            <w:tcW w:w="1660" w:type="dxa"/>
          </w:tcPr>
          <w:p w14:paraId="28714B00" w14:textId="74D2267F" w:rsidR="00645014" w:rsidRPr="00FB1D9C" w:rsidRDefault="00645014" w:rsidP="00830D76">
            <w:pPr>
              <w:pStyle w:val="EBBodyPara"/>
            </w:pPr>
            <w:r w:rsidRPr="00FB1D9C">
              <w:t>0</w:t>
            </w:r>
          </w:p>
        </w:tc>
      </w:tr>
      <w:tr w:rsidR="00040E14" w:rsidRPr="00FB1D9C" w14:paraId="52EB8697" w14:textId="4F9E2EEF" w:rsidTr="00003E09">
        <w:tc>
          <w:tcPr>
            <w:tcW w:w="1673" w:type="dxa"/>
            <w:vMerge/>
          </w:tcPr>
          <w:p w14:paraId="7557F705" w14:textId="6B9F4B87" w:rsidR="00040E14" w:rsidRPr="00FB1D9C" w:rsidRDefault="00040E14" w:rsidP="00040E14">
            <w:pPr>
              <w:pStyle w:val="EBBodyPara"/>
            </w:pPr>
          </w:p>
        </w:tc>
        <w:tc>
          <w:tcPr>
            <w:tcW w:w="1933" w:type="dxa"/>
          </w:tcPr>
          <w:p w14:paraId="3C117D87" w14:textId="737E3EAA" w:rsidR="00040E14" w:rsidRPr="00FB1D9C" w:rsidRDefault="00040E14" w:rsidP="00040E14">
            <w:pPr>
              <w:pStyle w:val="EBBodyPara"/>
            </w:pPr>
            <w:r w:rsidRPr="00FB1D9C">
              <w:t>25 Mt</w:t>
            </w:r>
          </w:p>
        </w:tc>
        <w:tc>
          <w:tcPr>
            <w:tcW w:w="1936" w:type="dxa"/>
          </w:tcPr>
          <w:p w14:paraId="0609895A" w14:textId="68C45BC5" w:rsidR="00040E14" w:rsidRPr="00FB1D9C" w:rsidRDefault="00040E14" w:rsidP="00040E14">
            <w:pPr>
              <w:pStyle w:val="EBBodyPara"/>
            </w:pPr>
            <w:r w:rsidRPr="00FB1D9C">
              <w:t>N/A</w:t>
            </w:r>
          </w:p>
        </w:tc>
        <w:tc>
          <w:tcPr>
            <w:tcW w:w="1996" w:type="dxa"/>
          </w:tcPr>
          <w:p w14:paraId="2E61BCEF" w14:textId="46703122" w:rsidR="00040E14" w:rsidRPr="00FB1D9C" w:rsidRDefault="00040E14" w:rsidP="00040E14">
            <w:pPr>
              <w:pStyle w:val="EBBodyPara"/>
              <w:rPr>
                <w:highlight w:val="yellow"/>
              </w:rPr>
            </w:pPr>
            <w:r w:rsidRPr="00FB1D9C">
              <w:t>3.1 to 4.9</w:t>
            </w:r>
          </w:p>
        </w:tc>
        <w:tc>
          <w:tcPr>
            <w:tcW w:w="1660" w:type="dxa"/>
          </w:tcPr>
          <w:p w14:paraId="36E6E4FD" w14:textId="49B4C466" w:rsidR="00040E14" w:rsidRPr="00FB1D9C" w:rsidRDefault="00040E14" w:rsidP="00040E14">
            <w:pPr>
              <w:pStyle w:val="EBBodyPara"/>
            </w:pPr>
            <w:r w:rsidRPr="00FB1D9C">
              <w:t>3.1 to 4.9</w:t>
            </w:r>
          </w:p>
        </w:tc>
      </w:tr>
      <w:tr w:rsidR="00040E14" w:rsidRPr="00FB1D9C" w14:paraId="06D8CAF4" w14:textId="1E4E5ED1" w:rsidTr="00003E09">
        <w:tc>
          <w:tcPr>
            <w:tcW w:w="1673" w:type="dxa"/>
            <w:vMerge/>
          </w:tcPr>
          <w:p w14:paraId="46E3B075" w14:textId="027B6503" w:rsidR="00040E14" w:rsidRPr="00FB1D9C" w:rsidRDefault="00040E14" w:rsidP="00040E14">
            <w:pPr>
              <w:pStyle w:val="EBBodyPara"/>
            </w:pPr>
          </w:p>
        </w:tc>
        <w:tc>
          <w:tcPr>
            <w:tcW w:w="1933" w:type="dxa"/>
          </w:tcPr>
          <w:p w14:paraId="3097300A" w14:textId="4BDAF203" w:rsidR="00040E14" w:rsidRPr="00FB1D9C" w:rsidRDefault="00040E14" w:rsidP="00040E14">
            <w:pPr>
              <w:pStyle w:val="EBBodyPara"/>
            </w:pPr>
            <w:r w:rsidRPr="00FB1D9C">
              <w:t>75 Mt</w:t>
            </w:r>
          </w:p>
        </w:tc>
        <w:tc>
          <w:tcPr>
            <w:tcW w:w="1936" w:type="dxa"/>
          </w:tcPr>
          <w:p w14:paraId="331AB9AA" w14:textId="32F6617E" w:rsidR="00040E14" w:rsidRPr="00FB1D9C" w:rsidRDefault="00040E14" w:rsidP="00040E14">
            <w:pPr>
              <w:pStyle w:val="EBBodyPara"/>
            </w:pPr>
            <w:r w:rsidRPr="00FB1D9C">
              <w:t>N/A</w:t>
            </w:r>
          </w:p>
        </w:tc>
        <w:tc>
          <w:tcPr>
            <w:tcW w:w="1996" w:type="dxa"/>
          </w:tcPr>
          <w:p w14:paraId="51D5C6C3" w14:textId="30494A0C" w:rsidR="00040E14" w:rsidRPr="00FB1D9C" w:rsidRDefault="00040E14" w:rsidP="00040E14">
            <w:pPr>
              <w:pStyle w:val="EBBodyPara"/>
            </w:pPr>
            <w:r w:rsidRPr="00FB1D9C">
              <w:t>6.9 to 10.9</w:t>
            </w:r>
          </w:p>
        </w:tc>
        <w:tc>
          <w:tcPr>
            <w:tcW w:w="1660" w:type="dxa"/>
          </w:tcPr>
          <w:p w14:paraId="235173EB" w14:textId="550197AD" w:rsidR="00040E14" w:rsidRPr="00FB1D9C" w:rsidRDefault="00040E14" w:rsidP="00040E14">
            <w:pPr>
              <w:pStyle w:val="EBBodyPara"/>
              <w:jc w:val="both"/>
            </w:pPr>
            <w:r w:rsidRPr="00FB1D9C">
              <w:t>9.4 to 14.8</w:t>
            </w:r>
          </w:p>
        </w:tc>
      </w:tr>
    </w:tbl>
    <w:p w14:paraId="1850EF28" w14:textId="77777777" w:rsidR="00D3392B" w:rsidRDefault="00D3392B" w:rsidP="00E26D7A">
      <w:pPr>
        <w:pStyle w:val="EBBodyPara"/>
        <w:ind w:left="720"/>
      </w:pPr>
    </w:p>
    <w:p w14:paraId="0781B8F6" w14:textId="432AD192" w:rsidR="00F02AC9" w:rsidRDefault="00F02AC9" w:rsidP="005F4820">
      <w:pPr>
        <w:pStyle w:val="EBBodyPara"/>
        <w:numPr>
          <w:ilvl w:val="0"/>
          <w:numId w:val="7"/>
        </w:numPr>
      </w:pPr>
      <w:r>
        <w:t xml:space="preserve">The above table assumes that using credits </w:t>
      </w:r>
      <w:r w:rsidR="00214498">
        <w:t xml:space="preserve">rather than domestic abatement does not increase costs to meet subsequent budgets – </w:t>
      </w:r>
      <w:r w:rsidR="007F0EA7">
        <w:t>for example</w:t>
      </w:r>
      <w:r w:rsidR="00214498">
        <w:t xml:space="preserve"> because the shortfall in emissions abatement </w:t>
      </w:r>
      <w:r w:rsidR="005F3DE1">
        <w:t xml:space="preserve">was temporary. The following section considers </w:t>
      </w:r>
      <w:r w:rsidR="003A60A9">
        <w:t>where this is not the case and additional abatement is also needed over the fifth carbon budget period</w:t>
      </w:r>
      <w:r w:rsidR="00CC08CC">
        <w:t xml:space="preserve">. </w:t>
      </w:r>
      <w:r w:rsidR="00E859F7">
        <w:t>We assume that the abatement required over the fifth carbon budget is the same</w:t>
      </w:r>
      <w:r w:rsidR="00655394">
        <w:t xml:space="preserve"> as the shortfall in the fourth carbon budget</w:t>
      </w:r>
      <w:r w:rsidR="006259F0">
        <w:t>, for example because a new source of emissions with a flat emissions profile through time is added into the inventory.</w:t>
      </w:r>
      <w:r w:rsidR="00DA169F">
        <w:t xml:space="preserve"> </w:t>
      </w:r>
    </w:p>
    <w:p w14:paraId="3CC16B61" w14:textId="182EE166" w:rsidR="00025367" w:rsidRDefault="00025367" w:rsidP="005F4820">
      <w:pPr>
        <w:pStyle w:val="EBBodyPara"/>
        <w:numPr>
          <w:ilvl w:val="0"/>
          <w:numId w:val="7"/>
        </w:numPr>
      </w:pPr>
      <w:r>
        <w:t xml:space="preserve">We calculated switching values for the additional abatement costs in 2030. These are interpreted as the minimum cost per tonne (in undiscounted terms) that abatement over the </w:t>
      </w:r>
      <w:r w:rsidR="00945F13">
        <w:t>fifth carbon budget</w:t>
      </w:r>
      <w:r>
        <w:t xml:space="preserve"> period would have to be, in order for credit purchases to be more expensive than undertaking urgent domestic abatement over </w:t>
      </w:r>
      <w:r w:rsidR="00D067E8">
        <w:t>the fourth carbon budget</w:t>
      </w:r>
      <w:r>
        <w:t xml:space="preserve">. The switching values </w:t>
      </w:r>
      <w:r w:rsidR="0015633F">
        <w:t>are</w:t>
      </w:r>
      <w:r>
        <w:t xml:space="preserve"> £177/t if credits fall at the high end of the </w:t>
      </w:r>
      <w:r w:rsidR="00A1472E">
        <w:t xml:space="preserve">cost </w:t>
      </w:r>
      <w:r>
        <w:t>range and £279/t if credits fall at the low end of the range.</w:t>
      </w:r>
    </w:p>
    <w:p w14:paraId="6BE335CD" w14:textId="68A58BD0" w:rsidR="00FD775B" w:rsidRDefault="00025367" w:rsidP="005F4820">
      <w:pPr>
        <w:pStyle w:val="EBBodyPara"/>
        <w:numPr>
          <w:ilvl w:val="0"/>
          <w:numId w:val="7"/>
        </w:numPr>
      </w:pPr>
      <w:r>
        <w:t xml:space="preserve">In order to </w:t>
      </w:r>
      <w:r w:rsidR="00AD54EF">
        <w:t>compare these switching values</w:t>
      </w:r>
      <w:r>
        <w:t>, we</w:t>
      </w:r>
      <w:r w:rsidR="00B51CD6">
        <w:t xml:space="preserve"> </w:t>
      </w:r>
      <w:r w:rsidR="00AD54EF">
        <w:t xml:space="preserve">have </w:t>
      </w:r>
      <w:r w:rsidR="00B51CD6">
        <w:t>prox</w:t>
      </w:r>
      <w:r w:rsidR="00AD54EF">
        <w:t>ied</w:t>
      </w:r>
      <w:r w:rsidR="00B51CD6">
        <w:t xml:space="preserve"> the additional fifth carbon budget cost by using two comparators</w:t>
      </w:r>
      <w:r w:rsidR="00B64526">
        <w:t xml:space="preserve"> to inform a range of the possible costs. The high end of the range is the</w:t>
      </w:r>
      <w:r w:rsidR="006337FE">
        <w:t xml:space="preserve"> average abatement cost </w:t>
      </w:r>
      <w:r w:rsidR="009229E2">
        <w:t>in the most expensive sector</w:t>
      </w:r>
      <w:r w:rsidR="000C4468">
        <w:t xml:space="preserve"> in the CCC data for 2030</w:t>
      </w:r>
      <w:r w:rsidR="009229E2">
        <w:t xml:space="preserve">. </w:t>
      </w:r>
      <w:r w:rsidR="00B51CD6">
        <w:t>This</w:t>
      </w:r>
      <w:r w:rsidR="00B51CD6" w:rsidDel="0012310E">
        <w:t xml:space="preserve"> </w:t>
      </w:r>
      <w:r w:rsidR="00B51CD6" w:rsidRPr="00284625">
        <w:t xml:space="preserve">is </w:t>
      </w:r>
      <w:r w:rsidR="00B51CD6" w:rsidRPr="00B907A1">
        <w:t>£</w:t>
      </w:r>
      <w:r w:rsidR="00B703A1">
        <w:t>238</w:t>
      </w:r>
      <w:r w:rsidR="00B51CD6">
        <w:t>/</w:t>
      </w:r>
      <w:r w:rsidR="00B51CD6" w:rsidRPr="00B907A1">
        <w:t>t</w:t>
      </w:r>
      <w:r w:rsidR="00B51CD6">
        <w:t xml:space="preserve"> and </w:t>
      </w:r>
      <w:r w:rsidR="001B3C6C">
        <w:t xml:space="preserve">broadly </w:t>
      </w:r>
      <w:r w:rsidR="00B51CD6">
        <w:t xml:space="preserve">aligns with HMG modelling using the system-wide UKTIMES model. </w:t>
      </w:r>
      <w:r w:rsidR="003F183B">
        <w:t xml:space="preserve">We also consider a lower value, </w:t>
      </w:r>
      <w:r w:rsidR="00931B49">
        <w:t>as the shortfall</w:t>
      </w:r>
      <w:r w:rsidR="000C4468">
        <w:t xml:space="preserve"> would not necessarily </w:t>
      </w:r>
      <w:r w:rsidR="00772362">
        <w:t>be met</w:t>
      </w:r>
      <w:r w:rsidR="000C4468">
        <w:t xml:space="preserve"> at the top </w:t>
      </w:r>
      <w:r w:rsidR="00772362">
        <w:t>end of costs</w:t>
      </w:r>
      <w:r w:rsidR="000C4468">
        <w:t xml:space="preserve">. </w:t>
      </w:r>
      <w:r w:rsidR="003F183B">
        <w:t>The low end of the range</w:t>
      </w:r>
      <w:r w:rsidR="00B51CD6">
        <w:t xml:space="preserve"> is </w:t>
      </w:r>
      <w:r w:rsidR="000C4468">
        <w:t xml:space="preserve">the </w:t>
      </w:r>
      <w:r w:rsidR="006201CD">
        <w:t xml:space="preserve">average abatement cost in the </w:t>
      </w:r>
      <w:r w:rsidR="00B70F5F">
        <w:t>median sector in CCC data for 2030</w:t>
      </w:r>
      <w:r w:rsidR="004870E0">
        <w:t>, which</w:t>
      </w:r>
      <w:r w:rsidR="00B51CD6">
        <w:t xml:space="preserve"> is £4</w:t>
      </w:r>
      <w:r w:rsidR="00C517C9">
        <w:t>2</w:t>
      </w:r>
      <w:r w:rsidR="00B51CD6">
        <w:t xml:space="preserve">/t. </w:t>
      </w:r>
    </w:p>
    <w:p w14:paraId="6C407C9D" w14:textId="5989BDA6" w:rsidR="00B51CD6" w:rsidRDefault="00B70F5F" w:rsidP="005F4820">
      <w:pPr>
        <w:pStyle w:val="EBBodyPara"/>
        <w:numPr>
          <w:ilvl w:val="0"/>
          <w:numId w:val="7"/>
        </w:numPr>
      </w:pPr>
      <w:r>
        <w:t xml:space="preserve">We subtract these values in discounted terms from the </w:t>
      </w:r>
      <w:r w:rsidR="00697F52">
        <w:t>switching values</w:t>
      </w:r>
      <w:r>
        <w:t xml:space="preserve"> above to give </w:t>
      </w:r>
      <w:r w:rsidR="00FD775B">
        <w:t>adjusted present values in Table 2 below. The analysis show</w:t>
      </w:r>
      <w:r w:rsidR="00FF745C">
        <w:t>s</w:t>
      </w:r>
      <w:r w:rsidR="00FD775B">
        <w:t xml:space="preserve"> that using credits in </w:t>
      </w:r>
      <w:r w:rsidR="00FF745C">
        <w:t>the fourth carbon budget</w:t>
      </w:r>
      <w:r w:rsidR="00FD775B">
        <w:t xml:space="preserve"> could increase costs were </w:t>
      </w:r>
      <w:r w:rsidR="00FF745C">
        <w:t>fifth carbon budget</w:t>
      </w:r>
      <w:r w:rsidR="00FD775B">
        <w:t xml:space="preserve"> costs and credit</w:t>
      </w:r>
      <w:r w:rsidR="00DD4009">
        <w:t xml:space="preserve"> costs both</w:t>
      </w:r>
      <w:r w:rsidR="00FD775B">
        <w:t xml:space="preserve"> at the top of the assumed ranges. </w:t>
      </w:r>
      <w:r w:rsidR="006F01D1">
        <w:t>However, w</w:t>
      </w:r>
      <w:r w:rsidR="00FD775B">
        <w:t xml:space="preserve">ere either credits or </w:t>
      </w:r>
      <w:r w:rsidR="00B828A3">
        <w:t>fifth carbon budget</w:t>
      </w:r>
      <w:r w:rsidR="00FD775B">
        <w:t xml:space="preserve"> costs (or both) at the bottom of the ranges, the use of credits could reduce costs.</w:t>
      </w:r>
    </w:p>
    <w:p w14:paraId="4B13ADBC" w14:textId="25821E11" w:rsidR="00DA169F" w:rsidRPr="00EB3574" w:rsidRDefault="00DA169F" w:rsidP="005F4820">
      <w:pPr>
        <w:pStyle w:val="EBBodyPara"/>
        <w:numPr>
          <w:ilvl w:val="0"/>
          <w:numId w:val="7"/>
        </w:numPr>
        <w:rPr>
          <w:b/>
        </w:rPr>
      </w:pPr>
      <w:r w:rsidRPr="00EB3574">
        <w:rPr>
          <w:b/>
        </w:rPr>
        <w:t xml:space="preserve">Table </w:t>
      </w:r>
      <w:r w:rsidR="0058550D">
        <w:rPr>
          <w:b/>
        </w:rPr>
        <w:t>3</w:t>
      </w:r>
      <w:r w:rsidRPr="00EB3574">
        <w:rPr>
          <w:b/>
        </w:rPr>
        <w:t xml:space="preserve">: </w:t>
      </w:r>
      <w:r>
        <w:rPr>
          <w:b/>
          <w:bCs w:val="0"/>
        </w:rPr>
        <w:t xml:space="preserve">Net Present value (avoided abatement costs) over </w:t>
      </w:r>
      <w:r w:rsidR="001F0112">
        <w:rPr>
          <w:b/>
          <w:bCs w:val="0"/>
        </w:rPr>
        <w:t>the fourth and fifth carbon budgets</w:t>
      </w:r>
    </w:p>
    <w:tbl>
      <w:tblPr>
        <w:tblStyle w:val="TableGrid"/>
        <w:tblW w:w="9035" w:type="dxa"/>
        <w:tblInd w:w="883" w:type="dxa"/>
        <w:tblLook w:val="04A0" w:firstRow="1" w:lastRow="0" w:firstColumn="1" w:lastColumn="0" w:noHBand="0" w:noVBand="1"/>
      </w:tblPr>
      <w:tblGrid>
        <w:gridCol w:w="1304"/>
        <w:gridCol w:w="978"/>
        <w:gridCol w:w="1099"/>
        <w:gridCol w:w="2007"/>
        <w:gridCol w:w="1956"/>
        <w:gridCol w:w="1691"/>
      </w:tblGrid>
      <w:tr w:rsidR="00C42BDA" w:rsidRPr="00CA7A09" w14:paraId="055B92D7" w14:textId="77777777" w:rsidTr="00003E09">
        <w:trPr>
          <w:trHeight w:val="300"/>
        </w:trPr>
        <w:tc>
          <w:tcPr>
            <w:tcW w:w="3381" w:type="dxa"/>
            <w:gridSpan w:val="3"/>
            <w:vMerge w:val="restart"/>
            <w:noWrap/>
            <w:hideMark/>
          </w:tcPr>
          <w:p w14:paraId="69723E33" w14:textId="77777777" w:rsidR="00CC6942" w:rsidRPr="00CA7A09" w:rsidRDefault="00CC6942" w:rsidP="00CC6942">
            <w:pPr>
              <w:rPr>
                <w:rFonts w:cs="Arial"/>
                <w:color w:val="000000"/>
                <w:sz w:val="22"/>
                <w:szCs w:val="22"/>
                <w:lang w:eastAsia="en-GB"/>
              </w:rPr>
            </w:pPr>
            <w:r w:rsidRPr="00CA7A09">
              <w:rPr>
                <w:rFonts w:cs="Arial"/>
                <w:color w:val="000000"/>
                <w:sz w:val="22"/>
                <w:szCs w:val="22"/>
                <w:lang w:eastAsia="en-GB"/>
              </w:rPr>
              <w:t> </w:t>
            </w:r>
          </w:p>
          <w:p w14:paraId="5EC9275B" w14:textId="77777777" w:rsidR="00CC6942" w:rsidRPr="00CA7A09" w:rsidRDefault="00CC6942" w:rsidP="00CC6942">
            <w:pPr>
              <w:rPr>
                <w:rFonts w:cs="Arial"/>
                <w:color w:val="000000"/>
                <w:sz w:val="22"/>
                <w:szCs w:val="22"/>
                <w:lang w:eastAsia="en-GB"/>
              </w:rPr>
            </w:pPr>
            <w:r w:rsidRPr="00CA7A09">
              <w:rPr>
                <w:rFonts w:cs="Arial"/>
                <w:color w:val="000000"/>
                <w:sz w:val="22"/>
                <w:szCs w:val="22"/>
                <w:lang w:eastAsia="en-GB"/>
              </w:rPr>
              <w:t> </w:t>
            </w:r>
          </w:p>
          <w:p w14:paraId="65F7BF6C" w14:textId="26A8AC2E" w:rsidR="00CC6942" w:rsidRPr="00CA7A09" w:rsidRDefault="00CC6942" w:rsidP="00CC6942">
            <w:pPr>
              <w:rPr>
                <w:rFonts w:cs="Arial"/>
                <w:color w:val="000000"/>
                <w:sz w:val="22"/>
                <w:szCs w:val="22"/>
                <w:lang w:eastAsia="en-GB"/>
              </w:rPr>
            </w:pPr>
            <w:r w:rsidRPr="00CA7A09">
              <w:rPr>
                <w:rFonts w:cs="Arial"/>
                <w:color w:val="000000"/>
                <w:sz w:val="22"/>
                <w:szCs w:val="22"/>
                <w:lang w:eastAsia="en-GB"/>
              </w:rPr>
              <w:t> </w:t>
            </w:r>
            <w:r w:rsidR="00273F90" w:rsidRPr="00CA7A09">
              <w:rPr>
                <w:rFonts w:cs="Arial"/>
                <w:sz w:val="22"/>
                <w:szCs w:val="22"/>
              </w:rPr>
              <w:t>£bn, 2019 prices</w:t>
            </w:r>
          </w:p>
          <w:p w14:paraId="6C778B9E" w14:textId="77777777" w:rsidR="00CC6942" w:rsidRPr="00CA7A09" w:rsidRDefault="00CC6942" w:rsidP="00CC6942">
            <w:pPr>
              <w:rPr>
                <w:rFonts w:cs="Arial"/>
                <w:color w:val="000000"/>
                <w:sz w:val="22"/>
                <w:szCs w:val="22"/>
                <w:lang w:eastAsia="en-GB"/>
              </w:rPr>
            </w:pPr>
            <w:r w:rsidRPr="00CA7A09">
              <w:rPr>
                <w:rFonts w:cs="Arial"/>
                <w:color w:val="000000"/>
                <w:sz w:val="22"/>
                <w:szCs w:val="22"/>
                <w:lang w:eastAsia="en-GB"/>
              </w:rPr>
              <w:t> </w:t>
            </w:r>
          </w:p>
        </w:tc>
        <w:tc>
          <w:tcPr>
            <w:tcW w:w="5654" w:type="dxa"/>
            <w:gridSpan w:val="3"/>
            <w:noWrap/>
            <w:hideMark/>
          </w:tcPr>
          <w:p w14:paraId="41341021" w14:textId="2593F7C7" w:rsidR="00CC6942" w:rsidRPr="00CA7A09" w:rsidRDefault="00D67FEA" w:rsidP="00CC6942">
            <w:pPr>
              <w:jc w:val="center"/>
              <w:rPr>
                <w:rFonts w:cs="Arial"/>
                <w:b/>
                <w:bCs/>
                <w:color w:val="000000"/>
                <w:sz w:val="22"/>
                <w:szCs w:val="22"/>
                <w:lang w:eastAsia="en-GB"/>
              </w:rPr>
            </w:pPr>
            <w:r>
              <w:rPr>
                <w:rFonts w:cs="Arial"/>
                <w:sz w:val="22"/>
                <w:szCs w:val="22"/>
              </w:rPr>
              <w:t>Credit limits</w:t>
            </w:r>
          </w:p>
        </w:tc>
      </w:tr>
      <w:tr w:rsidR="00C42BDA" w:rsidRPr="00CA7A09" w14:paraId="67C38B7F" w14:textId="77777777" w:rsidTr="00003E09">
        <w:trPr>
          <w:trHeight w:val="300"/>
        </w:trPr>
        <w:tc>
          <w:tcPr>
            <w:tcW w:w="3381" w:type="dxa"/>
            <w:gridSpan w:val="3"/>
            <w:vMerge/>
            <w:noWrap/>
            <w:hideMark/>
          </w:tcPr>
          <w:p w14:paraId="251CF535" w14:textId="77777777" w:rsidR="00CC6942" w:rsidRPr="00CA7A09" w:rsidRDefault="00CC6942" w:rsidP="00CC6942">
            <w:pPr>
              <w:rPr>
                <w:rFonts w:cs="Arial"/>
                <w:color w:val="000000"/>
                <w:sz w:val="22"/>
                <w:szCs w:val="22"/>
                <w:lang w:eastAsia="en-GB"/>
              </w:rPr>
            </w:pPr>
          </w:p>
        </w:tc>
        <w:tc>
          <w:tcPr>
            <w:tcW w:w="2007" w:type="dxa"/>
            <w:noWrap/>
            <w:vAlign w:val="bottom"/>
            <w:hideMark/>
          </w:tcPr>
          <w:p w14:paraId="7E145AC7" w14:textId="77777777" w:rsidR="00CC6942" w:rsidRPr="00CA7A09" w:rsidRDefault="00CC6942">
            <w:pPr>
              <w:pStyle w:val="EBBodyPara"/>
            </w:pPr>
            <w:r w:rsidRPr="00CA7A09">
              <w:t>Option 1 (counterfactual)</w:t>
            </w:r>
          </w:p>
          <w:p w14:paraId="62F7C772" w14:textId="6DEB8A0A" w:rsidR="00CC6942" w:rsidRPr="00CA7A09" w:rsidRDefault="00CC6942" w:rsidP="00785A7E">
            <w:pPr>
              <w:rPr>
                <w:rFonts w:cs="Arial"/>
                <w:color w:val="000000"/>
                <w:sz w:val="22"/>
                <w:szCs w:val="22"/>
                <w:lang w:eastAsia="en-GB"/>
              </w:rPr>
            </w:pPr>
            <w:r w:rsidRPr="00CA7A09">
              <w:rPr>
                <w:rFonts w:cs="Arial"/>
                <w:sz w:val="22"/>
                <w:szCs w:val="22"/>
              </w:rPr>
              <w:t>0 MtCO2e</w:t>
            </w:r>
          </w:p>
        </w:tc>
        <w:tc>
          <w:tcPr>
            <w:tcW w:w="1956" w:type="dxa"/>
            <w:noWrap/>
            <w:vAlign w:val="bottom"/>
            <w:hideMark/>
          </w:tcPr>
          <w:p w14:paraId="3AAFD372" w14:textId="77777777" w:rsidR="00CC6942" w:rsidRPr="00CA7A09" w:rsidRDefault="00CC6942">
            <w:pPr>
              <w:pStyle w:val="EBBodyPara"/>
            </w:pPr>
            <w:r w:rsidRPr="00CA7A09">
              <w:t>Option 2</w:t>
            </w:r>
          </w:p>
          <w:p w14:paraId="56AB4E68" w14:textId="6ECF970D" w:rsidR="00CC6942" w:rsidRPr="00CA7A09" w:rsidRDefault="00CC6942" w:rsidP="00785A7E">
            <w:pPr>
              <w:rPr>
                <w:rFonts w:cs="Arial"/>
                <w:color w:val="000000"/>
                <w:sz w:val="22"/>
                <w:szCs w:val="22"/>
                <w:lang w:eastAsia="en-GB"/>
              </w:rPr>
            </w:pPr>
            <w:r w:rsidRPr="00CA7A09">
              <w:rPr>
                <w:rFonts w:cs="Arial"/>
                <w:sz w:val="22"/>
                <w:szCs w:val="22"/>
              </w:rPr>
              <w:t>55 MtCO2e</w:t>
            </w:r>
          </w:p>
        </w:tc>
        <w:tc>
          <w:tcPr>
            <w:tcW w:w="1691" w:type="dxa"/>
            <w:noWrap/>
            <w:vAlign w:val="bottom"/>
            <w:hideMark/>
          </w:tcPr>
          <w:p w14:paraId="5CA94865" w14:textId="77777777" w:rsidR="00CC6942" w:rsidRPr="00CA7A09" w:rsidRDefault="00CC6942">
            <w:pPr>
              <w:pStyle w:val="EBBodyPara"/>
            </w:pPr>
            <w:r w:rsidRPr="00CA7A09">
              <w:t>Option 3</w:t>
            </w:r>
          </w:p>
          <w:p w14:paraId="04EBDE80" w14:textId="654B395C" w:rsidR="00CC6942" w:rsidRPr="00CA7A09" w:rsidRDefault="00CC6942" w:rsidP="00785A7E">
            <w:pPr>
              <w:rPr>
                <w:rFonts w:cs="Arial"/>
                <w:color w:val="000000"/>
                <w:sz w:val="22"/>
                <w:szCs w:val="22"/>
                <w:lang w:eastAsia="en-GB"/>
              </w:rPr>
            </w:pPr>
            <w:r w:rsidRPr="00CA7A09">
              <w:rPr>
                <w:rFonts w:cs="Arial"/>
                <w:sz w:val="22"/>
                <w:szCs w:val="22"/>
              </w:rPr>
              <w:t>90 MtCO2e</w:t>
            </w:r>
          </w:p>
        </w:tc>
      </w:tr>
      <w:tr w:rsidR="00CC6942" w:rsidRPr="00CA7A09" w14:paraId="02D13A4E" w14:textId="77777777" w:rsidTr="00003E09">
        <w:trPr>
          <w:trHeight w:val="300"/>
        </w:trPr>
        <w:tc>
          <w:tcPr>
            <w:tcW w:w="1304" w:type="dxa"/>
            <w:vMerge w:val="restart"/>
            <w:noWrap/>
            <w:hideMark/>
          </w:tcPr>
          <w:p w14:paraId="4C3E2EFE" w14:textId="77777777" w:rsidR="00CC6942" w:rsidRPr="00CA7A09" w:rsidRDefault="00CC6942" w:rsidP="00CC6942">
            <w:pPr>
              <w:jc w:val="center"/>
              <w:rPr>
                <w:rFonts w:cs="Arial"/>
                <w:color w:val="000000"/>
                <w:sz w:val="22"/>
                <w:szCs w:val="22"/>
                <w:lang w:eastAsia="en-GB"/>
              </w:rPr>
            </w:pPr>
          </w:p>
          <w:p w14:paraId="25056853" w14:textId="77777777" w:rsidR="00CC6942" w:rsidRPr="00CA7A09" w:rsidRDefault="00CC6942" w:rsidP="00CC6942">
            <w:pPr>
              <w:jc w:val="center"/>
              <w:rPr>
                <w:rFonts w:cs="Arial"/>
                <w:color w:val="000000"/>
                <w:sz w:val="22"/>
                <w:szCs w:val="22"/>
                <w:lang w:eastAsia="en-GB"/>
              </w:rPr>
            </w:pPr>
          </w:p>
          <w:p w14:paraId="53CB6D6A" w14:textId="089DB3BF" w:rsidR="00CC6942" w:rsidRPr="00CA7A09" w:rsidRDefault="00CC6942" w:rsidP="00CC6942">
            <w:pPr>
              <w:jc w:val="center"/>
              <w:rPr>
                <w:rFonts w:cs="Arial"/>
                <w:color w:val="000000"/>
                <w:sz w:val="22"/>
                <w:szCs w:val="22"/>
                <w:lang w:eastAsia="en-GB"/>
              </w:rPr>
            </w:pPr>
            <w:r w:rsidRPr="00CA7A09">
              <w:rPr>
                <w:rFonts w:cs="Arial"/>
                <w:color w:val="000000"/>
                <w:sz w:val="22"/>
                <w:szCs w:val="22"/>
                <w:lang w:eastAsia="en-GB"/>
              </w:rPr>
              <w:t>Shortfall scenario</w:t>
            </w:r>
          </w:p>
        </w:tc>
        <w:tc>
          <w:tcPr>
            <w:tcW w:w="978" w:type="dxa"/>
            <w:vMerge w:val="restart"/>
            <w:noWrap/>
            <w:hideMark/>
          </w:tcPr>
          <w:p w14:paraId="3E315306" w14:textId="77777777" w:rsidR="00CC6942" w:rsidRPr="00CA7A09" w:rsidRDefault="00CC6942" w:rsidP="00CC6942">
            <w:pPr>
              <w:jc w:val="center"/>
              <w:rPr>
                <w:rFonts w:cs="Arial"/>
                <w:color w:val="000000"/>
                <w:sz w:val="22"/>
                <w:szCs w:val="22"/>
                <w:lang w:eastAsia="en-GB"/>
              </w:rPr>
            </w:pPr>
            <w:r w:rsidRPr="00CA7A09">
              <w:rPr>
                <w:rFonts w:cs="Arial"/>
                <w:color w:val="000000"/>
                <w:sz w:val="22"/>
                <w:szCs w:val="22"/>
                <w:lang w:eastAsia="en-GB"/>
              </w:rPr>
              <w:t>High CB5 costs</w:t>
            </w:r>
          </w:p>
        </w:tc>
        <w:tc>
          <w:tcPr>
            <w:tcW w:w="1099" w:type="dxa"/>
            <w:noWrap/>
            <w:hideMark/>
          </w:tcPr>
          <w:p w14:paraId="054AED04" w14:textId="77777777" w:rsidR="00CC6942" w:rsidRPr="00CA7A09" w:rsidRDefault="00CC6942" w:rsidP="00CC6942">
            <w:pPr>
              <w:jc w:val="right"/>
              <w:rPr>
                <w:rFonts w:cs="Arial"/>
                <w:color w:val="000000"/>
                <w:sz w:val="22"/>
                <w:szCs w:val="22"/>
                <w:lang w:eastAsia="en-GB"/>
              </w:rPr>
            </w:pPr>
            <w:r w:rsidRPr="00CA7A09">
              <w:rPr>
                <w:rFonts w:cs="Arial"/>
                <w:sz w:val="22"/>
                <w:szCs w:val="22"/>
              </w:rPr>
              <w:t>0 Mt</w:t>
            </w:r>
          </w:p>
        </w:tc>
        <w:tc>
          <w:tcPr>
            <w:tcW w:w="2007" w:type="dxa"/>
            <w:noWrap/>
            <w:hideMark/>
          </w:tcPr>
          <w:p w14:paraId="26737225" w14:textId="560FD7A7" w:rsidR="00CC6942" w:rsidRPr="00CA7A09" w:rsidRDefault="00CC6942" w:rsidP="00CB5AC1">
            <w:pPr>
              <w:rPr>
                <w:rFonts w:cs="Arial"/>
                <w:color w:val="000000"/>
                <w:sz w:val="22"/>
                <w:szCs w:val="22"/>
                <w:lang w:eastAsia="en-GB"/>
              </w:rPr>
            </w:pPr>
            <w:r w:rsidRPr="00CA7A09">
              <w:rPr>
                <w:rFonts w:cs="Arial"/>
                <w:sz w:val="22"/>
                <w:szCs w:val="22"/>
              </w:rPr>
              <w:t>N/A</w:t>
            </w:r>
          </w:p>
        </w:tc>
        <w:tc>
          <w:tcPr>
            <w:tcW w:w="1956" w:type="dxa"/>
            <w:noWrap/>
            <w:hideMark/>
          </w:tcPr>
          <w:p w14:paraId="35EEB80E" w14:textId="77777777" w:rsidR="00CC6942" w:rsidRPr="00CA7A09" w:rsidRDefault="00CC6942" w:rsidP="00785A7E">
            <w:pPr>
              <w:rPr>
                <w:rFonts w:cs="Arial"/>
                <w:color w:val="000000"/>
                <w:sz w:val="22"/>
                <w:szCs w:val="22"/>
                <w:lang w:eastAsia="en-GB"/>
              </w:rPr>
            </w:pPr>
            <w:r w:rsidRPr="00CA7A09">
              <w:rPr>
                <w:rFonts w:cs="Arial"/>
                <w:color w:val="000000"/>
                <w:sz w:val="22"/>
                <w:szCs w:val="22"/>
                <w:lang w:eastAsia="en-GB"/>
              </w:rPr>
              <w:t>0</w:t>
            </w:r>
          </w:p>
        </w:tc>
        <w:tc>
          <w:tcPr>
            <w:tcW w:w="1691" w:type="dxa"/>
            <w:noWrap/>
            <w:hideMark/>
          </w:tcPr>
          <w:p w14:paraId="2217B6EC" w14:textId="77777777" w:rsidR="00CC6942" w:rsidRPr="00CA7A09" w:rsidRDefault="00CC6942" w:rsidP="00785A7E">
            <w:pPr>
              <w:rPr>
                <w:rFonts w:cs="Arial"/>
                <w:color w:val="000000"/>
                <w:sz w:val="22"/>
                <w:szCs w:val="22"/>
                <w:lang w:eastAsia="en-GB"/>
              </w:rPr>
            </w:pPr>
            <w:r w:rsidRPr="00CA7A09">
              <w:rPr>
                <w:rFonts w:cs="Arial"/>
                <w:color w:val="000000"/>
                <w:sz w:val="22"/>
                <w:szCs w:val="22"/>
                <w:lang w:eastAsia="en-GB"/>
              </w:rPr>
              <w:t>0</w:t>
            </w:r>
          </w:p>
        </w:tc>
      </w:tr>
      <w:tr w:rsidR="00CA7A09" w:rsidRPr="00CA7A09" w14:paraId="3B9D0147" w14:textId="77777777" w:rsidTr="00003E09">
        <w:trPr>
          <w:trHeight w:val="300"/>
        </w:trPr>
        <w:tc>
          <w:tcPr>
            <w:tcW w:w="1304" w:type="dxa"/>
            <w:vMerge/>
            <w:hideMark/>
          </w:tcPr>
          <w:p w14:paraId="2FB66926" w14:textId="77777777" w:rsidR="00CA7A09" w:rsidRPr="00CA7A09" w:rsidRDefault="00CA7A09" w:rsidP="00CA7A09">
            <w:pPr>
              <w:rPr>
                <w:rFonts w:cs="Arial"/>
                <w:color w:val="000000"/>
                <w:sz w:val="22"/>
                <w:szCs w:val="22"/>
                <w:lang w:eastAsia="en-GB"/>
              </w:rPr>
            </w:pPr>
          </w:p>
        </w:tc>
        <w:tc>
          <w:tcPr>
            <w:tcW w:w="978" w:type="dxa"/>
            <w:vMerge/>
            <w:hideMark/>
          </w:tcPr>
          <w:p w14:paraId="03ECB419" w14:textId="77777777" w:rsidR="00CA7A09" w:rsidRPr="00CA7A09" w:rsidRDefault="00CA7A09" w:rsidP="00CA7A09">
            <w:pPr>
              <w:rPr>
                <w:rFonts w:cs="Arial"/>
                <w:color w:val="000000"/>
                <w:sz w:val="22"/>
                <w:szCs w:val="22"/>
                <w:lang w:eastAsia="en-GB"/>
              </w:rPr>
            </w:pPr>
          </w:p>
        </w:tc>
        <w:tc>
          <w:tcPr>
            <w:tcW w:w="1099" w:type="dxa"/>
            <w:noWrap/>
            <w:hideMark/>
          </w:tcPr>
          <w:p w14:paraId="2AC5CCAB" w14:textId="77777777" w:rsidR="00CA7A09" w:rsidRPr="00CA7A09" w:rsidRDefault="00CA7A09" w:rsidP="00CA7A09">
            <w:pPr>
              <w:jc w:val="right"/>
              <w:rPr>
                <w:rFonts w:cs="Arial"/>
                <w:color w:val="000000"/>
                <w:sz w:val="22"/>
                <w:szCs w:val="22"/>
                <w:lang w:eastAsia="en-GB"/>
              </w:rPr>
            </w:pPr>
            <w:r w:rsidRPr="00CA7A09">
              <w:rPr>
                <w:rFonts w:cs="Arial"/>
                <w:sz w:val="22"/>
                <w:szCs w:val="22"/>
              </w:rPr>
              <w:t>25 Mt</w:t>
            </w:r>
          </w:p>
        </w:tc>
        <w:tc>
          <w:tcPr>
            <w:tcW w:w="2007" w:type="dxa"/>
            <w:noWrap/>
            <w:hideMark/>
          </w:tcPr>
          <w:p w14:paraId="01498EB2" w14:textId="47E56027" w:rsidR="00CA7A09" w:rsidRPr="00CA7A09" w:rsidRDefault="00CA7A09" w:rsidP="00CA7A09">
            <w:pPr>
              <w:rPr>
                <w:rFonts w:cs="Arial"/>
                <w:color w:val="000000"/>
                <w:sz w:val="22"/>
                <w:szCs w:val="22"/>
                <w:lang w:eastAsia="en-GB"/>
              </w:rPr>
            </w:pPr>
            <w:r w:rsidRPr="00CA7A09">
              <w:rPr>
                <w:rFonts w:cs="Arial"/>
                <w:sz w:val="22"/>
                <w:szCs w:val="22"/>
              </w:rPr>
              <w:t>N/A</w:t>
            </w:r>
          </w:p>
        </w:tc>
        <w:tc>
          <w:tcPr>
            <w:tcW w:w="1956" w:type="dxa"/>
            <w:noWrap/>
            <w:hideMark/>
          </w:tcPr>
          <w:p w14:paraId="7DF3FC95" w14:textId="2FD9C2D0" w:rsidR="00CA7A09" w:rsidRPr="00CA7A09" w:rsidRDefault="00CA7A09" w:rsidP="00CA7A09">
            <w:pPr>
              <w:rPr>
                <w:rFonts w:cs="Arial"/>
                <w:color w:val="000000"/>
                <w:sz w:val="22"/>
                <w:szCs w:val="22"/>
                <w:lang w:eastAsia="en-GB"/>
              </w:rPr>
            </w:pPr>
            <w:r w:rsidRPr="00CA7A09">
              <w:rPr>
                <w:rFonts w:cs="Arial"/>
                <w:sz w:val="22"/>
                <w:szCs w:val="22"/>
              </w:rPr>
              <w:t>-2.4 to 0.7</w:t>
            </w:r>
          </w:p>
        </w:tc>
        <w:tc>
          <w:tcPr>
            <w:tcW w:w="1691" w:type="dxa"/>
            <w:noWrap/>
            <w:hideMark/>
          </w:tcPr>
          <w:p w14:paraId="142DC9A2" w14:textId="13AFEAC3" w:rsidR="00CA7A09" w:rsidRPr="00CA7A09" w:rsidRDefault="00CA7A09" w:rsidP="00CA7A09">
            <w:pPr>
              <w:rPr>
                <w:rFonts w:cs="Arial"/>
                <w:color w:val="000000"/>
                <w:sz w:val="22"/>
                <w:szCs w:val="22"/>
                <w:lang w:eastAsia="en-GB"/>
              </w:rPr>
            </w:pPr>
            <w:r w:rsidRPr="00CA7A09">
              <w:rPr>
                <w:rFonts w:cs="Arial"/>
                <w:sz w:val="22"/>
                <w:szCs w:val="22"/>
              </w:rPr>
              <w:t>-3.9 to 0.7</w:t>
            </w:r>
          </w:p>
        </w:tc>
      </w:tr>
      <w:tr w:rsidR="00CA7A09" w:rsidRPr="00CA7A09" w14:paraId="6E339B4B" w14:textId="77777777" w:rsidTr="00003E09">
        <w:trPr>
          <w:trHeight w:val="300"/>
        </w:trPr>
        <w:tc>
          <w:tcPr>
            <w:tcW w:w="1304" w:type="dxa"/>
            <w:vMerge/>
            <w:hideMark/>
          </w:tcPr>
          <w:p w14:paraId="1146C7D4" w14:textId="77777777" w:rsidR="00CA7A09" w:rsidRPr="00CA7A09" w:rsidRDefault="00CA7A09" w:rsidP="00CA7A09">
            <w:pPr>
              <w:rPr>
                <w:rFonts w:cs="Arial"/>
                <w:color w:val="000000"/>
                <w:sz w:val="22"/>
                <w:szCs w:val="22"/>
                <w:lang w:eastAsia="en-GB"/>
              </w:rPr>
            </w:pPr>
          </w:p>
        </w:tc>
        <w:tc>
          <w:tcPr>
            <w:tcW w:w="978" w:type="dxa"/>
            <w:vMerge/>
            <w:hideMark/>
          </w:tcPr>
          <w:p w14:paraId="636CCAFB" w14:textId="77777777" w:rsidR="00CA7A09" w:rsidRPr="00CA7A09" w:rsidRDefault="00CA7A09" w:rsidP="00CA7A09">
            <w:pPr>
              <w:rPr>
                <w:rFonts w:cs="Arial"/>
                <w:color w:val="000000"/>
                <w:sz w:val="22"/>
                <w:szCs w:val="22"/>
                <w:lang w:eastAsia="en-GB"/>
              </w:rPr>
            </w:pPr>
          </w:p>
        </w:tc>
        <w:tc>
          <w:tcPr>
            <w:tcW w:w="1099" w:type="dxa"/>
            <w:noWrap/>
            <w:hideMark/>
          </w:tcPr>
          <w:p w14:paraId="5FB3FD83" w14:textId="77777777" w:rsidR="00CA7A09" w:rsidRPr="00CA7A09" w:rsidRDefault="00CA7A09" w:rsidP="00CA7A09">
            <w:pPr>
              <w:jc w:val="right"/>
              <w:rPr>
                <w:rFonts w:cs="Arial"/>
                <w:color w:val="000000"/>
                <w:sz w:val="22"/>
                <w:szCs w:val="22"/>
                <w:lang w:eastAsia="en-GB"/>
              </w:rPr>
            </w:pPr>
            <w:r w:rsidRPr="00CA7A09">
              <w:rPr>
                <w:rFonts w:cs="Arial"/>
                <w:sz w:val="22"/>
                <w:szCs w:val="22"/>
              </w:rPr>
              <w:t>75 Mt</w:t>
            </w:r>
          </w:p>
        </w:tc>
        <w:tc>
          <w:tcPr>
            <w:tcW w:w="2007" w:type="dxa"/>
            <w:noWrap/>
            <w:hideMark/>
          </w:tcPr>
          <w:p w14:paraId="17116DDF" w14:textId="20593E21" w:rsidR="00CA7A09" w:rsidRPr="00CA7A09" w:rsidRDefault="00CA7A09" w:rsidP="00CA7A09">
            <w:pPr>
              <w:rPr>
                <w:rFonts w:cs="Arial"/>
                <w:color w:val="000000"/>
                <w:sz w:val="22"/>
                <w:szCs w:val="22"/>
                <w:lang w:eastAsia="en-GB"/>
              </w:rPr>
            </w:pPr>
            <w:r w:rsidRPr="00CA7A09">
              <w:rPr>
                <w:rFonts w:cs="Arial"/>
                <w:sz w:val="22"/>
                <w:szCs w:val="22"/>
              </w:rPr>
              <w:t>N/A</w:t>
            </w:r>
          </w:p>
        </w:tc>
        <w:tc>
          <w:tcPr>
            <w:tcW w:w="1956" w:type="dxa"/>
            <w:noWrap/>
            <w:hideMark/>
          </w:tcPr>
          <w:p w14:paraId="12B0D157" w14:textId="1DDA83FD" w:rsidR="00CA7A09" w:rsidRPr="00CA7A09" w:rsidRDefault="00CA7A09" w:rsidP="00CA7A09">
            <w:pPr>
              <w:rPr>
                <w:rFonts w:cs="Arial"/>
                <w:color w:val="000000"/>
                <w:sz w:val="22"/>
                <w:szCs w:val="22"/>
                <w:lang w:eastAsia="en-GB"/>
              </w:rPr>
            </w:pPr>
            <w:r w:rsidRPr="00CA7A09">
              <w:rPr>
                <w:rFonts w:cs="Arial"/>
                <w:sz w:val="22"/>
                <w:szCs w:val="22"/>
              </w:rPr>
              <w:t>-3.2 to 1.6</w:t>
            </w:r>
          </w:p>
        </w:tc>
        <w:tc>
          <w:tcPr>
            <w:tcW w:w="1691" w:type="dxa"/>
            <w:noWrap/>
            <w:hideMark/>
          </w:tcPr>
          <w:p w14:paraId="245BBB77" w14:textId="008A6657" w:rsidR="00CA7A09" w:rsidRPr="00CA7A09" w:rsidRDefault="00CA7A09" w:rsidP="00CA7A09">
            <w:pPr>
              <w:rPr>
                <w:rFonts w:cs="Arial"/>
                <w:color w:val="000000"/>
                <w:sz w:val="22"/>
                <w:szCs w:val="22"/>
                <w:lang w:eastAsia="en-GB"/>
              </w:rPr>
            </w:pPr>
            <w:r w:rsidRPr="00CA7A09">
              <w:rPr>
                <w:rFonts w:cs="Arial"/>
                <w:sz w:val="22"/>
                <w:szCs w:val="22"/>
              </w:rPr>
              <w:t>-3.9 to 2.2</w:t>
            </w:r>
          </w:p>
        </w:tc>
      </w:tr>
      <w:tr w:rsidR="00CC6942" w:rsidRPr="00CA7A09" w14:paraId="1A5C6187" w14:textId="77777777" w:rsidTr="00003E09">
        <w:trPr>
          <w:trHeight w:val="300"/>
        </w:trPr>
        <w:tc>
          <w:tcPr>
            <w:tcW w:w="1304" w:type="dxa"/>
            <w:vMerge/>
            <w:hideMark/>
          </w:tcPr>
          <w:p w14:paraId="4CD98EFF" w14:textId="77777777" w:rsidR="00CC6942" w:rsidRPr="00CA7A09" w:rsidRDefault="00CC6942" w:rsidP="00CC6942">
            <w:pPr>
              <w:rPr>
                <w:rFonts w:cs="Arial"/>
                <w:color w:val="000000"/>
                <w:sz w:val="22"/>
                <w:szCs w:val="22"/>
                <w:lang w:eastAsia="en-GB"/>
              </w:rPr>
            </w:pPr>
          </w:p>
        </w:tc>
        <w:tc>
          <w:tcPr>
            <w:tcW w:w="978" w:type="dxa"/>
            <w:vMerge w:val="restart"/>
            <w:noWrap/>
            <w:hideMark/>
          </w:tcPr>
          <w:p w14:paraId="514FA520" w14:textId="77777777" w:rsidR="00CC6942" w:rsidRPr="00CA7A09" w:rsidRDefault="00CC6942" w:rsidP="00CC6942">
            <w:pPr>
              <w:jc w:val="center"/>
              <w:rPr>
                <w:rFonts w:cs="Arial"/>
                <w:color w:val="000000"/>
                <w:sz w:val="22"/>
                <w:szCs w:val="22"/>
                <w:lang w:eastAsia="en-GB"/>
              </w:rPr>
            </w:pPr>
            <w:r w:rsidRPr="00CA7A09">
              <w:rPr>
                <w:rFonts w:cs="Arial"/>
                <w:color w:val="000000"/>
                <w:sz w:val="22"/>
                <w:szCs w:val="22"/>
                <w:lang w:eastAsia="en-GB"/>
              </w:rPr>
              <w:t>Low CB5 costs</w:t>
            </w:r>
          </w:p>
        </w:tc>
        <w:tc>
          <w:tcPr>
            <w:tcW w:w="1099" w:type="dxa"/>
            <w:noWrap/>
            <w:hideMark/>
          </w:tcPr>
          <w:p w14:paraId="777EAA51" w14:textId="77777777" w:rsidR="00CC6942" w:rsidRPr="00CA7A09" w:rsidRDefault="00CC6942" w:rsidP="00CC6942">
            <w:pPr>
              <w:jc w:val="right"/>
              <w:rPr>
                <w:rFonts w:cs="Arial"/>
                <w:color w:val="000000"/>
                <w:sz w:val="22"/>
                <w:szCs w:val="22"/>
                <w:lang w:eastAsia="en-GB"/>
              </w:rPr>
            </w:pPr>
            <w:r w:rsidRPr="00CA7A09">
              <w:rPr>
                <w:rFonts w:cs="Arial"/>
                <w:sz w:val="22"/>
                <w:szCs w:val="22"/>
              </w:rPr>
              <w:t>0 Mt</w:t>
            </w:r>
          </w:p>
        </w:tc>
        <w:tc>
          <w:tcPr>
            <w:tcW w:w="2007" w:type="dxa"/>
            <w:noWrap/>
            <w:hideMark/>
          </w:tcPr>
          <w:p w14:paraId="5158E2A1" w14:textId="49BE34E8" w:rsidR="00CC6942" w:rsidRPr="00CA7A09" w:rsidRDefault="00CC6942" w:rsidP="00CB5AC1">
            <w:pPr>
              <w:rPr>
                <w:rFonts w:cs="Arial"/>
                <w:color w:val="000000"/>
                <w:sz w:val="22"/>
                <w:szCs w:val="22"/>
                <w:lang w:eastAsia="en-GB"/>
              </w:rPr>
            </w:pPr>
            <w:r w:rsidRPr="00CA7A09">
              <w:rPr>
                <w:rFonts w:cs="Arial"/>
                <w:sz w:val="22"/>
                <w:szCs w:val="22"/>
              </w:rPr>
              <w:t>N/A</w:t>
            </w:r>
          </w:p>
        </w:tc>
        <w:tc>
          <w:tcPr>
            <w:tcW w:w="1956" w:type="dxa"/>
            <w:noWrap/>
            <w:hideMark/>
          </w:tcPr>
          <w:p w14:paraId="59FB2868" w14:textId="77777777" w:rsidR="00CC6942" w:rsidRPr="00CA7A09" w:rsidRDefault="00CC6942" w:rsidP="00785A7E">
            <w:pPr>
              <w:rPr>
                <w:rFonts w:cs="Arial"/>
                <w:color w:val="000000"/>
                <w:sz w:val="22"/>
                <w:szCs w:val="22"/>
                <w:lang w:eastAsia="en-GB"/>
              </w:rPr>
            </w:pPr>
            <w:r w:rsidRPr="00CA7A09">
              <w:rPr>
                <w:rFonts w:cs="Arial"/>
                <w:color w:val="000000"/>
                <w:sz w:val="22"/>
                <w:szCs w:val="22"/>
                <w:lang w:eastAsia="en-GB"/>
              </w:rPr>
              <w:t>0</w:t>
            </w:r>
          </w:p>
        </w:tc>
        <w:tc>
          <w:tcPr>
            <w:tcW w:w="1691" w:type="dxa"/>
            <w:noWrap/>
            <w:hideMark/>
          </w:tcPr>
          <w:p w14:paraId="134A0988" w14:textId="77777777" w:rsidR="00CC6942" w:rsidRPr="00CA7A09" w:rsidRDefault="00CC6942" w:rsidP="00785A7E">
            <w:pPr>
              <w:rPr>
                <w:rFonts w:cs="Arial"/>
                <w:color w:val="000000"/>
                <w:sz w:val="22"/>
                <w:szCs w:val="22"/>
                <w:lang w:eastAsia="en-GB"/>
              </w:rPr>
            </w:pPr>
            <w:r w:rsidRPr="00CA7A09">
              <w:rPr>
                <w:rFonts w:cs="Arial"/>
                <w:color w:val="000000"/>
                <w:sz w:val="22"/>
                <w:szCs w:val="22"/>
                <w:lang w:eastAsia="en-GB"/>
              </w:rPr>
              <w:t>0</w:t>
            </w:r>
          </w:p>
        </w:tc>
      </w:tr>
      <w:tr w:rsidR="00FB1D9C" w:rsidRPr="00CA7A09" w14:paraId="7CC59AFD" w14:textId="77777777" w:rsidTr="00003E09">
        <w:trPr>
          <w:trHeight w:val="300"/>
        </w:trPr>
        <w:tc>
          <w:tcPr>
            <w:tcW w:w="1304" w:type="dxa"/>
            <w:vMerge/>
            <w:hideMark/>
          </w:tcPr>
          <w:p w14:paraId="65163795" w14:textId="77777777" w:rsidR="00FB1D9C" w:rsidRPr="00CA7A09" w:rsidRDefault="00FB1D9C" w:rsidP="00FB1D9C">
            <w:pPr>
              <w:rPr>
                <w:rFonts w:cs="Arial"/>
                <w:b/>
                <w:bCs/>
                <w:color w:val="000000"/>
                <w:sz w:val="22"/>
                <w:szCs w:val="22"/>
                <w:lang w:eastAsia="en-GB"/>
              </w:rPr>
            </w:pPr>
          </w:p>
        </w:tc>
        <w:tc>
          <w:tcPr>
            <w:tcW w:w="978" w:type="dxa"/>
            <w:vMerge/>
            <w:hideMark/>
          </w:tcPr>
          <w:p w14:paraId="205F2A2B" w14:textId="77777777" w:rsidR="00FB1D9C" w:rsidRPr="00CA7A09" w:rsidRDefault="00FB1D9C" w:rsidP="00FB1D9C">
            <w:pPr>
              <w:rPr>
                <w:rFonts w:cs="Arial"/>
                <w:b/>
                <w:bCs/>
                <w:color w:val="000000"/>
                <w:sz w:val="22"/>
                <w:szCs w:val="22"/>
                <w:lang w:eastAsia="en-GB"/>
              </w:rPr>
            </w:pPr>
          </w:p>
        </w:tc>
        <w:tc>
          <w:tcPr>
            <w:tcW w:w="1099" w:type="dxa"/>
            <w:noWrap/>
            <w:hideMark/>
          </w:tcPr>
          <w:p w14:paraId="7DE181B1" w14:textId="77777777" w:rsidR="00FB1D9C" w:rsidRPr="00CA7A09" w:rsidRDefault="00FB1D9C" w:rsidP="00FB1D9C">
            <w:pPr>
              <w:jc w:val="right"/>
              <w:rPr>
                <w:rFonts w:cs="Arial"/>
                <w:color w:val="000000"/>
                <w:sz w:val="22"/>
                <w:szCs w:val="22"/>
                <w:lang w:eastAsia="en-GB"/>
              </w:rPr>
            </w:pPr>
            <w:r w:rsidRPr="00CA7A09">
              <w:rPr>
                <w:rFonts w:cs="Arial"/>
                <w:sz w:val="22"/>
                <w:szCs w:val="22"/>
              </w:rPr>
              <w:t>25 Mt</w:t>
            </w:r>
          </w:p>
        </w:tc>
        <w:tc>
          <w:tcPr>
            <w:tcW w:w="2007" w:type="dxa"/>
            <w:noWrap/>
            <w:hideMark/>
          </w:tcPr>
          <w:p w14:paraId="4F396DD8" w14:textId="2CE2C18C" w:rsidR="00FB1D9C" w:rsidRPr="00CA7A09" w:rsidRDefault="00FB1D9C" w:rsidP="00FB1D9C">
            <w:pPr>
              <w:rPr>
                <w:rFonts w:cs="Arial"/>
                <w:color w:val="000000"/>
                <w:sz w:val="22"/>
                <w:szCs w:val="22"/>
                <w:lang w:eastAsia="en-GB"/>
              </w:rPr>
            </w:pPr>
            <w:r w:rsidRPr="00CA7A09">
              <w:rPr>
                <w:rFonts w:cs="Arial"/>
                <w:sz w:val="22"/>
                <w:szCs w:val="22"/>
              </w:rPr>
              <w:t>N/A</w:t>
            </w:r>
          </w:p>
        </w:tc>
        <w:tc>
          <w:tcPr>
            <w:tcW w:w="1956" w:type="dxa"/>
            <w:noWrap/>
            <w:hideMark/>
          </w:tcPr>
          <w:p w14:paraId="6937CBC3" w14:textId="5EFF0BC8" w:rsidR="00FB1D9C" w:rsidRPr="00CA7A09" w:rsidRDefault="00FB1D9C" w:rsidP="00FB1D9C">
            <w:pPr>
              <w:rPr>
                <w:rFonts w:cs="Arial"/>
                <w:color w:val="000000"/>
                <w:sz w:val="22"/>
                <w:szCs w:val="22"/>
                <w:lang w:eastAsia="en-GB"/>
              </w:rPr>
            </w:pPr>
            <w:r w:rsidRPr="00CA7A09">
              <w:rPr>
                <w:rFonts w:cs="Arial"/>
                <w:sz w:val="22"/>
                <w:szCs w:val="22"/>
              </w:rPr>
              <w:t>2.4 to 4.2</w:t>
            </w:r>
          </w:p>
        </w:tc>
        <w:tc>
          <w:tcPr>
            <w:tcW w:w="1691" w:type="dxa"/>
            <w:noWrap/>
            <w:hideMark/>
          </w:tcPr>
          <w:p w14:paraId="1C90DEF2" w14:textId="6BE53F0C" w:rsidR="00FB1D9C" w:rsidRPr="00CA7A09" w:rsidRDefault="00FB1D9C" w:rsidP="00FB1D9C">
            <w:pPr>
              <w:rPr>
                <w:rFonts w:cs="Arial"/>
                <w:color w:val="000000"/>
                <w:sz w:val="22"/>
                <w:szCs w:val="22"/>
                <w:lang w:eastAsia="en-GB"/>
              </w:rPr>
            </w:pPr>
            <w:r w:rsidRPr="00CA7A09">
              <w:rPr>
                <w:rFonts w:cs="Arial"/>
                <w:sz w:val="22"/>
                <w:szCs w:val="22"/>
              </w:rPr>
              <w:t>2.4 to 4.2</w:t>
            </w:r>
          </w:p>
        </w:tc>
      </w:tr>
      <w:tr w:rsidR="00FB1D9C" w:rsidRPr="00CA7A09" w14:paraId="768EDAE1" w14:textId="77777777" w:rsidTr="00003E09">
        <w:trPr>
          <w:trHeight w:val="300"/>
        </w:trPr>
        <w:tc>
          <w:tcPr>
            <w:tcW w:w="1304" w:type="dxa"/>
            <w:vMerge/>
            <w:hideMark/>
          </w:tcPr>
          <w:p w14:paraId="43D7DB23" w14:textId="77777777" w:rsidR="00FB1D9C" w:rsidRPr="00CA7A09" w:rsidRDefault="00FB1D9C" w:rsidP="00FB1D9C">
            <w:pPr>
              <w:rPr>
                <w:rFonts w:cs="Arial"/>
                <w:b/>
                <w:bCs/>
                <w:color w:val="000000"/>
                <w:sz w:val="22"/>
                <w:szCs w:val="22"/>
                <w:lang w:eastAsia="en-GB"/>
              </w:rPr>
            </w:pPr>
          </w:p>
        </w:tc>
        <w:tc>
          <w:tcPr>
            <w:tcW w:w="978" w:type="dxa"/>
            <w:vMerge/>
            <w:hideMark/>
          </w:tcPr>
          <w:p w14:paraId="4AFEB80A" w14:textId="77777777" w:rsidR="00FB1D9C" w:rsidRPr="00CA7A09" w:rsidRDefault="00FB1D9C" w:rsidP="00FB1D9C">
            <w:pPr>
              <w:rPr>
                <w:rFonts w:cs="Arial"/>
                <w:b/>
                <w:bCs/>
                <w:color w:val="000000"/>
                <w:sz w:val="22"/>
                <w:szCs w:val="22"/>
                <w:lang w:eastAsia="en-GB"/>
              </w:rPr>
            </w:pPr>
          </w:p>
        </w:tc>
        <w:tc>
          <w:tcPr>
            <w:tcW w:w="1099" w:type="dxa"/>
            <w:noWrap/>
            <w:hideMark/>
          </w:tcPr>
          <w:p w14:paraId="28E727CF" w14:textId="77777777" w:rsidR="00FB1D9C" w:rsidRPr="00CA7A09" w:rsidRDefault="00FB1D9C" w:rsidP="00FB1D9C">
            <w:pPr>
              <w:jc w:val="right"/>
              <w:rPr>
                <w:rFonts w:cs="Arial"/>
                <w:color w:val="000000"/>
                <w:sz w:val="22"/>
                <w:szCs w:val="22"/>
                <w:lang w:eastAsia="en-GB"/>
              </w:rPr>
            </w:pPr>
            <w:r w:rsidRPr="00CA7A09">
              <w:rPr>
                <w:rFonts w:cs="Arial"/>
                <w:sz w:val="22"/>
                <w:szCs w:val="22"/>
              </w:rPr>
              <w:t>75 Mt</w:t>
            </w:r>
          </w:p>
        </w:tc>
        <w:tc>
          <w:tcPr>
            <w:tcW w:w="2007" w:type="dxa"/>
            <w:noWrap/>
            <w:hideMark/>
          </w:tcPr>
          <w:p w14:paraId="46EEF150" w14:textId="1CDE4656" w:rsidR="00FB1D9C" w:rsidRPr="00CA7A09" w:rsidRDefault="00FB1D9C" w:rsidP="00FB1D9C">
            <w:pPr>
              <w:rPr>
                <w:rFonts w:cs="Arial"/>
                <w:color w:val="000000"/>
                <w:sz w:val="22"/>
                <w:szCs w:val="22"/>
                <w:lang w:eastAsia="en-GB"/>
              </w:rPr>
            </w:pPr>
            <w:r w:rsidRPr="00CA7A09">
              <w:rPr>
                <w:rFonts w:cs="Arial"/>
                <w:sz w:val="22"/>
                <w:szCs w:val="22"/>
              </w:rPr>
              <w:t>N/A</w:t>
            </w:r>
          </w:p>
        </w:tc>
        <w:tc>
          <w:tcPr>
            <w:tcW w:w="1956" w:type="dxa"/>
            <w:noWrap/>
            <w:hideMark/>
          </w:tcPr>
          <w:p w14:paraId="57AC5DFB" w14:textId="16B11711" w:rsidR="00FB1D9C" w:rsidRPr="00CA7A09" w:rsidRDefault="00FB1D9C" w:rsidP="00FB1D9C">
            <w:pPr>
              <w:rPr>
                <w:rFonts w:cs="Arial"/>
                <w:color w:val="000000"/>
                <w:sz w:val="22"/>
                <w:szCs w:val="22"/>
                <w:lang w:eastAsia="en-GB"/>
              </w:rPr>
            </w:pPr>
            <w:r w:rsidRPr="00CA7A09">
              <w:rPr>
                <w:rFonts w:cs="Arial"/>
                <w:sz w:val="22"/>
                <w:szCs w:val="22"/>
              </w:rPr>
              <w:t>5.3 to 9.3</w:t>
            </w:r>
          </w:p>
        </w:tc>
        <w:tc>
          <w:tcPr>
            <w:tcW w:w="1691" w:type="dxa"/>
            <w:noWrap/>
            <w:hideMark/>
          </w:tcPr>
          <w:p w14:paraId="0A9E50CF" w14:textId="6B96E442" w:rsidR="00FB1D9C" w:rsidRPr="00CA7A09" w:rsidRDefault="00FB1D9C" w:rsidP="00FB1D9C">
            <w:pPr>
              <w:rPr>
                <w:rFonts w:cs="Arial"/>
                <w:color w:val="000000"/>
                <w:sz w:val="22"/>
                <w:szCs w:val="22"/>
                <w:lang w:eastAsia="en-GB"/>
              </w:rPr>
            </w:pPr>
            <w:r w:rsidRPr="00CA7A09">
              <w:rPr>
                <w:rFonts w:cs="Arial"/>
                <w:sz w:val="22"/>
                <w:szCs w:val="22"/>
              </w:rPr>
              <w:t>7.2 to 12.6</w:t>
            </w:r>
          </w:p>
        </w:tc>
      </w:tr>
    </w:tbl>
    <w:p w14:paraId="0CC6E0F2" w14:textId="77777777" w:rsidR="005A179A" w:rsidRDefault="005A179A" w:rsidP="00785A7E">
      <w:pPr>
        <w:pStyle w:val="EBBodyPara"/>
      </w:pPr>
    </w:p>
    <w:p w14:paraId="73D851F6" w14:textId="2F029621" w:rsidR="005935DB" w:rsidRDefault="00C07893" w:rsidP="005F4820">
      <w:pPr>
        <w:pStyle w:val="EBBodyPara"/>
        <w:numPr>
          <w:ilvl w:val="0"/>
          <w:numId w:val="7"/>
        </w:numPr>
      </w:pPr>
      <w:r w:rsidRPr="00384E91">
        <w:rPr>
          <w:b/>
          <w:bCs w:val="0"/>
        </w:rPr>
        <w:t xml:space="preserve">Overall, </w:t>
      </w:r>
      <w:r w:rsidR="00724A7E" w:rsidRPr="00384E91">
        <w:rPr>
          <w:b/>
          <w:bCs w:val="0"/>
        </w:rPr>
        <w:t xml:space="preserve">the above illustrative analysis </w:t>
      </w:r>
      <w:r w:rsidR="007C0D30">
        <w:rPr>
          <w:b/>
          <w:bCs w:val="0"/>
        </w:rPr>
        <w:t xml:space="preserve">suggests </w:t>
      </w:r>
      <w:r w:rsidR="00724A7E" w:rsidRPr="00384E91">
        <w:rPr>
          <w:b/>
          <w:bCs w:val="0"/>
        </w:rPr>
        <w:t xml:space="preserve">that a small positive </w:t>
      </w:r>
      <w:r w:rsidR="00C450AD">
        <w:rPr>
          <w:b/>
          <w:bCs w:val="0"/>
        </w:rPr>
        <w:t xml:space="preserve">credit </w:t>
      </w:r>
      <w:r w:rsidR="00724A7E" w:rsidRPr="00384E91">
        <w:rPr>
          <w:b/>
          <w:bCs w:val="0"/>
        </w:rPr>
        <w:t xml:space="preserve">limit would </w:t>
      </w:r>
      <w:r w:rsidR="00384E91">
        <w:rPr>
          <w:b/>
          <w:bCs w:val="0"/>
        </w:rPr>
        <w:t>be unlikely to</w:t>
      </w:r>
      <w:r w:rsidR="00724A7E" w:rsidRPr="00384E91">
        <w:rPr>
          <w:b/>
          <w:bCs w:val="0"/>
        </w:rPr>
        <w:t xml:space="preserve"> increase the costs of meeting Net Zero and could reduce it.</w:t>
      </w:r>
      <w:r w:rsidR="00724A7E">
        <w:t xml:space="preserve"> The </w:t>
      </w:r>
      <w:r w:rsidR="00384E91">
        <w:t xml:space="preserve">size of the benefit depends on the circumstances </w:t>
      </w:r>
      <w:r w:rsidR="00A379BA">
        <w:t xml:space="preserve">leading to </w:t>
      </w:r>
      <w:r w:rsidR="00384E91">
        <w:t xml:space="preserve">a shortfall and the </w:t>
      </w:r>
      <w:r w:rsidR="000C53DE">
        <w:t>scale</w:t>
      </w:r>
      <w:r w:rsidR="00384E91">
        <w:t xml:space="preserve"> of this shortfall, as well </w:t>
      </w:r>
      <w:r w:rsidR="00384E91">
        <w:lastRenderedPageBreak/>
        <w:t xml:space="preserve">as the cost of credits and the extent </w:t>
      </w:r>
      <w:r w:rsidR="00DB3167">
        <w:t xml:space="preserve">to </w:t>
      </w:r>
      <w:r w:rsidR="00384E91">
        <w:t xml:space="preserve">which using credits in </w:t>
      </w:r>
      <w:r w:rsidR="00DA55F8">
        <w:t xml:space="preserve">the fourth carbon budget </w:t>
      </w:r>
      <w:r w:rsidR="0058678A">
        <w:t xml:space="preserve">period </w:t>
      </w:r>
      <w:r w:rsidR="00384E91">
        <w:t xml:space="preserve">increases the costs of meeting </w:t>
      </w:r>
      <w:r w:rsidR="00DA55F8">
        <w:t xml:space="preserve">the fifth carbon budget </w:t>
      </w:r>
      <w:r w:rsidR="00384E91">
        <w:t xml:space="preserve">and the </w:t>
      </w:r>
      <w:r w:rsidR="004F598C">
        <w:t xml:space="preserve">2030 </w:t>
      </w:r>
      <w:r w:rsidR="00384E91">
        <w:t>NDC, on which we have made assumptions above.</w:t>
      </w:r>
    </w:p>
    <w:p w14:paraId="1910532E" w14:textId="16D022B9" w:rsidR="00915B3E" w:rsidRDefault="00915B3E" w:rsidP="005F4820">
      <w:pPr>
        <w:pStyle w:val="EBBodyPara"/>
        <w:numPr>
          <w:ilvl w:val="0"/>
          <w:numId w:val="7"/>
        </w:numPr>
      </w:pPr>
      <w:r>
        <w:t xml:space="preserve">Were the UK government to undertake a purchase of credits, a full cost benefit analysis would be undertaken in the knowledge of the level of abatement being considered; the costs of abating domestically in the counterfactual; and greater information on the cost of credits. </w:t>
      </w:r>
    </w:p>
    <w:p w14:paraId="065A2956" w14:textId="4DC6633C" w:rsidR="002B2CF3" w:rsidRDefault="002B2CF3" w:rsidP="0004400A">
      <w:pPr>
        <w:pStyle w:val="Heading3"/>
        <w:numPr>
          <w:ilvl w:val="0"/>
          <w:numId w:val="26"/>
        </w:numPr>
      </w:pPr>
      <w:bookmarkStart w:id="61" w:name="_Toc67067478"/>
      <w:r w:rsidRPr="00D3755A">
        <w:t>Wider impacts</w:t>
      </w:r>
      <w:bookmarkEnd w:id="61"/>
    </w:p>
    <w:p w14:paraId="6707D03A" w14:textId="08E3ED3A" w:rsidR="003A6BF7" w:rsidRDefault="00D61087" w:rsidP="005F4820">
      <w:pPr>
        <w:pStyle w:val="EBBodyPara"/>
        <w:numPr>
          <w:ilvl w:val="0"/>
          <w:numId w:val="7"/>
        </w:numPr>
      </w:pPr>
      <w:r w:rsidRPr="00D61087">
        <w:t>The Climate Change Act 2008 provides direction on how the credit limit should be set, including a</w:t>
      </w:r>
      <w:r w:rsidR="00CD3DD1">
        <w:t xml:space="preserve"> </w:t>
      </w:r>
      <w:r>
        <w:t>minimum set of factors that must be taken into account by the Secretary of State when making the</w:t>
      </w:r>
      <w:r w:rsidR="00CD3DD1">
        <w:t xml:space="preserve"> </w:t>
      </w:r>
      <w:r>
        <w:t>decision. These factors are set out in section 10 (“Matters to be taken into account in connection with</w:t>
      </w:r>
      <w:r w:rsidR="00CD3DD1">
        <w:t xml:space="preserve"> </w:t>
      </w:r>
      <w:r>
        <w:t xml:space="preserve">carbon budgets”) of the Act. </w:t>
      </w:r>
      <w:r w:rsidR="00D51030" w:rsidRPr="00D51030">
        <w:t xml:space="preserve">Of these, we consider that scientific knowledge, economic and fiscal circumstances, and circumstances at the international level are of particular importance – these factors are considered in the assessment above, while Annex 1 contains a summary of our assessment of each of the factors on a systematic basis. Overall, the factors do not point to any </w:t>
      </w:r>
      <w:r w:rsidR="0089402B">
        <w:t>specific</w:t>
      </w:r>
      <w:r w:rsidR="00D51030" w:rsidRPr="00D51030">
        <w:t xml:space="preserve"> </w:t>
      </w:r>
      <w:r w:rsidR="00621F93">
        <w:t xml:space="preserve">level of the </w:t>
      </w:r>
      <w:r w:rsidR="00D51030" w:rsidRPr="00D51030">
        <w:t>credit limit, although some indicate that a positive limit would be beneficial.</w:t>
      </w:r>
    </w:p>
    <w:p w14:paraId="1292629C" w14:textId="6E8699A2" w:rsidR="007963D2" w:rsidRDefault="007963D2" w:rsidP="005F4820">
      <w:pPr>
        <w:pStyle w:val="EBBodyPara"/>
        <w:numPr>
          <w:ilvl w:val="0"/>
          <w:numId w:val="7"/>
        </w:numPr>
      </w:pPr>
      <w:r>
        <w:t xml:space="preserve">In relation to investor confidence, the setting of the credit limit </w:t>
      </w:r>
      <w:r w:rsidR="007864AB">
        <w:t xml:space="preserve">level </w:t>
      </w:r>
      <w:r>
        <w:t>provides a signal to investors in the UK around the long</w:t>
      </w:r>
      <w:r w:rsidR="00DE7C4E">
        <w:t>-</w:t>
      </w:r>
      <w:r>
        <w:t xml:space="preserve">term commitment of the </w:t>
      </w:r>
      <w:r w:rsidR="00DE7C4E">
        <w:t>g</w:t>
      </w:r>
      <w:r>
        <w:t>overnment to implementing decarbonisation policies to reduce domestic emissions. A higher credit limit could be interpreted by investors as a signal that future climate policy on domestic reductions would be weaker. In theory this could impact the level of investment in UK low carbon industries and supply chains and increase the cost of capital for low carbon investments (due to higher perceived policy risk).</w:t>
      </w:r>
    </w:p>
    <w:p w14:paraId="09EF41D7" w14:textId="660D0F09" w:rsidR="007963D2" w:rsidRPr="003C49FF" w:rsidRDefault="007C57ED" w:rsidP="005F4820">
      <w:pPr>
        <w:pStyle w:val="EBBodyPara"/>
        <w:numPr>
          <w:ilvl w:val="0"/>
          <w:numId w:val="7"/>
        </w:numPr>
      </w:pPr>
      <w:r>
        <w:t>However, i</w:t>
      </w:r>
      <w:r w:rsidR="007963D2">
        <w:t>nvestor expectations about future policy</w:t>
      </w:r>
      <w:r>
        <w:t xml:space="preserve"> </w:t>
      </w:r>
      <w:r w:rsidR="007963D2">
        <w:t xml:space="preserve">will be determined by a wide range of factors, including the wider energy and climate policy framework, of which the </w:t>
      </w:r>
      <w:r w:rsidR="001F31D5">
        <w:t xml:space="preserve">fourth </w:t>
      </w:r>
      <w:r w:rsidR="007963D2">
        <w:t xml:space="preserve">carbon budget credit limit is only one component. Anecdotal evidence suggests specific decarbonisation delivery policies provide a much stronger signal to investors than carbon budget credit limits. In addition, having a policy framework that is more resilient to unexpected changes (such as unexpectedly high emissions) could provide greater confidence to investors. By providing more scope for the </w:t>
      </w:r>
      <w:r w:rsidR="00A47AF9">
        <w:t>g</w:t>
      </w:r>
      <w:r w:rsidR="007963D2">
        <w:t xml:space="preserve">overnment to manage the uncertainties in future emissions, a higher credit limit could give additional assurance that policies would not be changed at short notice. If the </w:t>
      </w:r>
      <w:r w:rsidR="000445EE">
        <w:t>g</w:t>
      </w:r>
      <w:r w:rsidR="007963D2">
        <w:t>overnment were forced to take urgent action to reduce emissions, or were at risk of missing a carbon budget, this could have a lasting negative impact on investor confidence.</w:t>
      </w:r>
    </w:p>
    <w:p w14:paraId="7E27AD2F" w14:textId="5867492D" w:rsidR="004638D0" w:rsidRPr="00864C7E" w:rsidRDefault="007963D2" w:rsidP="005F4820">
      <w:pPr>
        <w:pStyle w:val="EBBodyPara"/>
        <w:numPr>
          <w:ilvl w:val="0"/>
          <w:numId w:val="7"/>
        </w:numPr>
        <w:rPr>
          <w:rFonts w:eastAsia="Arial"/>
        </w:rPr>
      </w:pPr>
      <w:r>
        <w:t>In relation to carbon markets, t</w:t>
      </w:r>
      <w:r w:rsidR="00095040">
        <w:t>he</w:t>
      </w:r>
      <w:r w:rsidR="000C4D4E" w:rsidRPr="000C4D4E">
        <w:t xml:space="preserve"> development of an effective global carbon market is likely to help reduce the costs of global action to reduce carbon emissions, due to differences in mitigation costs between countries. Carbon trading can reduce the overall global cost of decarbonisation as it will be cheaper for some countries to purchase credits rather than undertaking domestic abatement, and for countries with low costs of abatement there will be a financial advantage in undertaking low</w:t>
      </w:r>
      <w:r w:rsidR="007F6614">
        <w:t>-</w:t>
      </w:r>
      <w:r w:rsidR="000C4D4E" w:rsidRPr="000C4D4E">
        <w:t xml:space="preserve">cost emissions reductions beyond their own national targets and selling the resulting credits. A positive credit limit would also provide the UK with the option of supporting emissions reductions in developing countries through the carbon budgets framework. If used, credits would lead to financial flows to low carbon development projects that deliver cost-effective mitigation, </w:t>
      </w:r>
      <w:r w:rsidR="00185225">
        <w:t xml:space="preserve">and non-carbon benefits, </w:t>
      </w:r>
      <w:r w:rsidR="000C4D4E" w:rsidRPr="000C4D4E">
        <w:t>and help to develop a global market for carbon that would likely reduce the cost of meeting the goals of the Paris Agreement</w:t>
      </w:r>
      <w:r w:rsidR="003D07A9" w:rsidRPr="003C49FF">
        <w:t>.</w:t>
      </w:r>
      <w:r w:rsidR="008A3BCD">
        <w:t xml:space="preserve"> </w:t>
      </w:r>
      <w:r w:rsidR="004638D0" w:rsidRPr="003C49FF">
        <w:t xml:space="preserve">The academic literature suggests that the development and use of effective carbon markets </w:t>
      </w:r>
      <w:r w:rsidR="00E72AB3" w:rsidRPr="003C49FF">
        <w:t>c</w:t>
      </w:r>
      <w:r w:rsidR="004638D0" w:rsidRPr="003C49FF">
        <w:t>ould substantially reduce the global costs of reducing GHG emissions, by channelling finance to the most cost-effective opportunities to reduce emissions. The level of cost saving</w:t>
      </w:r>
      <w:r w:rsidR="008A3BCD">
        <w:t xml:space="preserve"> </w:t>
      </w:r>
      <w:r w:rsidR="004638D0" w:rsidRPr="003C49FF">
        <w:t>will depend on the exact distribution of global commitments (relative to the distribution of low</w:t>
      </w:r>
      <w:r w:rsidR="008A3BCD">
        <w:t>-</w:t>
      </w:r>
      <w:r w:rsidR="004638D0" w:rsidRPr="003C49FF">
        <w:t xml:space="preserve">cost mitigation opportunities) and the design of the market </w:t>
      </w:r>
      <w:r w:rsidR="004638D0" w:rsidRPr="008A3BCD">
        <w:rPr>
          <w:color w:val="auto"/>
        </w:rPr>
        <w:t xml:space="preserve">mechanisms. </w:t>
      </w:r>
      <w:r w:rsidR="2805F31A" w:rsidRPr="008A3BCD">
        <w:rPr>
          <w:rFonts w:eastAsia="Arial"/>
          <w:bCs w:val="0"/>
          <w:color w:val="auto"/>
        </w:rPr>
        <w:t>A World Bank analysis suggested that an international carbon market may reduce the cost of delivering climate targets by 32% in 2030 and 54% in 2050.</w:t>
      </w:r>
      <w:r w:rsidR="2805F31A" w:rsidRPr="008A3BCD">
        <w:rPr>
          <w:rFonts w:eastAsia="Arial"/>
          <w:bCs w:val="0"/>
          <w:color w:val="auto"/>
          <w:vertAlign w:val="superscript"/>
        </w:rPr>
        <w:t>19</w:t>
      </w:r>
    </w:p>
    <w:p w14:paraId="3C481899" w14:textId="77777777" w:rsidR="005A54E6" w:rsidRPr="005A54E6" w:rsidRDefault="005A54E6" w:rsidP="005F4820">
      <w:pPr>
        <w:pStyle w:val="EBBodyPara"/>
        <w:numPr>
          <w:ilvl w:val="0"/>
          <w:numId w:val="7"/>
        </w:numPr>
        <w:rPr>
          <w:rFonts w:eastAsia="Arial"/>
        </w:rPr>
      </w:pPr>
      <w:r w:rsidRPr="005A54E6">
        <w:rPr>
          <w:rFonts w:eastAsia="Arial"/>
        </w:rPr>
        <w:t xml:space="preserve">Under Section 149 of the Equality Act 2010, public authorities have a duty to consider how their policies and decisions affect individuals who are protected under the Equality Act (2010).  The Act 2010 identifies the following as protected characteristics for the duty: </w:t>
      </w:r>
    </w:p>
    <w:p w14:paraId="34E488B7" w14:textId="77777777" w:rsidR="005A54E6" w:rsidRPr="005A54E6" w:rsidRDefault="005A54E6" w:rsidP="005F4820">
      <w:pPr>
        <w:pStyle w:val="EBBodyPara"/>
        <w:numPr>
          <w:ilvl w:val="1"/>
          <w:numId w:val="27"/>
        </w:numPr>
        <w:rPr>
          <w:rFonts w:eastAsia="Arial"/>
        </w:rPr>
      </w:pPr>
      <w:r w:rsidRPr="005A54E6">
        <w:rPr>
          <w:rFonts w:eastAsia="Arial"/>
        </w:rPr>
        <w:t xml:space="preserve">Age </w:t>
      </w:r>
    </w:p>
    <w:p w14:paraId="3E5DAAE0" w14:textId="77777777" w:rsidR="005A54E6" w:rsidRPr="005A54E6" w:rsidRDefault="005A54E6" w:rsidP="005F4820">
      <w:pPr>
        <w:pStyle w:val="EBBodyPara"/>
        <w:numPr>
          <w:ilvl w:val="1"/>
          <w:numId w:val="27"/>
        </w:numPr>
        <w:rPr>
          <w:rFonts w:eastAsia="Arial"/>
        </w:rPr>
      </w:pPr>
      <w:r w:rsidRPr="005A54E6">
        <w:rPr>
          <w:rFonts w:eastAsia="Arial"/>
        </w:rPr>
        <w:lastRenderedPageBreak/>
        <w:t xml:space="preserve">Disability </w:t>
      </w:r>
    </w:p>
    <w:p w14:paraId="2A711769" w14:textId="77777777" w:rsidR="005A54E6" w:rsidRPr="005A54E6" w:rsidRDefault="005A54E6" w:rsidP="005F4820">
      <w:pPr>
        <w:pStyle w:val="EBBodyPara"/>
        <w:numPr>
          <w:ilvl w:val="1"/>
          <w:numId w:val="27"/>
        </w:numPr>
        <w:rPr>
          <w:rFonts w:eastAsia="Arial"/>
        </w:rPr>
      </w:pPr>
      <w:r w:rsidRPr="005A54E6">
        <w:rPr>
          <w:rFonts w:eastAsia="Arial"/>
        </w:rPr>
        <w:t xml:space="preserve">Gender reassignment </w:t>
      </w:r>
    </w:p>
    <w:p w14:paraId="4F9BEE49" w14:textId="77777777" w:rsidR="005A54E6" w:rsidRPr="005A54E6" w:rsidRDefault="005A54E6" w:rsidP="005F4820">
      <w:pPr>
        <w:pStyle w:val="EBBodyPara"/>
        <w:numPr>
          <w:ilvl w:val="1"/>
          <w:numId w:val="27"/>
        </w:numPr>
        <w:rPr>
          <w:rFonts w:eastAsia="Arial"/>
        </w:rPr>
      </w:pPr>
      <w:r w:rsidRPr="005A54E6">
        <w:rPr>
          <w:rFonts w:eastAsia="Arial"/>
        </w:rPr>
        <w:t>Marriage and civil partnership</w:t>
      </w:r>
    </w:p>
    <w:p w14:paraId="2C1149E0" w14:textId="77777777" w:rsidR="005A54E6" w:rsidRPr="005A54E6" w:rsidRDefault="005A54E6" w:rsidP="005F4820">
      <w:pPr>
        <w:pStyle w:val="EBBodyPara"/>
        <w:numPr>
          <w:ilvl w:val="1"/>
          <w:numId w:val="27"/>
        </w:numPr>
        <w:rPr>
          <w:rFonts w:eastAsia="Arial"/>
        </w:rPr>
      </w:pPr>
      <w:r w:rsidRPr="005A54E6">
        <w:rPr>
          <w:rFonts w:eastAsia="Arial"/>
        </w:rPr>
        <w:t xml:space="preserve">Pregnancy and maternity </w:t>
      </w:r>
    </w:p>
    <w:p w14:paraId="2E4BEAAC" w14:textId="77777777" w:rsidR="005A54E6" w:rsidRPr="005A54E6" w:rsidRDefault="005A54E6" w:rsidP="005F4820">
      <w:pPr>
        <w:pStyle w:val="EBBodyPara"/>
        <w:numPr>
          <w:ilvl w:val="1"/>
          <w:numId w:val="27"/>
        </w:numPr>
        <w:rPr>
          <w:rFonts w:eastAsia="Arial"/>
        </w:rPr>
      </w:pPr>
      <w:r w:rsidRPr="005A54E6">
        <w:rPr>
          <w:rFonts w:eastAsia="Arial"/>
        </w:rPr>
        <w:t xml:space="preserve">Race (including ethnicity) </w:t>
      </w:r>
    </w:p>
    <w:p w14:paraId="31768939" w14:textId="77777777" w:rsidR="005A54E6" w:rsidRPr="005A54E6" w:rsidRDefault="005A54E6" w:rsidP="005F4820">
      <w:pPr>
        <w:pStyle w:val="EBBodyPara"/>
        <w:numPr>
          <w:ilvl w:val="1"/>
          <w:numId w:val="27"/>
        </w:numPr>
        <w:rPr>
          <w:rFonts w:eastAsia="Arial"/>
        </w:rPr>
      </w:pPr>
      <w:r w:rsidRPr="005A54E6">
        <w:rPr>
          <w:rFonts w:eastAsia="Arial"/>
        </w:rPr>
        <w:t xml:space="preserve">Religion or belief </w:t>
      </w:r>
    </w:p>
    <w:p w14:paraId="2B7B2726" w14:textId="77777777" w:rsidR="005A54E6" w:rsidRPr="005A54E6" w:rsidRDefault="005A54E6" w:rsidP="005F4820">
      <w:pPr>
        <w:pStyle w:val="EBBodyPara"/>
        <w:numPr>
          <w:ilvl w:val="1"/>
          <w:numId w:val="27"/>
        </w:numPr>
        <w:rPr>
          <w:rFonts w:eastAsia="Arial"/>
        </w:rPr>
      </w:pPr>
      <w:r w:rsidRPr="005A54E6">
        <w:rPr>
          <w:rFonts w:eastAsia="Arial"/>
        </w:rPr>
        <w:t xml:space="preserve">Sex </w:t>
      </w:r>
    </w:p>
    <w:p w14:paraId="2E99B5AC" w14:textId="77777777" w:rsidR="005A54E6" w:rsidRPr="005A54E6" w:rsidRDefault="005A54E6" w:rsidP="005F4820">
      <w:pPr>
        <w:pStyle w:val="EBBodyPara"/>
        <w:numPr>
          <w:ilvl w:val="1"/>
          <w:numId w:val="27"/>
        </w:numPr>
        <w:rPr>
          <w:rFonts w:eastAsia="Arial"/>
        </w:rPr>
      </w:pPr>
      <w:r w:rsidRPr="005A54E6">
        <w:rPr>
          <w:rFonts w:eastAsia="Arial"/>
        </w:rPr>
        <w:t xml:space="preserve">Sexual orientation </w:t>
      </w:r>
    </w:p>
    <w:p w14:paraId="4CE464D8" w14:textId="449C9305" w:rsidR="005A54E6" w:rsidRPr="005A54E6" w:rsidRDefault="005A54E6" w:rsidP="005F4820">
      <w:pPr>
        <w:pStyle w:val="EBBodyPara"/>
        <w:numPr>
          <w:ilvl w:val="0"/>
          <w:numId w:val="7"/>
        </w:numPr>
        <w:rPr>
          <w:rFonts w:eastAsia="Arial"/>
        </w:rPr>
      </w:pPr>
      <w:r w:rsidRPr="005A54E6">
        <w:rPr>
          <w:rFonts w:eastAsia="Arial"/>
        </w:rPr>
        <w:t xml:space="preserve">As this Impact Assessment concerns only the decision on </w:t>
      </w:r>
      <w:r>
        <w:rPr>
          <w:rFonts w:eastAsia="Arial"/>
        </w:rPr>
        <w:t>the credit limit</w:t>
      </w:r>
      <w:r w:rsidRPr="005A54E6">
        <w:rPr>
          <w:rFonts w:eastAsia="Arial"/>
        </w:rPr>
        <w:t xml:space="preserve">, rather than the policies needed </w:t>
      </w:r>
      <w:r>
        <w:rPr>
          <w:rFonts w:eastAsia="Arial"/>
        </w:rPr>
        <w:t>to meet the fourth carbon budget (including whether credits are purchased and what domestic action would otherwise be undertaken), the</w:t>
      </w:r>
      <w:r w:rsidR="00863D77">
        <w:rPr>
          <w:rFonts w:eastAsia="Arial"/>
        </w:rPr>
        <w:t>re are no differential impacts across these groups</w:t>
      </w:r>
      <w:r w:rsidR="00730024">
        <w:rPr>
          <w:rFonts w:eastAsia="Arial"/>
        </w:rPr>
        <w:t xml:space="preserve">. It is </w:t>
      </w:r>
      <w:r w:rsidRPr="005A54E6">
        <w:rPr>
          <w:rFonts w:eastAsia="Arial"/>
        </w:rPr>
        <w:t>not yet possible to identify specific equalities impacts</w:t>
      </w:r>
      <w:r w:rsidR="00863D77">
        <w:rPr>
          <w:rFonts w:eastAsia="Arial"/>
        </w:rPr>
        <w:t xml:space="preserve"> </w:t>
      </w:r>
      <w:r w:rsidR="00730024">
        <w:rPr>
          <w:rFonts w:eastAsia="Arial"/>
        </w:rPr>
        <w:t xml:space="preserve">in scenarios </w:t>
      </w:r>
      <w:r w:rsidR="00863D77">
        <w:rPr>
          <w:rFonts w:eastAsia="Arial"/>
        </w:rPr>
        <w:t>even on an indicative basis</w:t>
      </w:r>
      <w:r w:rsidR="00730024" w:rsidRPr="00730024">
        <w:rPr>
          <w:rFonts w:eastAsia="Arial"/>
        </w:rPr>
        <w:t xml:space="preserve"> </w:t>
      </w:r>
      <w:r w:rsidR="00730024">
        <w:rPr>
          <w:rFonts w:eastAsia="Arial"/>
        </w:rPr>
        <w:t>were credits purchased</w:t>
      </w:r>
      <w:r w:rsidRPr="005A54E6">
        <w:rPr>
          <w:rFonts w:eastAsia="Arial"/>
        </w:rPr>
        <w:t xml:space="preserve">. Where appropriate, the government will consider equalities impacts further as policies and proposals are developed to </w:t>
      </w:r>
      <w:r w:rsidR="00730024">
        <w:rPr>
          <w:rFonts w:eastAsia="Arial"/>
        </w:rPr>
        <w:t>meet the fourth carbon budget.</w:t>
      </w:r>
      <w:r w:rsidRPr="005A54E6">
        <w:rPr>
          <w:rFonts w:eastAsia="Arial"/>
        </w:rPr>
        <w:t xml:space="preserve"> </w:t>
      </w:r>
    </w:p>
    <w:p w14:paraId="206AD9E3" w14:textId="579E4479" w:rsidR="00526A0F" w:rsidRPr="00B61A6C" w:rsidRDefault="00526A0F" w:rsidP="005F4820">
      <w:pPr>
        <w:pStyle w:val="EBBodyPara"/>
        <w:numPr>
          <w:ilvl w:val="0"/>
          <w:numId w:val="7"/>
        </w:numPr>
        <w:rPr>
          <w:b/>
          <w:bCs w:val="0"/>
        </w:rPr>
      </w:pPr>
      <w:r w:rsidRPr="00B61A6C">
        <w:rPr>
          <w:rFonts w:ascii="Helvetica-Bold" w:hAnsi="Helvetica-Bold" w:cs="Helvetica-Bold"/>
          <w:b/>
          <w:bCs w:val="0"/>
        </w:rPr>
        <w:t>O</w:t>
      </w:r>
      <w:r w:rsidR="00CE6796">
        <w:rPr>
          <w:rFonts w:ascii="Helvetica-Bold" w:hAnsi="Helvetica-Bold" w:cs="Helvetica-Bold"/>
          <w:b/>
          <w:bCs w:val="0"/>
        </w:rPr>
        <w:t>n balance</w:t>
      </w:r>
      <w:r w:rsidRPr="00B61A6C">
        <w:rPr>
          <w:rFonts w:ascii="Helvetica-Bold" w:hAnsi="Helvetica-Bold" w:cs="Helvetica-Bold"/>
          <w:b/>
          <w:bCs w:val="0"/>
        </w:rPr>
        <w:t xml:space="preserve">, we conclude that a small positive credit limit would not have detrimental effects given these wider factors, and is consistent with </w:t>
      </w:r>
      <w:r w:rsidR="007E3943" w:rsidRPr="00B61A6C">
        <w:rPr>
          <w:rFonts w:ascii="Helvetica-Bold" w:hAnsi="Helvetica-Bold" w:cs="Helvetica-Bold"/>
          <w:b/>
          <w:bCs w:val="0"/>
        </w:rPr>
        <w:t xml:space="preserve">HMG’s stated position on international credits </w:t>
      </w:r>
      <w:r w:rsidR="008A26F2">
        <w:rPr>
          <w:rFonts w:ascii="Helvetica-Bold" w:hAnsi="Helvetica-Bold" w:cs="Helvetica-Bold"/>
          <w:b/>
          <w:bCs w:val="0"/>
        </w:rPr>
        <w:t xml:space="preserve">and carbon markets </w:t>
      </w:r>
      <w:r w:rsidR="007E3943" w:rsidRPr="00B61A6C">
        <w:rPr>
          <w:rFonts w:ascii="Helvetica-Bold" w:hAnsi="Helvetica-Bold" w:cs="Helvetica-Bold"/>
          <w:b/>
          <w:bCs w:val="0"/>
        </w:rPr>
        <w:t xml:space="preserve">which provides valuable continuity, as well as </w:t>
      </w:r>
      <w:r w:rsidR="00B61A6C">
        <w:rPr>
          <w:rFonts w:ascii="Helvetica-Bold" w:hAnsi="Helvetica-Bold" w:cs="Helvetica-Bold"/>
          <w:b/>
          <w:bCs w:val="0"/>
        </w:rPr>
        <w:t xml:space="preserve">further </w:t>
      </w:r>
      <w:r w:rsidR="00B61A6C" w:rsidRPr="00B61A6C">
        <w:rPr>
          <w:rFonts w:ascii="Helvetica-Bold" w:hAnsi="Helvetica-Bold" w:cs="Helvetica-Bold"/>
          <w:b/>
          <w:bCs w:val="0"/>
        </w:rPr>
        <w:t>routes to support mitigation globally.</w:t>
      </w:r>
    </w:p>
    <w:p w14:paraId="4C6B8F99" w14:textId="18C5B43B" w:rsidR="000C7ACF" w:rsidRPr="00EA4E7B" w:rsidRDefault="0004400A" w:rsidP="000C7ACF">
      <w:pPr>
        <w:pStyle w:val="Heading3"/>
      </w:pPr>
      <w:bookmarkStart w:id="62" w:name="_Toc67067479"/>
      <w:r>
        <w:t>7</w:t>
      </w:r>
      <w:r w:rsidR="003203BD">
        <w:t xml:space="preserve"> </w:t>
      </w:r>
      <w:r w:rsidR="000C7ACF" w:rsidRPr="00D3755A">
        <w:t xml:space="preserve">Impact on </w:t>
      </w:r>
      <w:r w:rsidR="000C7ACF">
        <w:t>businesses</w:t>
      </w:r>
      <w:r w:rsidR="003203BD">
        <w:t xml:space="preserve"> and trade</w:t>
      </w:r>
      <w:bookmarkEnd w:id="62"/>
    </w:p>
    <w:p w14:paraId="13D35861" w14:textId="5F576672" w:rsidR="000C7ACF" w:rsidRPr="002B2CF3" w:rsidRDefault="000C7ACF" w:rsidP="005F4820">
      <w:pPr>
        <w:pStyle w:val="EBBodyPara"/>
        <w:numPr>
          <w:ilvl w:val="0"/>
          <w:numId w:val="7"/>
        </w:numPr>
      </w:pPr>
      <w:r w:rsidRPr="002B2CF3">
        <w:t>Setting the credit limit for the fourth carbon budget, as required under the Act, is a public</w:t>
      </w:r>
      <w:r w:rsidR="00ED5A97">
        <w:t xml:space="preserve"> </w:t>
      </w:r>
      <w:r w:rsidRPr="002B2CF3">
        <w:t>sector regulation,</w:t>
      </w:r>
      <w:r w:rsidR="4B629CA4" w:rsidRPr="002B2CF3">
        <w:t xml:space="preserve"> </w:t>
      </w:r>
      <w:r w:rsidRPr="002B2CF3">
        <w:t>and will not lead to any direct costs on business. In the unlikely event</w:t>
      </w:r>
      <w:r w:rsidR="00ED5A97">
        <w:t xml:space="preserve"> </w:t>
      </w:r>
      <w:r w:rsidRPr="002B2CF3">
        <w:t>that emissions are higher than expected</w:t>
      </w:r>
      <w:r w:rsidR="4C1B62AA" w:rsidRPr="002B2CF3">
        <w:t xml:space="preserve"> </w:t>
      </w:r>
      <w:r w:rsidRPr="002B2CF3">
        <w:t xml:space="preserve">and exceed the </w:t>
      </w:r>
      <w:r w:rsidR="007B18CE">
        <w:t xml:space="preserve">fourth </w:t>
      </w:r>
      <w:r w:rsidRPr="002B2CF3">
        <w:t>carbon budget by more</w:t>
      </w:r>
      <w:r w:rsidR="1DE7E275" w:rsidRPr="002B2CF3">
        <w:t xml:space="preserve"> </w:t>
      </w:r>
      <w:r w:rsidRPr="002B2CF3">
        <w:t>than the limit set, extra domestic abatement would be required which could result in additional</w:t>
      </w:r>
      <w:r w:rsidR="0F571F28" w:rsidRPr="002B2CF3">
        <w:t xml:space="preserve"> </w:t>
      </w:r>
      <w:r w:rsidRPr="002B2CF3">
        <w:t>costs to businesses (and which purchasing credits would help avoid or reduce). As such, any potential cost to business would be a result of subsequent decisions on undertaking</w:t>
      </w:r>
      <w:r w:rsidR="6E5E7FEA" w:rsidRPr="002B2CF3">
        <w:t xml:space="preserve"> </w:t>
      </w:r>
      <w:r w:rsidRPr="002B2CF3">
        <w:t>extra domestic abatement, rather than as a result of the statutory instrument setting the credit limit itself. As appropriate, these decisions would be accompanied with their own Impact Assessments.</w:t>
      </w:r>
    </w:p>
    <w:p w14:paraId="1EA44714" w14:textId="110DD896" w:rsidR="000C7ACF" w:rsidRDefault="0004400A" w:rsidP="000C7ACF">
      <w:pPr>
        <w:pStyle w:val="Heading3"/>
      </w:pPr>
      <w:bookmarkStart w:id="63" w:name="_Toc67067480"/>
      <w:r>
        <w:t>8</w:t>
      </w:r>
      <w:r w:rsidR="003203BD">
        <w:t xml:space="preserve"> </w:t>
      </w:r>
      <w:r w:rsidR="000C7ACF">
        <w:t>Committee on Climate Change’s recommendation and views of the Devolved Administrations</w:t>
      </w:r>
      <w:bookmarkEnd w:id="63"/>
    </w:p>
    <w:p w14:paraId="1F479CD7" w14:textId="09F9EA4D" w:rsidR="000C7ACF" w:rsidRDefault="000C7ACF" w:rsidP="005F4820">
      <w:pPr>
        <w:pStyle w:val="EBBodyPara"/>
        <w:numPr>
          <w:ilvl w:val="0"/>
          <w:numId w:val="7"/>
        </w:numPr>
      </w:pPr>
      <w:r w:rsidRPr="003B106F">
        <w:t xml:space="preserve">The CCC </w:t>
      </w:r>
      <w:r w:rsidR="00DD4DC6">
        <w:t xml:space="preserve">advised that </w:t>
      </w:r>
      <w:r w:rsidR="00FA016C">
        <w:t>t</w:t>
      </w:r>
      <w:r w:rsidR="00DD4DC6">
        <w:t>he use of international carbon credits in place of domestic action poses several risks including that the use of credits would detract from UK climate leadership and reduce clarity on the steps required in the UK to meet Net Zero</w:t>
      </w:r>
      <w:r w:rsidR="005B26A5">
        <w:t xml:space="preserve">. The CCC therefore </w:t>
      </w:r>
      <w:r w:rsidRPr="003B106F">
        <w:t xml:space="preserve">recommended that </w:t>
      </w:r>
      <w:r w:rsidR="006134DD" w:rsidRPr="006134DD">
        <w:t>international emissions credits are not allowed to contribute to meeting the Fourth Carbon Budget (i.e. that a limit of zero is set on their use)</w:t>
      </w:r>
      <w:r w:rsidR="005B26A5">
        <w:t xml:space="preserve">. The CCC also </w:t>
      </w:r>
      <w:r w:rsidR="00FA016C">
        <w:t xml:space="preserve">reiterated in the </w:t>
      </w:r>
      <w:r w:rsidR="00FA016C" w:rsidRPr="00FA016C">
        <w:t>strongest terms that the expected large outperformance of the Third Carbon Budget should not be carried forward to help meet the fourth and subsequent budgets</w:t>
      </w:r>
      <w:r w:rsidR="00FA016C">
        <w:t>.</w:t>
      </w:r>
    </w:p>
    <w:p w14:paraId="19589E07" w14:textId="7FCB35F0" w:rsidR="000C7ACF" w:rsidRDefault="000C7ACF" w:rsidP="005F4820">
      <w:pPr>
        <w:pStyle w:val="EBBodyPara"/>
        <w:numPr>
          <w:ilvl w:val="0"/>
          <w:numId w:val="7"/>
        </w:numPr>
      </w:pPr>
      <w:r w:rsidRPr="003B106F">
        <w:t xml:space="preserve">The UK Government sought representations from the Devolved Administrations on the recommended level for </w:t>
      </w:r>
      <w:r w:rsidR="001F31D5">
        <w:t>fourth</w:t>
      </w:r>
      <w:r w:rsidR="001F31D5" w:rsidRPr="003B106F">
        <w:t xml:space="preserve"> </w:t>
      </w:r>
      <w:r w:rsidRPr="003B106F">
        <w:t>carbon budget credit limit. The representations of the Devolved Administrations have been taken into consideration alongside the recommendations of the CCC.</w:t>
      </w:r>
      <w:r w:rsidR="00D562E0">
        <w:t xml:space="preserve"> The Committee would, however, support the purchase of international carbon credits as an additional lever to support climate mitigation action internationally, in addition to domestic delivery of the legislated carbon budgets</w:t>
      </w:r>
    </w:p>
    <w:p w14:paraId="7351B588" w14:textId="50F43BA1" w:rsidR="00A01D04" w:rsidRDefault="00FA016C" w:rsidP="005F4820">
      <w:pPr>
        <w:pStyle w:val="EBBodyPara"/>
        <w:numPr>
          <w:ilvl w:val="0"/>
          <w:numId w:val="7"/>
        </w:numPr>
      </w:pPr>
      <w:r>
        <w:t xml:space="preserve">The </w:t>
      </w:r>
      <w:r w:rsidR="00A51861" w:rsidRPr="00A51861">
        <w:t>Scottish Government would support the adoption of a zero limit</w:t>
      </w:r>
      <w:r w:rsidR="00E25087">
        <w:t xml:space="preserve"> and is </w:t>
      </w:r>
      <w:r w:rsidR="00E25087" w:rsidRPr="00E25087">
        <w:t>of the view that the clear and unambiguous signalling of commitment</w:t>
      </w:r>
      <w:r w:rsidR="00E25087">
        <w:t xml:space="preserve"> to domestic emissions reductions</w:t>
      </w:r>
      <w:r w:rsidR="00E25087" w:rsidRPr="00E25087">
        <w:t xml:space="preserve"> is itself very important</w:t>
      </w:r>
      <w:r w:rsidR="00E25087">
        <w:t>. The Welsh Government</w:t>
      </w:r>
      <w:r w:rsidR="006056A4">
        <w:t xml:space="preserve"> would in principle support a 0% reduction given that further domestic action through reserved policy</w:t>
      </w:r>
      <w:r w:rsidR="0005415D">
        <w:t xml:space="preserve"> in wales is</w:t>
      </w:r>
      <w:r w:rsidR="006056A4">
        <w:t xml:space="preserve"> </w:t>
      </w:r>
      <w:r w:rsidR="0005415D">
        <w:t xml:space="preserve">an </w:t>
      </w:r>
      <w:r w:rsidR="0005415D" w:rsidRPr="0005415D">
        <w:t>important factor in determining whether Wales will meet the statutory targets</w:t>
      </w:r>
      <w:r w:rsidR="00A01D04">
        <w:t>.</w:t>
      </w:r>
      <w:r w:rsidR="009C057B">
        <w:t xml:space="preserve"> </w:t>
      </w:r>
      <w:r w:rsidR="0098080D">
        <w:t>The Northern Ireland Executive</w:t>
      </w:r>
      <w:r w:rsidR="00645799">
        <w:t xml:space="preserve"> </w:t>
      </w:r>
      <w:r w:rsidR="00023E96">
        <w:t xml:space="preserve">also highlighted </w:t>
      </w:r>
      <w:r w:rsidR="009C057B">
        <w:t xml:space="preserve">the need to </w:t>
      </w:r>
      <w:r w:rsidR="009C057B">
        <w:lastRenderedPageBreak/>
        <w:t xml:space="preserve">demonstrate global leadership through domestic action and </w:t>
      </w:r>
      <w:r w:rsidR="00F675D3">
        <w:t>that use international credits could detract from domestic action.</w:t>
      </w:r>
    </w:p>
    <w:p w14:paraId="5951715D" w14:textId="6F58DB79" w:rsidR="00FA016C" w:rsidRDefault="00A01D04" w:rsidP="005F4820">
      <w:pPr>
        <w:pStyle w:val="EBBodyPara"/>
        <w:numPr>
          <w:ilvl w:val="0"/>
          <w:numId w:val="7"/>
        </w:numPr>
      </w:pPr>
      <w:r>
        <w:t xml:space="preserve">The Welsh Government </w:t>
      </w:r>
      <w:r w:rsidR="00B040C3">
        <w:t xml:space="preserve">and Northern Ireland Executive </w:t>
      </w:r>
      <w:r>
        <w:t>also said however that circumstances beyond government’s control for which some small contingency is sensible, such as changes to the greenhouse gas emissions inventory</w:t>
      </w:r>
      <w:r w:rsidR="00B040C3">
        <w:t xml:space="preserve">, provided the intention remains to achieve the fourth carbon budget through domestic action alone and any credits purchased were </w:t>
      </w:r>
      <w:r w:rsidR="00F675D3">
        <w:t xml:space="preserve">high quality. The Northern Ireland Executive added that </w:t>
      </w:r>
      <w:r w:rsidR="00000B96">
        <w:t xml:space="preserve">credits should ideally </w:t>
      </w:r>
      <w:r w:rsidR="00000B96">
        <w:rPr>
          <w:sz w:val="23"/>
          <w:szCs w:val="23"/>
        </w:rPr>
        <w:t>represent additional international action in addition to domestic action</w:t>
      </w:r>
      <w:r w:rsidR="007E01CE">
        <w:rPr>
          <w:sz w:val="23"/>
          <w:szCs w:val="23"/>
        </w:rPr>
        <w:t xml:space="preserve">. </w:t>
      </w:r>
    </w:p>
    <w:p w14:paraId="6905938D" w14:textId="44056B0B" w:rsidR="003203BD" w:rsidRDefault="0004400A" w:rsidP="00654291">
      <w:pPr>
        <w:pStyle w:val="Heading3"/>
      </w:pPr>
      <w:bookmarkStart w:id="64" w:name="_Toc67067481"/>
      <w:r>
        <w:t>9</w:t>
      </w:r>
      <w:r w:rsidR="00654291">
        <w:t xml:space="preserve"> </w:t>
      </w:r>
      <w:r w:rsidR="00326C52">
        <w:t>Assessment of options</w:t>
      </w:r>
      <w:bookmarkEnd w:id="64"/>
    </w:p>
    <w:p w14:paraId="5412E011" w14:textId="27D8676E" w:rsidR="00AF75E9" w:rsidRDefault="000719CF" w:rsidP="005F4820">
      <w:pPr>
        <w:pStyle w:val="EBBodyPara"/>
        <w:numPr>
          <w:ilvl w:val="0"/>
          <w:numId w:val="7"/>
        </w:numPr>
      </w:pPr>
      <w:r>
        <w:t>This Impact Assessment has considered multiple criteria</w:t>
      </w:r>
      <w:r w:rsidR="000779C9">
        <w:t xml:space="preserve"> in assessing the different options, including the lik</w:t>
      </w:r>
      <w:r w:rsidR="00476E0F">
        <w:t>e</w:t>
      </w:r>
      <w:r w:rsidR="000779C9">
        <w:t xml:space="preserve">lihood of each level providing sufficient flexibility to manage uncertainty in emissions projections; the relative costs of credits and domestic abatement; </w:t>
      </w:r>
      <w:r w:rsidR="00C71D74">
        <w:t>the impact on investors; and the wider considerations including those set out in section 10 of the Climate Change Act. T</w:t>
      </w:r>
      <w:r w:rsidR="00643A6F">
        <w:t>he recommended option is 55 MtCO2e</w:t>
      </w:r>
      <w:r w:rsidR="00FB2718">
        <w:t xml:space="preserve">, which </w:t>
      </w:r>
      <w:r w:rsidR="008D5F34">
        <w:t xml:space="preserve">is likely </w:t>
      </w:r>
      <w:r w:rsidR="00476E0F">
        <w:t xml:space="preserve">to </w:t>
      </w:r>
      <w:r w:rsidR="00AF75E9">
        <w:t xml:space="preserve">provide sufficient flexibility to manage the uncertainty in emissions projections. </w:t>
      </w:r>
    </w:p>
    <w:p w14:paraId="5CF24DB9" w14:textId="37C8D03A" w:rsidR="00DC6DF8" w:rsidRDefault="000653D0" w:rsidP="005F4820">
      <w:pPr>
        <w:pStyle w:val="EBBodyPara"/>
        <w:numPr>
          <w:ilvl w:val="0"/>
          <w:numId w:val="7"/>
        </w:numPr>
      </w:pPr>
      <w:r>
        <w:t>Option 1 is in line the Climate Change</w:t>
      </w:r>
      <w:r w:rsidR="00DE04EF">
        <w:t xml:space="preserve"> Committee’s</w:t>
      </w:r>
      <w:r>
        <w:t xml:space="preserve"> (CCC) recommendation and the views of the Devolved Administrations, and could have a small positive impact on investor confidence in the short term. However, it would also provide no flexibility to manage the uncertainty about future emissions</w:t>
      </w:r>
      <w:r w:rsidR="00A872F6">
        <w:t xml:space="preserve"> using international credits</w:t>
      </w:r>
      <w:r>
        <w:t xml:space="preserve">. Were actual emissions to turn out significantly higher than currently projected, the </w:t>
      </w:r>
      <w:r w:rsidR="00A872F6">
        <w:t>g</w:t>
      </w:r>
      <w:r>
        <w:t xml:space="preserve">overnment would be unable to use credits to fill any shortfall, which may as an alternative require expensive and urgent domestic emissions reductions. </w:t>
      </w:r>
    </w:p>
    <w:p w14:paraId="3B603D72" w14:textId="7B1EF673" w:rsidR="00C71D74" w:rsidRDefault="000653D0" w:rsidP="005F4820">
      <w:pPr>
        <w:pStyle w:val="EBBodyPara"/>
        <w:numPr>
          <w:ilvl w:val="0"/>
          <w:numId w:val="7"/>
        </w:numPr>
      </w:pPr>
      <w:r>
        <w:t>Options 2 and 3 both mitigate this risk, providing flexibility to manage the uncertainty about future emissions.</w:t>
      </w:r>
      <w:r w:rsidR="00EB76C6">
        <w:t xml:space="preserve"> Option 3 provides greater flexibility than option 2, although the full level may not be needed and it may reduce confidence in the </w:t>
      </w:r>
      <w:r w:rsidR="00323132">
        <w:t>g</w:t>
      </w:r>
      <w:r w:rsidR="00EB76C6">
        <w:t xml:space="preserve">overnment’s ability to hit its ambitious NDC in 2030. </w:t>
      </w:r>
      <w:r>
        <w:t xml:space="preserve">Option 2 </w:t>
      </w:r>
      <w:r w:rsidR="00EB76C6">
        <w:t xml:space="preserve">still provides flexibility, and </w:t>
      </w:r>
      <w:r>
        <w:t>is in line with the credit limit for the second</w:t>
      </w:r>
      <w:r w:rsidR="00DC6DF8">
        <w:t xml:space="preserve"> and third</w:t>
      </w:r>
      <w:r>
        <w:t xml:space="preserve"> carbon budget period</w:t>
      </w:r>
      <w:r w:rsidR="00EB76C6">
        <w:t xml:space="preserve"> which may have benefits of continuity in investor expectations</w:t>
      </w:r>
      <w:r w:rsidR="00DC6DF8">
        <w:t xml:space="preserve">. </w:t>
      </w:r>
      <w:r w:rsidR="00EB76C6">
        <w:t>A</w:t>
      </w:r>
      <w:r>
        <w:t xml:space="preserve">ny negative impact on short-run investor confidence in the </w:t>
      </w:r>
      <w:r w:rsidR="003A5FA8">
        <w:t>g</w:t>
      </w:r>
      <w:r>
        <w:t>overnment’s commitment to domestic climate  relative to option 1 would likely be minimal.</w:t>
      </w:r>
    </w:p>
    <w:p w14:paraId="6DE1981B" w14:textId="003D14F2" w:rsidR="0072209A" w:rsidRDefault="0072209A" w:rsidP="005F4820">
      <w:pPr>
        <w:pStyle w:val="EBBodyPara"/>
        <w:numPr>
          <w:ilvl w:val="0"/>
          <w:numId w:val="7"/>
        </w:numPr>
      </w:pPr>
      <w:r>
        <w:t xml:space="preserve">The Government </w:t>
      </w:r>
      <w:r w:rsidR="001A492C">
        <w:t>does not have</w:t>
      </w:r>
      <w:r w:rsidR="00E877CA">
        <w:t xml:space="preserve"> specific</w:t>
      </w:r>
      <w:r w:rsidR="001A492C">
        <w:t xml:space="preserve"> plans to monitor and evaluate the decision</w:t>
      </w:r>
      <w:r w:rsidR="0017695B">
        <w:t xml:space="preserve">, although its </w:t>
      </w:r>
      <w:r w:rsidR="00B756C5">
        <w:t>planning to meet current and future carbon budgets</w:t>
      </w:r>
      <w:r w:rsidR="001F6003">
        <w:t xml:space="preserve">, and monitoring of emissions statistics, </w:t>
      </w:r>
      <w:r w:rsidR="00B756C5">
        <w:t>will naturally establish the merit of this decision</w:t>
      </w:r>
      <w:r w:rsidR="009132CC">
        <w:t>.</w:t>
      </w:r>
    </w:p>
    <w:p w14:paraId="4FD6D480" w14:textId="77777777" w:rsidR="0004400A" w:rsidRDefault="0004400A" w:rsidP="00CD2871">
      <w:bookmarkStart w:id="65" w:name="_Toc67067482"/>
    </w:p>
    <w:p w14:paraId="256D24A4" w14:textId="77777777" w:rsidR="0004400A" w:rsidRDefault="0004400A" w:rsidP="00CD2871"/>
    <w:p w14:paraId="6FAB0719" w14:textId="77777777" w:rsidR="00931FBF" w:rsidRDefault="00931FBF" w:rsidP="000C7ACF">
      <w:pPr>
        <w:pStyle w:val="Heading3"/>
        <w:rPr>
          <w:i/>
        </w:rPr>
      </w:pPr>
      <w:r>
        <w:rPr>
          <w:i/>
        </w:rPr>
        <w:br w:type="page"/>
      </w:r>
    </w:p>
    <w:p w14:paraId="348B1F51" w14:textId="31ECAD7A" w:rsidR="001F5DD9" w:rsidRDefault="008215C7" w:rsidP="000C7ACF">
      <w:pPr>
        <w:pStyle w:val="Heading3"/>
        <w:rPr>
          <w:i/>
        </w:rPr>
      </w:pPr>
      <w:r>
        <w:rPr>
          <w:i/>
        </w:rPr>
        <w:lastRenderedPageBreak/>
        <w:t xml:space="preserve">Annex 1: </w:t>
      </w:r>
      <w:r w:rsidR="0063151C">
        <w:rPr>
          <w:i/>
        </w:rPr>
        <w:t xml:space="preserve">Summary table of </w:t>
      </w:r>
      <w:r w:rsidR="0025786E">
        <w:rPr>
          <w:i/>
        </w:rPr>
        <w:t xml:space="preserve">Climate Change Act </w:t>
      </w:r>
      <w:r>
        <w:rPr>
          <w:i/>
        </w:rPr>
        <w:t xml:space="preserve">Section 10 </w:t>
      </w:r>
      <w:bookmarkEnd w:id="65"/>
      <w:r w:rsidR="00606ED1">
        <w:rPr>
          <w:i/>
        </w:rPr>
        <w:t>factors</w:t>
      </w:r>
    </w:p>
    <w:tbl>
      <w:tblPr>
        <w:tblStyle w:val="TableGrid"/>
        <w:tblW w:w="0" w:type="auto"/>
        <w:tblLook w:val="04A0" w:firstRow="1" w:lastRow="0" w:firstColumn="1" w:lastColumn="0" w:noHBand="0" w:noVBand="1"/>
      </w:tblPr>
      <w:tblGrid>
        <w:gridCol w:w="2689"/>
        <w:gridCol w:w="2268"/>
        <w:gridCol w:w="5238"/>
      </w:tblGrid>
      <w:tr w:rsidR="008215C7" w14:paraId="53A32F4B" w14:textId="77777777" w:rsidTr="00730139">
        <w:tc>
          <w:tcPr>
            <w:tcW w:w="2689" w:type="dxa"/>
          </w:tcPr>
          <w:p w14:paraId="69B9E934" w14:textId="77777777" w:rsidR="008215C7" w:rsidRDefault="008215C7" w:rsidP="00730139">
            <w:pPr>
              <w:rPr>
                <w:lang w:eastAsia="en-GB"/>
              </w:rPr>
            </w:pPr>
            <w:r w:rsidRPr="006058E3">
              <w:rPr>
                <w:rFonts w:ascii="Helvetica-Bold" w:hAnsi="Helvetica-Bold" w:cs="Helvetica-Bold"/>
                <w:b/>
                <w:bCs/>
                <w:sz w:val="22"/>
                <w:szCs w:val="22"/>
                <w:lang w:eastAsia="en-GB"/>
              </w:rPr>
              <w:t>Section 10</w:t>
            </w:r>
            <w:r>
              <w:rPr>
                <w:rFonts w:ascii="Helvetica-Bold" w:hAnsi="Helvetica-Bold" w:cs="Helvetica-Bold"/>
                <w:b/>
                <w:bCs/>
                <w:sz w:val="22"/>
                <w:szCs w:val="22"/>
                <w:lang w:eastAsia="en-GB"/>
              </w:rPr>
              <w:t xml:space="preserve"> factor</w:t>
            </w:r>
          </w:p>
        </w:tc>
        <w:tc>
          <w:tcPr>
            <w:tcW w:w="2268" w:type="dxa"/>
          </w:tcPr>
          <w:p w14:paraId="1C346C46" w14:textId="77777777" w:rsidR="008215C7" w:rsidRDefault="008215C7" w:rsidP="00730139">
            <w:pPr>
              <w:rPr>
                <w:lang w:eastAsia="en-GB"/>
              </w:rPr>
            </w:pPr>
            <w:r>
              <w:rPr>
                <w:rFonts w:ascii="Helvetica-Bold" w:hAnsi="Helvetica-Bold" w:cs="Helvetica-Bold"/>
                <w:b/>
                <w:bCs/>
                <w:sz w:val="22"/>
                <w:szCs w:val="22"/>
                <w:lang w:eastAsia="en-GB"/>
              </w:rPr>
              <w:t>Implication for the fourth carbon budget credit limit</w:t>
            </w:r>
          </w:p>
        </w:tc>
        <w:tc>
          <w:tcPr>
            <w:tcW w:w="5238" w:type="dxa"/>
          </w:tcPr>
          <w:p w14:paraId="222A80FD" w14:textId="77777777" w:rsidR="008215C7" w:rsidRDefault="008215C7" w:rsidP="00730139">
            <w:pPr>
              <w:rPr>
                <w:lang w:eastAsia="en-GB"/>
              </w:rPr>
            </w:pPr>
            <w:r>
              <w:rPr>
                <w:rFonts w:ascii="Helvetica-Bold" w:hAnsi="Helvetica-Bold" w:cs="Helvetica-Bold"/>
                <w:b/>
                <w:bCs/>
                <w:sz w:val="22"/>
                <w:szCs w:val="22"/>
                <w:lang w:eastAsia="en-GB"/>
              </w:rPr>
              <w:t>Assessment</w:t>
            </w:r>
          </w:p>
        </w:tc>
      </w:tr>
      <w:tr w:rsidR="008215C7" w14:paraId="5F5B32B6" w14:textId="77777777" w:rsidTr="00730139">
        <w:tc>
          <w:tcPr>
            <w:tcW w:w="2689" w:type="dxa"/>
          </w:tcPr>
          <w:p w14:paraId="365A31BB" w14:textId="77777777" w:rsidR="008215C7" w:rsidRPr="00C827B0" w:rsidRDefault="008215C7" w:rsidP="00730139">
            <w:pPr>
              <w:autoSpaceDE w:val="0"/>
              <w:autoSpaceDN w:val="0"/>
              <w:adjustRightInd w:val="0"/>
              <w:rPr>
                <w:rFonts w:ascii="Helvetica" w:hAnsi="Helvetica" w:cs="Helvetica"/>
                <w:sz w:val="22"/>
                <w:szCs w:val="22"/>
                <w:lang w:eastAsia="en-GB"/>
              </w:rPr>
            </w:pPr>
            <w:r>
              <w:rPr>
                <w:rFonts w:ascii="Helvetica" w:hAnsi="Helvetica" w:cs="Helvetica"/>
                <w:sz w:val="22"/>
                <w:szCs w:val="22"/>
                <w:lang w:eastAsia="en-GB"/>
              </w:rPr>
              <w:t>Scientific knowledge about climate change</w:t>
            </w:r>
          </w:p>
        </w:tc>
        <w:tc>
          <w:tcPr>
            <w:tcW w:w="2268" w:type="dxa"/>
          </w:tcPr>
          <w:p w14:paraId="3D329279" w14:textId="77777777" w:rsidR="008215C7" w:rsidRPr="00D0319A" w:rsidRDefault="008215C7" w:rsidP="00730139">
            <w:pPr>
              <w:rPr>
                <w:sz w:val="22"/>
                <w:szCs w:val="22"/>
                <w:lang w:eastAsia="en-GB"/>
              </w:rPr>
            </w:pPr>
            <w:r>
              <w:rPr>
                <w:sz w:val="22"/>
                <w:szCs w:val="22"/>
                <w:lang w:eastAsia="en-GB"/>
              </w:rPr>
              <w:t>Mixed</w:t>
            </w:r>
          </w:p>
        </w:tc>
        <w:tc>
          <w:tcPr>
            <w:tcW w:w="5238" w:type="dxa"/>
          </w:tcPr>
          <w:p w14:paraId="582A06FE" w14:textId="0956F3C3" w:rsidR="008215C7" w:rsidRDefault="008215C7" w:rsidP="00730139">
            <w:pPr>
              <w:autoSpaceDE w:val="0"/>
              <w:autoSpaceDN w:val="0"/>
              <w:adjustRightInd w:val="0"/>
              <w:rPr>
                <w:lang w:eastAsia="en-GB"/>
              </w:rPr>
            </w:pPr>
            <w:r w:rsidRPr="00D0319A">
              <w:rPr>
                <w:sz w:val="22"/>
                <w:szCs w:val="22"/>
                <w:lang w:eastAsia="en-GB"/>
              </w:rPr>
              <w:t>Climate science underpins the UK’s 2050 target to reach net zero emissions</w:t>
            </w:r>
            <w:r w:rsidR="00915E50">
              <w:rPr>
                <w:sz w:val="22"/>
                <w:szCs w:val="22"/>
                <w:lang w:eastAsia="en-GB"/>
              </w:rPr>
              <w:t>. The CCC consider</w:t>
            </w:r>
            <w:r>
              <w:rPr>
                <w:sz w:val="22"/>
                <w:szCs w:val="22"/>
                <w:lang w:eastAsia="en-GB"/>
              </w:rPr>
              <w:t xml:space="preserve"> the fourth carbon budget is on the </w:t>
            </w:r>
            <w:r w:rsidR="006167BA">
              <w:rPr>
                <w:sz w:val="22"/>
                <w:szCs w:val="22"/>
                <w:lang w:eastAsia="en-GB"/>
              </w:rPr>
              <w:t>n</w:t>
            </w:r>
            <w:r>
              <w:rPr>
                <w:sz w:val="22"/>
                <w:szCs w:val="22"/>
                <w:lang w:eastAsia="en-GB"/>
              </w:rPr>
              <w:t xml:space="preserve">et </w:t>
            </w:r>
            <w:r w:rsidR="006167BA">
              <w:rPr>
                <w:sz w:val="22"/>
                <w:szCs w:val="22"/>
                <w:lang w:eastAsia="en-GB"/>
              </w:rPr>
              <w:t>z</w:t>
            </w:r>
            <w:r>
              <w:rPr>
                <w:sz w:val="22"/>
                <w:szCs w:val="22"/>
                <w:lang w:eastAsia="en-GB"/>
              </w:rPr>
              <w:t>ero pathway</w:t>
            </w:r>
            <w:r w:rsidRPr="00D0319A">
              <w:rPr>
                <w:sz w:val="22"/>
                <w:szCs w:val="22"/>
                <w:lang w:eastAsia="en-GB"/>
              </w:rPr>
              <w:t xml:space="preserve">. </w:t>
            </w:r>
            <w:r>
              <w:rPr>
                <w:rFonts w:ascii="Helvetica" w:hAnsi="Helvetica" w:cs="Helvetica"/>
                <w:sz w:val="22"/>
                <w:szCs w:val="22"/>
                <w:lang w:eastAsia="en-GB"/>
              </w:rPr>
              <w:t xml:space="preserve">The credit limit does not directly impact on the level of global emissions reductions, just how these reductions could be delivered. The evolution of scientific knowledge in the inventory is one reason increased abatement could be required over </w:t>
            </w:r>
            <w:r w:rsidR="00DA55F8">
              <w:rPr>
                <w:rFonts w:ascii="Helvetica" w:hAnsi="Helvetica" w:cs="Helvetica"/>
                <w:sz w:val="22"/>
                <w:szCs w:val="22"/>
                <w:lang w:eastAsia="en-GB"/>
              </w:rPr>
              <w:t>the fourth carbon budget</w:t>
            </w:r>
            <w:r>
              <w:rPr>
                <w:rFonts w:ascii="Helvetica" w:hAnsi="Helvetica" w:cs="Helvetica"/>
                <w:sz w:val="22"/>
                <w:szCs w:val="22"/>
                <w:lang w:eastAsia="en-GB"/>
              </w:rPr>
              <w:t>.</w:t>
            </w:r>
            <w:r w:rsidR="001E3E24">
              <w:rPr>
                <w:rFonts w:ascii="Helvetica" w:hAnsi="Helvetica" w:cs="Helvetica"/>
                <w:sz w:val="22"/>
                <w:szCs w:val="22"/>
                <w:lang w:eastAsia="en-GB"/>
              </w:rPr>
              <w:t xml:space="preserve"> See section 3 of the above impact assessment in particular.</w:t>
            </w:r>
          </w:p>
        </w:tc>
      </w:tr>
      <w:tr w:rsidR="008215C7" w14:paraId="1B915172" w14:textId="77777777" w:rsidTr="00730139">
        <w:tc>
          <w:tcPr>
            <w:tcW w:w="2689" w:type="dxa"/>
          </w:tcPr>
          <w:p w14:paraId="48B5544C" w14:textId="77777777" w:rsidR="008215C7" w:rsidRDefault="008215C7" w:rsidP="00730139">
            <w:pPr>
              <w:autoSpaceDE w:val="0"/>
              <w:autoSpaceDN w:val="0"/>
              <w:adjustRightInd w:val="0"/>
              <w:rPr>
                <w:lang w:eastAsia="en-GB"/>
              </w:rPr>
            </w:pPr>
            <w:r>
              <w:rPr>
                <w:rFonts w:ascii="Helvetica" w:hAnsi="Helvetica" w:cs="Helvetica"/>
                <w:sz w:val="22"/>
                <w:szCs w:val="22"/>
                <w:lang w:eastAsia="en-GB"/>
              </w:rPr>
              <w:t>Technology relevant to climate change</w:t>
            </w:r>
          </w:p>
        </w:tc>
        <w:tc>
          <w:tcPr>
            <w:tcW w:w="2268" w:type="dxa"/>
          </w:tcPr>
          <w:p w14:paraId="64B5E8C7" w14:textId="77777777" w:rsidR="006E0D62" w:rsidRDefault="006E0D62" w:rsidP="006E0D62">
            <w:pPr>
              <w:autoSpaceDE w:val="0"/>
              <w:autoSpaceDN w:val="0"/>
              <w:adjustRightInd w:val="0"/>
              <w:rPr>
                <w:rFonts w:ascii="Helvetica" w:hAnsi="Helvetica" w:cs="Helvetica"/>
                <w:sz w:val="22"/>
                <w:szCs w:val="22"/>
                <w:lang w:eastAsia="en-GB"/>
              </w:rPr>
            </w:pPr>
            <w:r>
              <w:rPr>
                <w:rFonts w:ascii="Helvetica" w:hAnsi="Helvetica" w:cs="Helvetica"/>
                <w:sz w:val="22"/>
                <w:szCs w:val="22"/>
                <w:lang w:eastAsia="en-GB"/>
              </w:rPr>
              <w:t>Does not point to a</w:t>
            </w:r>
          </w:p>
          <w:p w14:paraId="31B0007F" w14:textId="77777777" w:rsidR="006E0D62" w:rsidRDefault="006E0D62" w:rsidP="006E0D62">
            <w:pPr>
              <w:autoSpaceDE w:val="0"/>
              <w:autoSpaceDN w:val="0"/>
              <w:adjustRightInd w:val="0"/>
              <w:rPr>
                <w:rFonts w:ascii="Helvetica" w:hAnsi="Helvetica" w:cs="Helvetica"/>
                <w:sz w:val="22"/>
                <w:szCs w:val="22"/>
                <w:lang w:eastAsia="en-GB"/>
              </w:rPr>
            </w:pPr>
            <w:r>
              <w:rPr>
                <w:rFonts w:ascii="Helvetica" w:hAnsi="Helvetica" w:cs="Helvetica"/>
                <w:sz w:val="22"/>
                <w:szCs w:val="22"/>
                <w:lang w:eastAsia="en-GB"/>
              </w:rPr>
              <w:t>particular credit</w:t>
            </w:r>
          </w:p>
          <w:p w14:paraId="6F6FBBD4" w14:textId="480FD8AF" w:rsidR="008215C7" w:rsidRDefault="006E0D62" w:rsidP="006E0D62">
            <w:pPr>
              <w:rPr>
                <w:lang w:eastAsia="en-GB"/>
              </w:rPr>
            </w:pPr>
            <w:r>
              <w:rPr>
                <w:rFonts w:ascii="Helvetica" w:hAnsi="Helvetica" w:cs="Helvetica"/>
                <w:sz w:val="22"/>
                <w:szCs w:val="22"/>
                <w:lang w:eastAsia="en-GB"/>
              </w:rPr>
              <w:t>limit</w:t>
            </w:r>
          </w:p>
        </w:tc>
        <w:tc>
          <w:tcPr>
            <w:tcW w:w="5238" w:type="dxa"/>
          </w:tcPr>
          <w:p w14:paraId="2C859426" w14:textId="26E3540A" w:rsidR="008215C7" w:rsidRPr="000B7C0A" w:rsidRDefault="000B7C0A" w:rsidP="00730139">
            <w:pPr>
              <w:rPr>
                <w:sz w:val="22"/>
                <w:szCs w:val="22"/>
                <w:lang w:eastAsia="en-GB"/>
              </w:rPr>
            </w:pPr>
            <w:r>
              <w:rPr>
                <w:sz w:val="22"/>
                <w:szCs w:val="22"/>
                <w:lang w:eastAsia="en-GB"/>
              </w:rPr>
              <w:t xml:space="preserve">Technological development influences the relative costs of abatement over </w:t>
            </w:r>
            <w:r w:rsidR="00AF4C06">
              <w:rPr>
                <w:sz w:val="22"/>
                <w:szCs w:val="22"/>
                <w:lang w:eastAsia="en-GB"/>
              </w:rPr>
              <w:t xml:space="preserve">the fourth </w:t>
            </w:r>
            <w:r>
              <w:rPr>
                <w:sz w:val="22"/>
                <w:szCs w:val="22"/>
                <w:lang w:eastAsia="en-GB"/>
              </w:rPr>
              <w:t xml:space="preserve">and </w:t>
            </w:r>
            <w:r w:rsidR="00AF4C06">
              <w:rPr>
                <w:sz w:val="22"/>
                <w:szCs w:val="22"/>
                <w:lang w:eastAsia="en-GB"/>
              </w:rPr>
              <w:t>fifth carbon budgets</w:t>
            </w:r>
            <w:r w:rsidR="00417590">
              <w:rPr>
                <w:sz w:val="22"/>
                <w:szCs w:val="22"/>
                <w:lang w:eastAsia="en-GB"/>
              </w:rPr>
              <w:t xml:space="preserve">. </w:t>
            </w:r>
            <w:r w:rsidR="0007307B">
              <w:rPr>
                <w:sz w:val="22"/>
                <w:szCs w:val="22"/>
                <w:lang w:eastAsia="en-GB"/>
              </w:rPr>
              <w:t>The</w:t>
            </w:r>
            <w:r w:rsidR="00796D6A">
              <w:rPr>
                <w:sz w:val="22"/>
                <w:szCs w:val="22"/>
                <w:lang w:eastAsia="en-GB"/>
              </w:rPr>
              <w:t xml:space="preserve"> illustrative costs analysis consider</w:t>
            </w:r>
            <w:r w:rsidR="008B1668">
              <w:rPr>
                <w:sz w:val="22"/>
                <w:szCs w:val="22"/>
                <w:lang w:eastAsia="en-GB"/>
              </w:rPr>
              <w:t>s</w:t>
            </w:r>
            <w:r w:rsidR="00796D6A">
              <w:rPr>
                <w:sz w:val="22"/>
                <w:szCs w:val="22"/>
                <w:lang w:eastAsia="en-GB"/>
              </w:rPr>
              <w:t xml:space="preserve"> a range of different proxies to test assumptions on technology</w:t>
            </w:r>
            <w:r w:rsidR="003C45ED">
              <w:rPr>
                <w:sz w:val="22"/>
                <w:szCs w:val="22"/>
                <w:lang w:eastAsia="en-GB"/>
              </w:rPr>
              <w:t xml:space="preserve"> costs</w:t>
            </w:r>
            <w:r w:rsidR="00796D6A">
              <w:rPr>
                <w:sz w:val="22"/>
                <w:szCs w:val="22"/>
                <w:lang w:eastAsia="en-GB"/>
              </w:rPr>
              <w:t>. The credit limit itself is not expected to have any material impact on developmen</w:t>
            </w:r>
            <w:r w:rsidR="00936B84">
              <w:rPr>
                <w:sz w:val="22"/>
                <w:szCs w:val="22"/>
                <w:lang w:eastAsia="en-GB"/>
              </w:rPr>
              <w:t xml:space="preserve">t of technology relevant to climate change. </w:t>
            </w:r>
            <w:r w:rsidR="001E3E24">
              <w:rPr>
                <w:sz w:val="22"/>
                <w:szCs w:val="22"/>
                <w:lang w:eastAsia="en-GB"/>
              </w:rPr>
              <w:t xml:space="preserve">See section </w:t>
            </w:r>
            <w:r w:rsidR="00184623">
              <w:rPr>
                <w:sz w:val="22"/>
                <w:szCs w:val="22"/>
                <w:lang w:eastAsia="en-GB"/>
              </w:rPr>
              <w:t>5</w:t>
            </w:r>
            <w:r w:rsidR="001E3E24">
              <w:rPr>
                <w:sz w:val="22"/>
                <w:szCs w:val="22"/>
                <w:lang w:eastAsia="en-GB"/>
              </w:rPr>
              <w:t xml:space="preserve"> of the impact assessment in particular.</w:t>
            </w:r>
          </w:p>
        </w:tc>
      </w:tr>
      <w:tr w:rsidR="008215C7" w14:paraId="7735E842" w14:textId="77777777" w:rsidTr="00730139">
        <w:tc>
          <w:tcPr>
            <w:tcW w:w="2689" w:type="dxa"/>
          </w:tcPr>
          <w:p w14:paraId="30EE3B83" w14:textId="77777777" w:rsidR="008215C7" w:rsidRDefault="008215C7" w:rsidP="00730139">
            <w:pPr>
              <w:autoSpaceDE w:val="0"/>
              <w:autoSpaceDN w:val="0"/>
              <w:adjustRightInd w:val="0"/>
              <w:rPr>
                <w:lang w:eastAsia="en-GB"/>
              </w:rPr>
            </w:pPr>
            <w:r>
              <w:rPr>
                <w:rFonts w:ascii="Helvetica" w:hAnsi="Helvetica" w:cs="Helvetica"/>
                <w:sz w:val="22"/>
                <w:szCs w:val="22"/>
                <w:lang w:eastAsia="en-GB"/>
              </w:rPr>
              <w:t>Economic circumstances</w:t>
            </w:r>
          </w:p>
        </w:tc>
        <w:tc>
          <w:tcPr>
            <w:tcW w:w="2268" w:type="dxa"/>
          </w:tcPr>
          <w:p w14:paraId="3E6DD3CD" w14:textId="05A636A4" w:rsidR="008215C7" w:rsidRPr="006E0D62" w:rsidRDefault="008215C7" w:rsidP="006E0D62">
            <w:pPr>
              <w:autoSpaceDE w:val="0"/>
              <w:autoSpaceDN w:val="0"/>
              <w:adjustRightInd w:val="0"/>
              <w:rPr>
                <w:rFonts w:ascii="Helvetica" w:hAnsi="Helvetica" w:cs="Helvetica"/>
                <w:sz w:val="22"/>
                <w:szCs w:val="22"/>
                <w:lang w:eastAsia="en-GB"/>
              </w:rPr>
            </w:pPr>
            <w:r w:rsidRPr="006E0D62">
              <w:rPr>
                <w:rFonts w:ascii="Helvetica" w:hAnsi="Helvetica" w:cs="Helvetica"/>
                <w:sz w:val="22"/>
                <w:szCs w:val="22"/>
                <w:lang w:eastAsia="en-GB"/>
              </w:rPr>
              <w:t>Positive limit</w:t>
            </w:r>
          </w:p>
        </w:tc>
        <w:tc>
          <w:tcPr>
            <w:tcW w:w="5238" w:type="dxa"/>
          </w:tcPr>
          <w:p w14:paraId="166336B1" w14:textId="548AD5EB" w:rsidR="008215C7" w:rsidRPr="001A2E0F" w:rsidRDefault="008215C7" w:rsidP="00730139">
            <w:pPr>
              <w:autoSpaceDE w:val="0"/>
              <w:autoSpaceDN w:val="0"/>
              <w:adjustRightInd w:val="0"/>
              <w:rPr>
                <w:rFonts w:ascii="Helvetica" w:hAnsi="Helvetica" w:cs="Helvetica"/>
                <w:sz w:val="22"/>
                <w:szCs w:val="22"/>
                <w:lang w:eastAsia="en-GB"/>
              </w:rPr>
            </w:pPr>
            <w:r>
              <w:rPr>
                <w:rFonts w:ascii="Helvetica" w:hAnsi="Helvetica" w:cs="Helvetica"/>
                <w:sz w:val="22"/>
                <w:szCs w:val="22"/>
                <w:lang w:eastAsia="en-GB"/>
              </w:rPr>
              <w:t>Setting a positive limit does not imply the use of credits, therefore any direct impact on the economy would be through investor expectations. Given the UK’s clearly legislated pathway to net zero and strong commitments through its NDC and the Paris Agreement, slight variations in the pathway of achieving net zero are not expected to have a significant impact.</w:t>
            </w:r>
            <w:r w:rsidR="00BB2359">
              <w:rPr>
                <w:rFonts w:ascii="Helvetica" w:hAnsi="Helvetica" w:cs="Helvetica"/>
                <w:sz w:val="22"/>
                <w:szCs w:val="22"/>
                <w:lang w:eastAsia="en-GB"/>
              </w:rPr>
              <w:t xml:space="preserve"> </w:t>
            </w:r>
          </w:p>
        </w:tc>
      </w:tr>
      <w:tr w:rsidR="008215C7" w14:paraId="30407220" w14:textId="77777777" w:rsidTr="00730139">
        <w:tc>
          <w:tcPr>
            <w:tcW w:w="2689" w:type="dxa"/>
          </w:tcPr>
          <w:p w14:paraId="6A1C2283" w14:textId="77777777" w:rsidR="008215C7" w:rsidRDefault="008215C7" w:rsidP="00730139">
            <w:pPr>
              <w:autoSpaceDE w:val="0"/>
              <w:autoSpaceDN w:val="0"/>
              <w:adjustRightInd w:val="0"/>
              <w:rPr>
                <w:lang w:eastAsia="en-GB"/>
              </w:rPr>
            </w:pPr>
            <w:r>
              <w:rPr>
                <w:rFonts w:ascii="Helvetica" w:hAnsi="Helvetica" w:cs="Helvetica"/>
                <w:sz w:val="22"/>
                <w:szCs w:val="22"/>
                <w:lang w:eastAsia="en-GB"/>
              </w:rPr>
              <w:t>Fiscal circumstances</w:t>
            </w:r>
          </w:p>
        </w:tc>
        <w:tc>
          <w:tcPr>
            <w:tcW w:w="2268" w:type="dxa"/>
          </w:tcPr>
          <w:p w14:paraId="5464E337" w14:textId="77777777" w:rsidR="008215C7" w:rsidRPr="006E0D62" w:rsidRDefault="008215C7" w:rsidP="006E0D62">
            <w:pPr>
              <w:autoSpaceDE w:val="0"/>
              <w:autoSpaceDN w:val="0"/>
              <w:adjustRightInd w:val="0"/>
              <w:rPr>
                <w:rFonts w:ascii="Helvetica" w:hAnsi="Helvetica" w:cs="Helvetica"/>
                <w:sz w:val="22"/>
                <w:szCs w:val="22"/>
                <w:lang w:eastAsia="en-GB"/>
              </w:rPr>
            </w:pPr>
            <w:r w:rsidRPr="006E0D62">
              <w:rPr>
                <w:rFonts w:ascii="Helvetica" w:hAnsi="Helvetica" w:cs="Helvetica"/>
                <w:sz w:val="22"/>
                <w:szCs w:val="22"/>
                <w:lang w:eastAsia="en-GB"/>
              </w:rPr>
              <w:t>Positive limit</w:t>
            </w:r>
          </w:p>
        </w:tc>
        <w:tc>
          <w:tcPr>
            <w:tcW w:w="5238" w:type="dxa"/>
          </w:tcPr>
          <w:p w14:paraId="3D6D96D6" w14:textId="348F8D6B" w:rsidR="008215C7" w:rsidRDefault="008215C7" w:rsidP="00730139">
            <w:pPr>
              <w:autoSpaceDE w:val="0"/>
              <w:autoSpaceDN w:val="0"/>
              <w:adjustRightInd w:val="0"/>
              <w:rPr>
                <w:lang w:eastAsia="en-GB"/>
              </w:rPr>
            </w:pPr>
            <w:r>
              <w:rPr>
                <w:rFonts w:ascii="Helvetica" w:hAnsi="Helvetica" w:cs="Helvetica"/>
                <w:sz w:val="22"/>
                <w:szCs w:val="22"/>
                <w:lang w:eastAsia="en-GB"/>
              </w:rPr>
              <w:t>There is no direct fiscal impact of setting the credit limit, although a positive limit may provide more cost</w:t>
            </w:r>
            <w:r w:rsidR="00444E46">
              <w:rPr>
                <w:rFonts w:ascii="Helvetica" w:hAnsi="Helvetica" w:cs="Helvetica"/>
                <w:sz w:val="22"/>
                <w:szCs w:val="22"/>
                <w:lang w:eastAsia="en-GB"/>
              </w:rPr>
              <w:t>-</w:t>
            </w:r>
            <w:r>
              <w:rPr>
                <w:rFonts w:ascii="Helvetica" w:hAnsi="Helvetica" w:cs="Helvetica"/>
                <w:sz w:val="22"/>
                <w:szCs w:val="22"/>
                <w:lang w:eastAsia="en-GB"/>
              </w:rPr>
              <w:t xml:space="preserve">effective abatement options if needed over </w:t>
            </w:r>
            <w:r w:rsidR="00AF4C06">
              <w:rPr>
                <w:rFonts w:ascii="Helvetica" w:hAnsi="Helvetica" w:cs="Helvetica"/>
                <w:sz w:val="22"/>
                <w:szCs w:val="22"/>
                <w:lang w:eastAsia="en-GB"/>
              </w:rPr>
              <w:t>the fourth carbon budget</w:t>
            </w:r>
            <w:r w:rsidR="001E3E24">
              <w:rPr>
                <w:rFonts w:ascii="Helvetica" w:hAnsi="Helvetica" w:cs="Helvetica"/>
                <w:sz w:val="22"/>
                <w:szCs w:val="22"/>
                <w:lang w:eastAsia="en-GB"/>
              </w:rPr>
              <w:t xml:space="preserve">, see section </w:t>
            </w:r>
            <w:r w:rsidR="00184623">
              <w:rPr>
                <w:rFonts w:ascii="Helvetica" w:hAnsi="Helvetica" w:cs="Helvetica"/>
                <w:sz w:val="22"/>
                <w:szCs w:val="22"/>
                <w:lang w:eastAsia="en-GB"/>
              </w:rPr>
              <w:t>5</w:t>
            </w:r>
            <w:r w:rsidR="001E3E24">
              <w:rPr>
                <w:rFonts w:ascii="Helvetica" w:hAnsi="Helvetica" w:cs="Helvetica"/>
                <w:sz w:val="22"/>
                <w:szCs w:val="22"/>
                <w:lang w:eastAsia="en-GB"/>
              </w:rPr>
              <w:t xml:space="preserve"> of the impact assessment in particular.</w:t>
            </w:r>
          </w:p>
        </w:tc>
      </w:tr>
      <w:tr w:rsidR="008215C7" w14:paraId="1D8CF968" w14:textId="77777777" w:rsidTr="00730139">
        <w:tc>
          <w:tcPr>
            <w:tcW w:w="2689" w:type="dxa"/>
          </w:tcPr>
          <w:p w14:paraId="3366FC0F" w14:textId="77777777" w:rsidR="008215C7" w:rsidRDefault="008215C7" w:rsidP="00730139">
            <w:pPr>
              <w:autoSpaceDE w:val="0"/>
              <w:autoSpaceDN w:val="0"/>
              <w:adjustRightInd w:val="0"/>
              <w:rPr>
                <w:lang w:eastAsia="en-GB"/>
              </w:rPr>
            </w:pPr>
            <w:r>
              <w:rPr>
                <w:rFonts w:ascii="Helvetica" w:hAnsi="Helvetica" w:cs="Helvetica"/>
                <w:sz w:val="22"/>
                <w:szCs w:val="22"/>
                <w:lang w:eastAsia="en-GB"/>
              </w:rPr>
              <w:t>Social circumstances</w:t>
            </w:r>
          </w:p>
        </w:tc>
        <w:tc>
          <w:tcPr>
            <w:tcW w:w="2268" w:type="dxa"/>
          </w:tcPr>
          <w:p w14:paraId="10E09B67" w14:textId="77777777" w:rsidR="008215C7" w:rsidRDefault="008215C7" w:rsidP="00730139">
            <w:pPr>
              <w:autoSpaceDE w:val="0"/>
              <w:autoSpaceDN w:val="0"/>
              <w:adjustRightInd w:val="0"/>
              <w:rPr>
                <w:rFonts w:ascii="Helvetica" w:hAnsi="Helvetica" w:cs="Helvetica"/>
                <w:sz w:val="22"/>
                <w:szCs w:val="22"/>
                <w:lang w:eastAsia="en-GB"/>
              </w:rPr>
            </w:pPr>
            <w:r>
              <w:rPr>
                <w:rFonts w:ascii="Helvetica" w:hAnsi="Helvetica" w:cs="Helvetica"/>
                <w:sz w:val="22"/>
                <w:szCs w:val="22"/>
                <w:lang w:eastAsia="en-GB"/>
              </w:rPr>
              <w:t>Does not point to a</w:t>
            </w:r>
          </w:p>
          <w:p w14:paraId="13B66AA1" w14:textId="77777777" w:rsidR="008215C7" w:rsidRDefault="008215C7" w:rsidP="00730139">
            <w:pPr>
              <w:autoSpaceDE w:val="0"/>
              <w:autoSpaceDN w:val="0"/>
              <w:adjustRightInd w:val="0"/>
              <w:rPr>
                <w:rFonts w:ascii="Helvetica" w:hAnsi="Helvetica" w:cs="Helvetica"/>
                <w:sz w:val="22"/>
                <w:szCs w:val="22"/>
                <w:lang w:eastAsia="en-GB"/>
              </w:rPr>
            </w:pPr>
            <w:r>
              <w:rPr>
                <w:rFonts w:ascii="Helvetica" w:hAnsi="Helvetica" w:cs="Helvetica"/>
                <w:sz w:val="22"/>
                <w:szCs w:val="22"/>
                <w:lang w:eastAsia="en-GB"/>
              </w:rPr>
              <w:t>particular credit</w:t>
            </w:r>
          </w:p>
          <w:p w14:paraId="58255C68" w14:textId="77777777" w:rsidR="008215C7" w:rsidRPr="006E0D62" w:rsidRDefault="008215C7" w:rsidP="00730139">
            <w:pPr>
              <w:rPr>
                <w:rFonts w:ascii="Helvetica" w:hAnsi="Helvetica" w:cs="Helvetica"/>
                <w:sz w:val="22"/>
                <w:szCs w:val="22"/>
                <w:lang w:eastAsia="en-GB"/>
              </w:rPr>
            </w:pPr>
            <w:r>
              <w:rPr>
                <w:rFonts w:ascii="Helvetica" w:hAnsi="Helvetica" w:cs="Helvetica"/>
                <w:sz w:val="22"/>
                <w:szCs w:val="22"/>
                <w:lang w:eastAsia="en-GB"/>
              </w:rPr>
              <w:t>limit</w:t>
            </w:r>
          </w:p>
        </w:tc>
        <w:tc>
          <w:tcPr>
            <w:tcW w:w="5238" w:type="dxa"/>
          </w:tcPr>
          <w:p w14:paraId="2C56EB48" w14:textId="77777777" w:rsidR="008215C7" w:rsidRDefault="008215C7" w:rsidP="00730139">
            <w:pPr>
              <w:autoSpaceDE w:val="0"/>
              <w:autoSpaceDN w:val="0"/>
              <w:adjustRightInd w:val="0"/>
              <w:rPr>
                <w:lang w:eastAsia="en-GB"/>
              </w:rPr>
            </w:pPr>
            <w:r>
              <w:rPr>
                <w:rFonts w:ascii="Helvetica" w:hAnsi="Helvetica" w:cs="Helvetica"/>
                <w:sz w:val="22"/>
                <w:szCs w:val="22"/>
                <w:lang w:eastAsia="en-GB"/>
              </w:rPr>
              <w:t>The impact, including on fuel poverty, depends on whether credits are actually used and other policies implemented over this period.</w:t>
            </w:r>
          </w:p>
        </w:tc>
      </w:tr>
      <w:tr w:rsidR="008215C7" w14:paraId="59226F87" w14:textId="77777777" w:rsidTr="00730139">
        <w:tc>
          <w:tcPr>
            <w:tcW w:w="2689" w:type="dxa"/>
          </w:tcPr>
          <w:p w14:paraId="4448D2DD" w14:textId="77777777" w:rsidR="008215C7" w:rsidRDefault="008215C7" w:rsidP="00730139">
            <w:pPr>
              <w:rPr>
                <w:lang w:eastAsia="en-GB"/>
              </w:rPr>
            </w:pPr>
            <w:r>
              <w:rPr>
                <w:rFonts w:ascii="Helvetica" w:hAnsi="Helvetica" w:cs="Helvetica"/>
                <w:sz w:val="22"/>
                <w:szCs w:val="22"/>
                <w:lang w:eastAsia="en-GB"/>
              </w:rPr>
              <w:t>Energy policy</w:t>
            </w:r>
          </w:p>
        </w:tc>
        <w:tc>
          <w:tcPr>
            <w:tcW w:w="2268" w:type="dxa"/>
          </w:tcPr>
          <w:p w14:paraId="38CE3816" w14:textId="77777777" w:rsidR="008215C7" w:rsidRDefault="008215C7" w:rsidP="00730139">
            <w:pPr>
              <w:autoSpaceDE w:val="0"/>
              <w:autoSpaceDN w:val="0"/>
              <w:adjustRightInd w:val="0"/>
              <w:rPr>
                <w:rFonts w:ascii="Helvetica" w:hAnsi="Helvetica" w:cs="Helvetica"/>
                <w:sz w:val="22"/>
                <w:szCs w:val="22"/>
                <w:lang w:eastAsia="en-GB"/>
              </w:rPr>
            </w:pPr>
            <w:r>
              <w:rPr>
                <w:rFonts w:ascii="Helvetica" w:hAnsi="Helvetica" w:cs="Helvetica"/>
                <w:sz w:val="22"/>
                <w:szCs w:val="22"/>
                <w:lang w:eastAsia="en-GB"/>
              </w:rPr>
              <w:t>Does not point to a</w:t>
            </w:r>
          </w:p>
          <w:p w14:paraId="5A4A68A0" w14:textId="77777777" w:rsidR="008215C7" w:rsidRDefault="008215C7" w:rsidP="00730139">
            <w:pPr>
              <w:autoSpaceDE w:val="0"/>
              <w:autoSpaceDN w:val="0"/>
              <w:adjustRightInd w:val="0"/>
              <w:rPr>
                <w:rFonts w:ascii="Helvetica" w:hAnsi="Helvetica" w:cs="Helvetica"/>
                <w:sz w:val="22"/>
                <w:szCs w:val="22"/>
                <w:lang w:eastAsia="en-GB"/>
              </w:rPr>
            </w:pPr>
            <w:r>
              <w:rPr>
                <w:rFonts w:ascii="Helvetica" w:hAnsi="Helvetica" w:cs="Helvetica"/>
                <w:sz w:val="22"/>
                <w:szCs w:val="22"/>
                <w:lang w:eastAsia="en-GB"/>
              </w:rPr>
              <w:t>particular credit</w:t>
            </w:r>
          </w:p>
          <w:p w14:paraId="739CAAA6" w14:textId="77777777" w:rsidR="008215C7" w:rsidRPr="006E0D62" w:rsidRDefault="008215C7" w:rsidP="00730139">
            <w:pPr>
              <w:rPr>
                <w:rFonts w:ascii="Helvetica" w:hAnsi="Helvetica" w:cs="Helvetica"/>
                <w:sz w:val="22"/>
                <w:szCs w:val="22"/>
                <w:lang w:eastAsia="en-GB"/>
              </w:rPr>
            </w:pPr>
            <w:r>
              <w:rPr>
                <w:rFonts w:ascii="Helvetica" w:hAnsi="Helvetica" w:cs="Helvetica"/>
                <w:sz w:val="22"/>
                <w:szCs w:val="22"/>
                <w:lang w:eastAsia="en-GB"/>
              </w:rPr>
              <w:t>limit</w:t>
            </w:r>
          </w:p>
        </w:tc>
        <w:tc>
          <w:tcPr>
            <w:tcW w:w="5238" w:type="dxa"/>
          </w:tcPr>
          <w:p w14:paraId="5C4B8B0E" w14:textId="77777777" w:rsidR="008215C7" w:rsidRDefault="008215C7" w:rsidP="00730139">
            <w:pPr>
              <w:rPr>
                <w:lang w:eastAsia="en-GB"/>
              </w:rPr>
            </w:pPr>
            <w:r>
              <w:rPr>
                <w:rFonts w:ascii="Helvetica" w:hAnsi="Helvetica" w:cs="Helvetica"/>
                <w:sz w:val="22"/>
                <w:szCs w:val="22"/>
                <w:lang w:eastAsia="en-GB"/>
              </w:rPr>
              <w:t>The impact depends on whether credits are actually used and other policies implemented over this period.</w:t>
            </w:r>
          </w:p>
        </w:tc>
      </w:tr>
      <w:tr w:rsidR="008215C7" w14:paraId="594EC061" w14:textId="77777777" w:rsidTr="00730139">
        <w:tc>
          <w:tcPr>
            <w:tcW w:w="2689" w:type="dxa"/>
          </w:tcPr>
          <w:p w14:paraId="191D66E9" w14:textId="77777777" w:rsidR="008215C7" w:rsidRDefault="008215C7" w:rsidP="00730139">
            <w:pPr>
              <w:autoSpaceDE w:val="0"/>
              <w:autoSpaceDN w:val="0"/>
              <w:adjustRightInd w:val="0"/>
              <w:rPr>
                <w:lang w:eastAsia="en-GB"/>
              </w:rPr>
            </w:pPr>
            <w:r>
              <w:rPr>
                <w:rFonts w:ascii="Helvetica" w:hAnsi="Helvetica" w:cs="Helvetica"/>
                <w:sz w:val="22"/>
                <w:szCs w:val="22"/>
                <w:lang w:eastAsia="en-GB"/>
              </w:rPr>
              <w:t>Differences between England, Scotland, Wales and Northern Ireland</w:t>
            </w:r>
          </w:p>
        </w:tc>
        <w:tc>
          <w:tcPr>
            <w:tcW w:w="2268" w:type="dxa"/>
          </w:tcPr>
          <w:p w14:paraId="1801BC75" w14:textId="77777777" w:rsidR="008215C7" w:rsidRPr="006E0D62" w:rsidRDefault="008215C7" w:rsidP="006E0D62">
            <w:pPr>
              <w:autoSpaceDE w:val="0"/>
              <w:autoSpaceDN w:val="0"/>
              <w:adjustRightInd w:val="0"/>
              <w:rPr>
                <w:rFonts w:ascii="Helvetica" w:hAnsi="Helvetica" w:cs="Helvetica"/>
                <w:sz w:val="22"/>
                <w:szCs w:val="22"/>
                <w:lang w:eastAsia="en-GB"/>
              </w:rPr>
            </w:pPr>
            <w:r w:rsidRPr="006E0D62">
              <w:rPr>
                <w:rFonts w:ascii="Helvetica" w:hAnsi="Helvetica" w:cs="Helvetica"/>
                <w:sz w:val="22"/>
                <w:szCs w:val="22"/>
                <w:lang w:eastAsia="en-GB"/>
              </w:rPr>
              <w:t>Mixed</w:t>
            </w:r>
          </w:p>
        </w:tc>
        <w:tc>
          <w:tcPr>
            <w:tcW w:w="5238" w:type="dxa"/>
          </w:tcPr>
          <w:p w14:paraId="15A796BE" w14:textId="3C496E6B" w:rsidR="008215C7" w:rsidRDefault="008215C7" w:rsidP="00730139">
            <w:pPr>
              <w:autoSpaceDE w:val="0"/>
              <w:autoSpaceDN w:val="0"/>
              <w:adjustRightInd w:val="0"/>
              <w:rPr>
                <w:lang w:eastAsia="en-GB"/>
              </w:rPr>
            </w:pPr>
            <w:r>
              <w:rPr>
                <w:rFonts w:ascii="Helvetica" w:hAnsi="Helvetica" w:cs="Helvetica"/>
                <w:sz w:val="22"/>
                <w:szCs w:val="22"/>
                <w:lang w:eastAsia="en-GB"/>
              </w:rPr>
              <w:t xml:space="preserve">The decision is not devolved. To set the credit limit is a reserved matter. The UK Government consulted the Devolved Administrations (DAs) before a decision on the </w:t>
            </w:r>
            <w:r w:rsidR="00980A79">
              <w:rPr>
                <w:rFonts w:ascii="Helvetica" w:hAnsi="Helvetica" w:cs="Helvetica"/>
                <w:sz w:val="22"/>
                <w:szCs w:val="22"/>
                <w:lang w:eastAsia="en-GB"/>
              </w:rPr>
              <w:t xml:space="preserve">fourth </w:t>
            </w:r>
            <w:r>
              <w:rPr>
                <w:rFonts w:ascii="Helvetica" w:hAnsi="Helvetica" w:cs="Helvetica"/>
                <w:sz w:val="22"/>
                <w:szCs w:val="22"/>
                <w:lang w:eastAsia="en-GB"/>
              </w:rPr>
              <w:t xml:space="preserve">carbon budget credit limit was made, in accordance with the Act. </w:t>
            </w:r>
            <w:r w:rsidR="00BD2989" w:rsidRPr="00BD2989">
              <w:rPr>
                <w:rFonts w:ascii="Helvetica" w:hAnsi="Helvetica" w:cs="Helvetica"/>
                <w:sz w:val="22"/>
                <w:szCs w:val="22"/>
                <w:lang w:eastAsia="en-GB"/>
              </w:rPr>
              <w:t>The Scottish Government would support the adoption of a zero limit. The Welsh Government and Northern Ireland Executive stated that in an ideal scenario a zero limit would be adopted, although both noted that circumstances outside the government’s control could warrant a small positive limit as a contingency, provided the Government’s intention was to meet the budget through domestic action alone and only high quality credits were used.</w:t>
            </w:r>
            <w:r w:rsidR="00184623">
              <w:rPr>
                <w:rFonts w:ascii="Helvetica" w:hAnsi="Helvetica" w:cs="Helvetica"/>
                <w:sz w:val="22"/>
                <w:szCs w:val="22"/>
                <w:lang w:eastAsia="en-GB"/>
              </w:rPr>
              <w:t xml:space="preserve"> See section 9 of the impact assessment in particular.</w:t>
            </w:r>
          </w:p>
        </w:tc>
      </w:tr>
      <w:tr w:rsidR="008215C7" w14:paraId="4734DBD9" w14:textId="77777777" w:rsidTr="00730139">
        <w:tc>
          <w:tcPr>
            <w:tcW w:w="2689" w:type="dxa"/>
          </w:tcPr>
          <w:p w14:paraId="3D371C69" w14:textId="77777777" w:rsidR="008215C7" w:rsidRDefault="008215C7" w:rsidP="00730139">
            <w:pPr>
              <w:autoSpaceDE w:val="0"/>
              <w:autoSpaceDN w:val="0"/>
              <w:adjustRightInd w:val="0"/>
              <w:rPr>
                <w:rFonts w:ascii="Helvetica" w:hAnsi="Helvetica" w:cs="Helvetica"/>
                <w:sz w:val="22"/>
                <w:szCs w:val="22"/>
                <w:lang w:eastAsia="en-GB"/>
              </w:rPr>
            </w:pPr>
            <w:r>
              <w:rPr>
                <w:rFonts w:ascii="Helvetica" w:hAnsi="Helvetica" w:cs="Helvetica"/>
                <w:sz w:val="22"/>
                <w:szCs w:val="22"/>
                <w:lang w:eastAsia="en-GB"/>
              </w:rPr>
              <w:lastRenderedPageBreak/>
              <w:t>International and European circumstances</w:t>
            </w:r>
          </w:p>
        </w:tc>
        <w:tc>
          <w:tcPr>
            <w:tcW w:w="2268" w:type="dxa"/>
          </w:tcPr>
          <w:p w14:paraId="0649B374" w14:textId="77777777" w:rsidR="008215C7" w:rsidRDefault="008215C7" w:rsidP="00730139">
            <w:pPr>
              <w:autoSpaceDE w:val="0"/>
              <w:autoSpaceDN w:val="0"/>
              <w:adjustRightInd w:val="0"/>
              <w:rPr>
                <w:rFonts w:ascii="Helvetica" w:hAnsi="Helvetica" w:cs="Helvetica"/>
                <w:sz w:val="22"/>
                <w:szCs w:val="22"/>
                <w:lang w:eastAsia="en-GB"/>
              </w:rPr>
            </w:pPr>
            <w:r>
              <w:rPr>
                <w:rFonts w:ascii="Helvetica" w:hAnsi="Helvetica" w:cs="Helvetica"/>
                <w:sz w:val="22"/>
                <w:szCs w:val="22"/>
                <w:lang w:eastAsia="en-GB"/>
              </w:rPr>
              <w:t>Does not point to a</w:t>
            </w:r>
          </w:p>
          <w:p w14:paraId="54760B4F" w14:textId="77777777" w:rsidR="008215C7" w:rsidRDefault="008215C7" w:rsidP="00730139">
            <w:pPr>
              <w:autoSpaceDE w:val="0"/>
              <w:autoSpaceDN w:val="0"/>
              <w:adjustRightInd w:val="0"/>
              <w:rPr>
                <w:rFonts w:ascii="Helvetica" w:hAnsi="Helvetica" w:cs="Helvetica"/>
                <w:sz w:val="22"/>
                <w:szCs w:val="22"/>
                <w:lang w:eastAsia="en-GB"/>
              </w:rPr>
            </w:pPr>
            <w:r>
              <w:rPr>
                <w:rFonts w:ascii="Helvetica" w:hAnsi="Helvetica" w:cs="Helvetica"/>
                <w:sz w:val="22"/>
                <w:szCs w:val="22"/>
                <w:lang w:eastAsia="en-GB"/>
              </w:rPr>
              <w:t>particular credit</w:t>
            </w:r>
          </w:p>
          <w:p w14:paraId="4F9CA8F2" w14:textId="77777777" w:rsidR="008215C7" w:rsidRPr="006E0D62" w:rsidRDefault="008215C7" w:rsidP="00730139">
            <w:pPr>
              <w:rPr>
                <w:rFonts w:ascii="Helvetica" w:hAnsi="Helvetica" w:cs="Helvetica"/>
                <w:sz w:val="22"/>
                <w:szCs w:val="22"/>
                <w:lang w:eastAsia="en-GB"/>
              </w:rPr>
            </w:pPr>
            <w:r>
              <w:rPr>
                <w:rFonts w:ascii="Helvetica" w:hAnsi="Helvetica" w:cs="Helvetica"/>
                <w:sz w:val="22"/>
                <w:szCs w:val="22"/>
                <w:lang w:eastAsia="en-GB"/>
              </w:rPr>
              <w:t>limit</w:t>
            </w:r>
          </w:p>
        </w:tc>
        <w:tc>
          <w:tcPr>
            <w:tcW w:w="5238" w:type="dxa"/>
          </w:tcPr>
          <w:p w14:paraId="480A1E2F" w14:textId="3B0F2736" w:rsidR="008215C7" w:rsidRDefault="008215C7" w:rsidP="00730139">
            <w:pPr>
              <w:autoSpaceDE w:val="0"/>
              <w:autoSpaceDN w:val="0"/>
              <w:adjustRightInd w:val="0"/>
              <w:rPr>
                <w:lang w:eastAsia="en-GB"/>
              </w:rPr>
            </w:pPr>
            <w:r>
              <w:rPr>
                <w:rFonts w:ascii="Helvetica" w:hAnsi="Helvetica" w:cs="Helvetica"/>
                <w:sz w:val="22"/>
                <w:szCs w:val="22"/>
                <w:lang w:eastAsia="en-GB"/>
              </w:rPr>
              <w:t xml:space="preserve">A non-zero credit limit could signal </w:t>
            </w:r>
            <w:r w:rsidR="005235D4">
              <w:rPr>
                <w:rFonts w:ascii="Helvetica" w:hAnsi="Helvetica" w:cs="Helvetica"/>
                <w:sz w:val="22"/>
                <w:szCs w:val="22"/>
                <w:lang w:eastAsia="en-GB"/>
              </w:rPr>
              <w:t xml:space="preserve">UK </w:t>
            </w:r>
            <w:r>
              <w:rPr>
                <w:rFonts w:ascii="Helvetica" w:hAnsi="Helvetica" w:cs="Helvetica"/>
                <w:sz w:val="22"/>
                <w:szCs w:val="22"/>
                <w:lang w:eastAsia="en-GB"/>
              </w:rPr>
              <w:t xml:space="preserve">support to international credit markets and provide scope to support mitigation actions in other countries through the carbon budget framework. However, </w:t>
            </w:r>
            <w:r w:rsidR="00E57E09">
              <w:rPr>
                <w:rFonts w:ascii="Helvetica" w:hAnsi="Helvetica" w:cs="Helvetica"/>
                <w:sz w:val="22"/>
                <w:szCs w:val="22"/>
                <w:lang w:eastAsia="en-GB"/>
              </w:rPr>
              <w:t>deviating from</w:t>
            </w:r>
            <w:r>
              <w:rPr>
                <w:rFonts w:ascii="Helvetica" w:hAnsi="Helvetica" w:cs="Helvetica"/>
                <w:sz w:val="22"/>
                <w:szCs w:val="22"/>
                <w:lang w:eastAsia="en-GB"/>
              </w:rPr>
              <w:t xml:space="preserve"> CCC </w:t>
            </w:r>
            <w:r w:rsidR="00E57E09">
              <w:rPr>
                <w:rFonts w:ascii="Helvetica" w:hAnsi="Helvetica" w:cs="Helvetica"/>
                <w:sz w:val="22"/>
                <w:szCs w:val="22"/>
                <w:lang w:eastAsia="en-GB"/>
              </w:rPr>
              <w:t xml:space="preserve">advice </w:t>
            </w:r>
            <w:r>
              <w:rPr>
                <w:rFonts w:ascii="Helvetica" w:hAnsi="Helvetica" w:cs="Helvetica"/>
                <w:sz w:val="22"/>
                <w:szCs w:val="22"/>
                <w:lang w:eastAsia="en-GB"/>
              </w:rPr>
              <w:t>could also have a negative impact on the UK</w:t>
            </w:r>
            <w:r w:rsidR="00A206F6">
              <w:rPr>
                <w:rFonts w:ascii="Helvetica" w:hAnsi="Helvetica" w:cs="Helvetica"/>
                <w:sz w:val="22"/>
                <w:szCs w:val="22"/>
                <w:lang w:eastAsia="en-GB"/>
              </w:rPr>
              <w:t>’s</w:t>
            </w:r>
            <w:r>
              <w:rPr>
                <w:rFonts w:ascii="Helvetica" w:hAnsi="Helvetica" w:cs="Helvetica"/>
                <w:sz w:val="22"/>
                <w:szCs w:val="22"/>
                <w:lang w:eastAsia="en-GB"/>
              </w:rPr>
              <w:t xml:space="preserve"> reputation</w:t>
            </w:r>
            <w:r w:rsidR="00894B5C">
              <w:rPr>
                <w:rFonts w:ascii="Helvetica" w:hAnsi="Helvetica" w:cs="Helvetica"/>
                <w:sz w:val="22"/>
                <w:szCs w:val="22"/>
                <w:lang w:eastAsia="en-GB"/>
              </w:rPr>
              <w:t>, particularly</w:t>
            </w:r>
            <w:r>
              <w:rPr>
                <w:rFonts w:ascii="Helvetica" w:hAnsi="Helvetica" w:cs="Helvetica"/>
                <w:sz w:val="22"/>
                <w:szCs w:val="22"/>
                <w:lang w:eastAsia="en-GB"/>
              </w:rPr>
              <w:t xml:space="preserve"> if </w:t>
            </w:r>
            <w:r w:rsidR="00894B5C">
              <w:rPr>
                <w:rFonts w:ascii="Helvetica" w:hAnsi="Helvetica" w:cs="Helvetica"/>
                <w:sz w:val="22"/>
                <w:szCs w:val="22"/>
                <w:lang w:eastAsia="en-GB"/>
              </w:rPr>
              <w:t>this is interpreted</w:t>
            </w:r>
            <w:r>
              <w:rPr>
                <w:rFonts w:ascii="Helvetica" w:hAnsi="Helvetica" w:cs="Helvetica"/>
                <w:sz w:val="22"/>
                <w:szCs w:val="22"/>
                <w:lang w:eastAsia="en-GB"/>
              </w:rPr>
              <w:t xml:space="preserve"> as reduced commitment to domestic action on reducing emissions.</w:t>
            </w:r>
            <w:r w:rsidR="00184623">
              <w:rPr>
                <w:rFonts w:ascii="Helvetica" w:hAnsi="Helvetica" w:cs="Helvetica"/>
                <w:sz w:val="22"/>
                <w:szCs w:val="22"/>
                <w:lang w:eastAsia="en-GB"/>
              </w:rPr>
              <w:t xml:space="preserve"> See section 6 of the impact assessment in particular. </w:t>
            </w:r>
          </w:p>
        </w:tc>
      </w:tr>
      <w:tr w:rsidR="008215C7" w14:paraId="1C503F22" w14:textId="77777777" w:rsidTr="00730139">
        <w:tc>
          <w:tcPr>
            <w:tcW w:w="2689" w:type="dxa"/>
          </w:tcPr>
          <w:p w14:paraId="51E2E774" w14:textId="77777777" w:rsidR="008215C7" w:rsidRDefault="008215C7" w:rsidP="00730139">
            <w:pPr>
              <w:autoSpaceDE w:val="0"/>
              <w:autoSpaceDN w:val="0"/>
              <w:adjustRightInd w:val="0"/>
              <w:rPr>
                <w:rFonts w:ascii="Helvetica" w:hAnsi="Helvetica" w:cs="Helvetica"/>
                <w:sz w:val="22"/>
                <w:szCs w:val="22"/>
                <w:lang w:eastAsia="en-GB"/>
              </w:rPr>
            </w:pPr>
            <w:r>
              <w:rPr>
                <w:rFonts w:ascii="Helvetica" w:hAnsi="Helvetica" w:cs="Helvetica"/>
                <w:sz w:val="22"/>
                <w:szCs w:val="22"/>
                <w:lang w:eastAsia="en-GB"/>
              </w:rPr>
              <w:t>International aviation and shipping</w:t>
            </w:r>
          </w:p>
        </w:tc>
        <w:tc>
          <w:tcPr>
            <w:tcW w:w="2268" w:type="dxa"/>
          </w:tcPr>
          <w:p w14:paraId="22947E81" w14:textId="77777777" w:rsidR="00291097" w:rsidRDefault="00291097" w:rsidP="00291097">
            <w:pPr>
              <w:autoSpaceDE w:val="0"/>
              <w:autoSpaceDN w:val="0"/>
              <w:adjustRightInd w:val="0"/>
              <w:rPr>
                <w:rFonts w:ascii="Helvetica" w:hAnsi="Helvetica" w:cs="Helvetica"/>
                <w:sz w:val="22"/>
                <w:szCs w:val="22"/>
                <w:lang w:eastAsia="en-GB"/>
              </w:rPr>
            </w:pPr>
            <w:r>
              <w:rPr>
                <w:rFonts w:ascii="Helvetica" w:hAnsi="Helvetica" w:cs="Helvetica"/>
                <w:sz w:val="22"/>
                <w:szCs w:val="22"/>
                <w:lang w:eastAsia="en-GB"/>
              </w:rPr>
              <w:t>Does not point to a</w:t>
            </w:r>
          </w:p>
          <w:p w14:paraId="35C5D54F" w14:textId="77777777" w:rsidR="00291097" w:rsidRDefault="00291097" w:rsidP="00291097">
            <w:pPr>
              <w:autoSpaceDE w:val="0"/>
              <w:autoSpaceDN w:val="0"/>
              <w:adjustRightInd w:val="0"/>
              <w:rPr>
                <w:rFonts w:ascii="Helvetica" w:hAnsi="Helvetica" w:cs="Helvetica"/>
                <w:sz w:val="22"/>
                <w:szCs w:val="22"/>
                <w:lang w:eastAsia="en-GB"/>
              </w:rPr>
            </w:pPr>
            <w:r>
              <w:rPr>
                <w:rFonts w:ascii="Helvetica" w:hAnsi="Helvetica" w:cs="Helvetica"/>
                <w:sz w:val="22"/>
                <w:szCs w:val="22"/>
                <w:lang w:eastAsia="en-GB"/>
              </w:rPr>
              <w:t>particular credit</w:t>
            </w:r>
          </w:p>
          <w:p w14:paraId="08D61BE5" w14:textId="01950541" w:rsidR="008215C7" w:rsidRDefault="00291097" w:rsidP="00291097">
            <w:pPr>
              <w:rPr>
                <w:lang w:eastAsia="en-GB"/>
              </w:rPr>
            </w:pPr>
            <w:r>
              <w:rPr>
                <w:rFonts w:ascii="Helvetica" w:hAnsi="Helvetica" w:cs="Helvetica"/>
                <w:sz w:val="22"/>
                <w:szCs w:val="22"/>
                <w:lang w:eastAsia="en-GB"/>
              </w:rPr>
              <w:t>limit</w:t>
            </w:r>
          </w:p>
        </w:tc>
        <w:tc>
          <w:tcPr>
            <w:tcW w:w="5238" w:type="dxa"/>
          </w:tcPr>
          <w:p w14:paraId="18F8D000" w14:textId="77777777" w:rsidR="008215C7" w:rsidRDefault="008215C7" w:rsidP="00730139">
            <w:pPr>
              <w:autoSpaceDE w:val="0"/>
              <w:autoSpaceDN w:val="0"/>
              <w:adjustRightInd w:val="0"/>
              <w:rPr>
                <w:lang w:eastAsia="en-GB"/>
              </w:rPr>
            </w:pPr>
            <w:r>
              <w:rPr>
                <w:rFonts w:ascii="Helvetica" w:hAnsi="Helvetica" w:cs="Helvetica"/>
                <w:sz w:val="22"/>
                <w:szCs w:val="22"/>
                <w:lang w:eastAsia="en-GB"/>
              </w:rPr>
              <w:t>The impact depends on whether credits are actually used and other policies implemented over this period.</w:t>
            </w:r>
          </w:p>
        </w:tc>
      </w:tr>
    </w:tbl>
    <w:p w14:paraId="2502711B" w14:textId="420D2299" w:rsidR="008215C7" w:rsidRDefault="008215C7" w:rsidP="008215C7">
      <w:pPr>
        <w:pStyle w:val="EBBodyPara"/>
      </w:pPr>
    </w:p>
    <w:p w14:paraId="65DF1F45" w14:textId="77777777" w:rsidR="001C06E0" w:rsidRDefault="001C06E0">
      <w:pPr>
        <w:rPr>
          <w:rFonts w:cs="Arial"/>
          <w:b/>
          <w:bCs/>
          <w:i/>
          <w:color w:val="000000"/>
          <w:szCs w:val="22"/>
          <w:lang w:eastAsia="en-GB"/>
        </w:rPr>
      </w:pPr>
      <w:r>
        <w:rPr>
          <w:i/>
        </w:rPr>
        <w:br w:type="page"/>
      </w:r>
    </w:p>
    <w:p w14:paraId="0CF51357" w14:textId="50D83D9D" w:rsidR="007963D2" w:rsidRDefault="007963D2" w:rsidP="007963D2">
      <w:pPr>
        <w:pStyle w:val="Heading3"/>
        <w:rPr>
          <w:i/>
        </w:rPr>
      </w:pPr>
      <w:bookmarkStart w:id="66" w:name="_Toc67067483"/>
      <w:r>
        <w:rPr>
          <w:i/>
        </w:rPr>
        <w:lastRenderedPageBreak/>
        <w:t>Annex 2: Outline of relevant modelling</w:t>
      </w:r>
      <w:bookmarkEnd w:id="66"/>
    </w:p>
    <w:p w14:paraId="45F1D6A7" w14:textId="5A86091C" w:rsidR="001C06E0" w:rsidRDefault="001C06E0" w:rsidP="001C06E0">
      <w:pPr>
        <w:pStyle w:val="Heading4"/>
      </w:pPr>
      <w:r>
        <w:t>GLOCAF</w:t>
      </w:r>
    </w:p>
    <w:p w14:paraId="3C002BD6" w14:textId="48F428A2" w:rsidR="002B6DC0" w:rsidRPr="00E15D83" w:rsidRDefault="002B6DC0" w:rsidP="001C06E0">
      <w:pPr>
        <w:pStyle w:val="EBBodyPara"/>
        <w:numPr>
          <w:ilvl w:val="0"/>
          <w:numId w:val="24"/>
        </w:numPr>
      </w:pPr>
      <w:r w:rsidRPr="00E15D83">
        <w:t xml:space="preserve">Analysis of </w:t>
      </w:r>
      <w:r w:rsidR="00106801">
        <w:t>international credit pricing scenarios</w:t>
      </w:r>
      <w:r w:rsidRPr="00E15D83">
        <w:t xml:space="preserve"> has been conducted using </w:t>
      </w:r>
      <w:r>
        <w:t xml:space="preserve">BEIS </w:t>
      </w:r>
      <w:r w:rsidRPr="00E15D83">
        <w:t>Global Carbon Finance model – GLOCAF. The model allows the user to evaluate the impacts of</w:t>
      </w:r>
      <w:r>
        <w:t xml:space="preserve"> </w:t>
      </w:r>
      <w:r w:rsidRPr="00E15D83">
        <w:t>different global emission reduction targets as well as various</w:t>
      </w:r>
      <w:r>
        <w:t xml:space="preserve"> </w:t>
      </w:r>
      <w:r w:rsidRPr="00E15D83">
        <w:t>specifications of the carbon market design. It covers the years 202</w:t>
      </w:r>
      <w:r>
        <w:t>5</w:t>
      </w:r>
      <w:r w:rsidRPr="00E15D83">
        <w:t>, 20</w:t>
      </w:r>
      <w:r>
        <w:t>30</w:t>
      </w:r>
      <w:r w:rsidRPr="00E15D83">
        <w:t>, 203</w:t>
      </w:r>
      <w:r>
        <w:t>5, 2040</w:t>
      </w:r>
      <w:r w:rsidRPr="00E15D83">
        <w:t xml:space="preserve"> and 2050.</w:t>
      </w:r>
      <w:r>
        <w:br/>
      </w:r>
    </w:p>
    <w:p w14:paraId="75D58C32" w14:textId="702EDB84" w:rsidR="002B6DC0" w:rsidRDefault="002B6DC0" w:rsidP="001C06E0">
      <w:pPr>
        <w:pStyle w:val="EBBodyPara"/>
        <w:numPr>
          <w:ilvl w:val="0"/>
          <w:numId w:val="24"/>
        </w:numPr>
      </w:pPr>
      <w:r w:rsidRPr="00E15D83">
        <w:t>GLOCAF</w:t>
      </w:r>
      <w:r>
        <w:t xml:space="preserve"> is a scenario modelling tool based on </w:t>
      </w:r>
      <w:r w:rsidRPr="00E15D83">
        <w:t>Business As Usual (BAU)</w:t>
      </w:r>
      <w:r>
        <w:t xml:space="preserve"> </w:t>
      </w:r>
      <w:r w:rsidRPr="00E15D83">
        <w:t xml:space="preserve">emissions </w:t>
      </w:r>
      <w:r>
        <w:t>and</w:t>
      </w:r>
      <w:r w:rsidRPr="00E15D83">
        <w:t xml:space="preserve"> Marginal Abatement Cost (MAC) curves for different regions and sectors</w:t>
      </w:r>
      <w:r w:rsidR="00106801">
        <w:t xml:space="preserve"> providing global economy-wide coverage</w:t>
      </w:r>
      <w:r w:rsidRPr="00E15D83">
        <w:t>.</w:t>
      </w:r>
      <w:r w:rsidR="001C06E0">
        <w:t xml:space="preserve"> </w:t>
      </w:r>
      <w:r w:rsidRPr="00E15D83">
        <w:t>GLOCAF uses data from:</w:t>
      </w:r>
    </w:p>
    <w:p w14:paraId="1C704C95" w14:textId="77777777" w:rsidR="002B6DC0" w:rsidRPr="00E15D83" w:rsidRDefault="002B6DC0" w:rsidP="001C06E0">
      <w:pPr>
        <w:pStyle w:val="EBBodyPara"/>
        <w:numPr>
          <w:ilvl w:val="1"/>
          <w:numId w:val="24"/>
        </w:numPr>
      </w:pPr>
      <w:r w:rsidRPr="00E15D83">
        <w:t>The POLES energy model: this is a partial equilibrium energy model, which takes into account</w:t>
      </w:r>
      <w:r>
        <w:t xml:space="preserve"> </w:t>
      </w:r>
      <w:r w:rsidRPr="00E15D83">
        <w:t>the costs of different technologies as well as the potential demand feedback effects within the</w:t>
      </w:r>
      <w:r>
        <w:t xml:space="preserve"> </w:t>
      </w:r>
      <w:r w:rsidRPr="00E15D83">
        <w:t>energy system.</w:t>
      </w:r>
    </w:p>
    <w:p w14:paraId="375596AA" w14:textId="77777777" w:rsidR="001C06E0" w:rsidRDefault="002B6DC0" w:rsidP="001C06E0">
      <w:pPr>
        <w:pStyle w:val="EBBodyPara"/>
        <w:numPr>
          <w:ilvl w:val="1"/>
          <w:numId w:val="24"/>
        </w:numPr>
      </w:pPr>
      <w:r w:rsidRPr="001C06E0">
        <w:t>IIASA’s G4M and GLOBIOM models for forestry and non-CO2 agriculture emissions; these are partial equilibrium models of the forest sector; incorporating the opportunity costs of abatement from forestry.</w:t>
      </w:r>
    </w:p>
    <w:p w14:paraId="1C4BAAAB" w14:textId="00AC2B83" w:rsidR="002B6DC0" w:rsidRPr="00E15D83" w:rsidRDefault="002B6DC0" w:rsidP="001C06E0">
      <w:pPr>
        <w:pStyle w:val="EBBodyPara"/>
        <w:numPr>
          <w:ilvl w:val="0"/>
          <w:numId w:val="24"/>
        </w:numPr>
      </w:pPr>
      <w:r w:rsidRPr="00E15D83">
        <w:t>All datasets are at a sector level and apply to a number of regions. GLOCAF models 2</w:t>
      </w:r>
      <w:r>
        <w:t xml:space="preserve">5 </w:t>
      </w:r>
      <w:r w:rsidRPr="00E15D83">
        <w:t xml:space="preserve">world regions and </w:t>
      </w:r>
      <w:r>
        <w:t>24</w:t>
      </w:r>
      <w:r w:rsidRPr="00E15D83">
        <w:t xml:space="preserve"> sectors although a different level of disaggregation is possible if the data</w:t>
      </w:r>
      <w:r>
        <w:t xml:space="preserve"> </w:t>
      </w:r>
      <w:r w:rsidRPr="00E15D83">
        <w:t>supports it</w:t>
      </w:r>
      <w:r>
        <w:t>.</w:t>
      </w:r>
    </w:p>
    <w:p w14:paraId="1DDF3405" w14:textId="068078B4" w:rsidR="002B6DC0" w:rsidRPr="00E15D83" w:rsidRDefault="002B6DC0" w:rsidP="00AF75A8">
      <w:pPr>
        <w:pStyle w:val="EBBodyPara"/>
        <w:numPr>
          <w:ilvl w:val="0"/>
          <w:numId w:val="24"/>
        </w:numPr>
      </w:pPr>
      <w:r w:rsidRPr="00E15D83">
        <w:t xml:space="preserve">At the heart of GLOCAF is a model of </w:t>
      </w:r>
      <w:r>
        <w:t>global</w:t>
      </w:r>
      <w:r w:rsidRPr="00E15D83">
        <w:t xml:space="preserve"> carbon markets. It compares the supply of carbon</w:t>
      </w:r>
      <w:r>
        <w:t xml:space="preserve"> </w:t>
      </w:r>
      <w:r w:rsidRPr="00E15D83">
        <w:t>abatement or International Carbon Units (driven largely by MAC curves) to the demand for</w:t>
      </w:r>
      <w:r>
        <w:t xml:space="preserve"> </w:t>
      </w:r>
      <w:r w:rsidRPr="00E15D83">
        <w:t>mitigation, (determined by the difference between BAU and regional targets). The model finds the</w:t>
      </w:r>
      <w:r>
        <w:t xml:space="preserve"> </w:t>
      </w:r>
      <w:r w:rsidRPr="00E15D83">
        <w:t>market clearing carbon price where the demand for carbon permits matches their supply for each</w:t>
      </w:r>
      <w:r>
        <w:t xml:space="preserve"> </w:t>
      </w:r>
      <w:r w:rsidRPr="00E15D83">
        <w:t>market. This is done through an iterative process around the carbon price. These curves are constrained by trade restrictions around, for example, supplementarity</w:t>
      </w:r>
      <w:r>
        <w:t xml:space="preserve"> </w:t>
      </w:r>
      <w:r w:rsidRPr="00E15D83">
        <w:t>(the requirement for a certain part of a target to be met domestically) and/or participation.</w:t>
      </w:r>
    </w:p>
    <w:p w14:paraId="16DB6BC0" w14:textId="08469183" w:rsidR="002B6DC0" w:rsidRDefault="002B6DC0" w:rsidP="001C06E0">
      <w:pPr>
        <w:pStyle w:val="EBBodyPara"/>
        <w:numPr>
          <w:ilvl w:val="0"/>
          <w:numId w:val="24"/>
        </w:numPr>
      </w:pPr>
      <w:r w:rsidRPr="00E15D83">
        <w:t>GLOCAF uses the market clearing carbon price to determine how much abatement each</w:t>
      </w:r>
      <w:r>
        <w:t xml:space="preserve"> </w:t>
      </w:r>
      <w:r w:rsidRPr="00E15D83">
        <w:t>region and sector carries out and the associated incremental cost. Using the carbon price and</w:t>
      </w:r>
      <w:r>
        <w:t xml:space="preserve"> </w:t>
      </w:r>
      <w:r w:rsidRPr="00E15D83">
        <w:t>associated trading of carbon permits GLOCAF also determines the resulting international financial</w:t>
      </w:r>
      <w:r>
        <w:t xml:space="preserve"> </w:t>
      </w:r>
      <w:r w:rsidRPr="00E15D83">
        <w:t>flows.</w:t>
      </w:r>
    </w:p>
    <w:p w14:paraId="7AC1669C" w14:textId="77777777" w:rsidR="002B6DC0" w:rsidRPr="000B0889" w:rsidRDefault="002B6DC0" w:rsidP="001C06E0">
      <w:pPr>
        <w:pStyle w:val="EBBodyPara"/>
        <w:numPr>
          <w:ilvl w:val="0"/>
          <w:numId w:val="24"/>
        </w:numPr>
      </w:pPr>
      <w:r w:rsidRPr="000B0889">
        <w:t>There are a number of limitations of GLOCAF modelling:</w:t>
      </w:r>
    </w:p>
    <w:p w14:paraId="688A61E9" w14:textId="17128D79" w:rsidR="002B6DC0" w:rsidRPr="000B0889" w:rsidRDefault="002B6DC0" w:rsidP="001C06E0">
      <w:pPr>
        <w:pStyle w:val="EBBodyPara"/>
        <w:numPr>
          <w:ilvl w:val="1"/>
          <w:numId w:val="24"/>
        </w:numPr>
      </w:pPr>
      <w:r w:rsidRPr="000B0889">
        <w:t>GLOCAF only models specific years, and as such GLOCAF</w:t>
      </w:r>
      <w:r>
        <w:t xml:space="preserve"> </w:t>
      </w:r>
      <w:r w:rsidRPr="000B0889">
        <w:t>results focus on 20</w:t>
      </w:r>
      <w:r w:rsidR="00661DDF">
        <w:t>2</w:t>
      </w:r>
      <w:r>
        <w:t>5</w:t>
      </w:r>
      <w:r w:rsidRPr="000B0889">
        <w:t xml:space="preserve"> rather than the whole </w:t>
      </w:r>
      <w:r w:rsidR="00661DDF">
        <w:t>fourth</w:t>
      </w:r>
      <w:r w:rsidRPr="000B0889">
        <w:t xml:space="preserve"> carbon budget period</w:t>
      </w:r>
    </w:p>
    <w:p w14:paraId="1FDB0F93" w14:textId="6668962B" w:rsidR="002B6DC0" w:rsidRPr="000B0889" w:rsidRDefault="002B6DC0" w:rsidP="001C06E0">
      <w:pPr>
        <w:pStyle w:val="EBBodyPara"/>
        <w:numPr>
          <w:ilvl w:val="1"/>
          <w:numId w:val="24"/>
        </w:numPr>
      </w:pPr>
      <w:r w:rsidRPr="000B0889">
        <w:t>GLOCAF marginal abatement cost curves only include direct costs of mitigation, and exclude</w:t>
      </w:r>
      <w:r>
        <w:t xml:space="preserve"> </w:t>
      </w:r>
      <w:r w:rsidRPr="000B0889">
        <w:t xml:space="preserve">wider </w:t>
      </w:r>
      <w:r>
        <w:t>impacts such as co-benefits of mitigation or avoided costs of emissions</w:t>
      </w:r>
      <w:r w:rsidRPr="000B0889">
        <w:t>.</w:t>
      </w:r>
    </w:p>
    <w:p w14:paraId="31F12B68" w14:textId="254BCE0F" w:rsidR="002B6DC0" w:rsidRPr="000B0889" w:rsidRDefault="002B6DC0" w:rsidP="001C06E0">
      <w:pPr>
        <w:pStyle w:val="EBBodyPara"/>
        <w:numPr>
          <w:ilvl w:val="1"/>
          <w:numId w:val="24"/>
        </w:numPr>
      </w:pPr>
      <w:r w:rsidRPr="000B0889">
        <w:t>Although GLOCAF models most major emitters individually, it aggregates many smaller</w:t>
      </w:r>
      <w:r>
        <w:t xml:space="preserve"> </w:t>
      </w:r>
      <w:r w:rsidRPr="000B0889">
        <w:t>emitters into regions.</w:t>
      </w:r>
    </w:p>
    <w:p w14:paraId="0C1B06AE" w14:textId="09A337E8" w:rsidR="002B6DC0" w:rsidRPr="000B0889" w:rsidRDefault="002B6DC0" w:rsidP="001C06E0">
      <w:pPr>
        <w:pStyle w:val="EBBodyPara"/>
        <w:numPr>
          <w:ilvl w:val="1"/>
          <w:numId w:val="24"/>
        </w:numPr>
      </w:pPr>
      <w:r w:rsidRPr="000B0889">
        <w:t>GLOCAF assumes that countries will always choose least-cost mitigation options. This may</w:t>
      </w:r>
      <w:r>
        <w:t xml:space="preserve"> </w:t>
      </w:r>
      <w:r w:rsidRPr="000B0889">
        <w:t>not always happen in practice.</w:t>
      </w:r>
    </w:p>
    <w:p w14:paraId="1B6D13B6" w14:textId="61593D1F" w:rsidR="001C06E0" w:rsidRDefault="002B6DC0" w:rsidP="001C06E0">
      <w:pPr>
        <w:pStyle w:val="EBBodyPara"/>
        <w:numPr>
          <w:ilvl w:val="0"/>
          <w:numId w:val="24"/>
        </w:numPr>
      </w:pPr>
      <w:r w:rsidRPr="001C06E0">
        <w:t>These limitations mean that GLOCAF results should always be considered to be illustrative rather than as forecast of real-world outcomes.</w:t>
      </w:r>
    </w:p>
    <w:p w14:paraId="2B57924E" w14:textId="344EB3DC" w:rsidR="002B6DC0" w:rsidRPr="000B0889" w:rsidRDefault="002B6DC0" w:rsidP="001C06E0">
      <w:pPr>
        <w:pStyle w:val="EBBodyPara"/>
        <w:numPr>
          <w:ilvl w:val="0"/>
          <w:numId w:val="24"/>
        </w:numPr>
      </w:pPr>
      <w:r w:rsidRPr="000B0889">
        <w:t xml:space="preserve">GLOCAF data includes BAU projections which are calibrated to the </w:t>
      </w:r>
      <w:r>
        <w:t>International Energy Agency’s World Energy Outlook</w:t>
      </w:r>
      <w:r w:rsidRPr="000B0889">
        <w:t xml:space="preserve"> 201</w:t>
      </w:r>
      <w:r>
        <w:t>9</w:t>
      </w:r>
      <w:r w:rsidRPr="000B0889">
        <w:t xml:space="preserve"> Current</w:t>
      </w:r>
      <w:r>
        <w:t xml:space="preserve"> </w:t>
      </w:r>
      <w:r w:rsidRPr="000B0889">
        <w:t>Policies Scenario</w:t>
      </w:r>
      <w:r>
        <w:t>.</w:t>
      </w:r>
      <w:r>
        <w:br/>
      </w:r>
    </w:p>
    <w:p w14:paraId="5204E9D9" w14:textId="01815416" w:rsidR="007963D2" w:rsidRPr="007963D2" w:rsidRDefault="007963D2" w:rsidP="007963D2">
      <w:pPr>
        <w:pStyle w:val="EBBodyPara"/>
      </w:pPr>
    </w:p>
    <w:sectPr w:rsidR="007963D2" w:rsidRPr="007963D2" w:rsidSect="00807DB6">
      <w:headerReference w:type="even" r:id="rId21"/>
      <w:footerReference w:type="default" r:id="rId22"/>
      <w:footnotePr>
        <w:numRestart w:val="eachSect"/>
      </w:footnotePr>
      <w:pgSz w:w="11907" w:h="16840" w:code="9"/>
      <w:pgMar w:top="680" w:right="851" w:bottom="680" w:left="851" w:header="284" w:footer="284"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60949" w14:textId="77777777" w:rsidR="00F26ECE" w:rsidRDefault="00F26ECE">
      <w:r>
        <w:separator/>
      </w:r>
    </w:p>
  </w:endnote>
  <w:endnote w:type="continuationSeparator" w:id="0">
    <w:p w14:paraId="3A236F93" w14:textId="77777777" w:rsidR="00F26ECE" w:rsidRDefault="00F26ECE">
      <w:r>
        <w:continuationSeparator/>
      </w:r>
    </w:p>
  </w:endnote>
  <w:endnote w:type="continuationNotice" w:id="1">
    <w:p w14:paraId="41D65840" w14:textId="77777777" w:rsidR="00F26ECE" w:rsidRDefault="00F26E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Helvetica-Bold">
    <w:altName w:val="Arial"/>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6C952" w14:textId="77777777" w:rsidR="00621E40" w:rsidRDefault="00621E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4708B" w14:textId="77777777" w:rsidR="00730139" w:rsidRPr="00EB43FD" w:rsidRDefault="00730139" w:rsidP="005A3880">
    <w:pPr>
      <w:pStyle w:val="Footer"/>
    </w:pPr>
    <w:r w:rsidRPr="00EB43FD">
      <w:rPr>
        <w:rStyle w:val="PageNumber"/>
        <w:rFonts w:eastAsia="SimSun"/>
        <w:b w:val="0"/>
        <w:szCs w:val="18"/>
      </w:rPr>
      <w:fldChar w:fldCharType="begin"/>
    </w:r>
    <w:r w:rsidRPr="00EB43FD">
      <w:rPr>
        <w:rStyle w:val="PageNumber"/>
        <w:rFonts w:eastAsia="SimSun"/>
        <w:b w:val="0"/>
        <w:szCs w:val="18"/>
      </w:rPr>
      <w:instrText xml:space="preserve"> PAGE </w:instrText>
    </w:r>
    <w:r w:rsidRPr="00EB43FD">
      <w:rPr>
        <w:rStyle w:val="PageNumber"/>
        <w:rFonts w:eastAsia="SimSun"/>
        <w:b w:val="0"/>
        <w:szCs w:val="18"/>
      </w:rPr>
      <w:fldChar w:fldCharType="separate"/>
    </w:r>
    <w:r>
      <w:rPr>
        <w:rStyle w:val="PageNumber"/>
        <w:rFonts w:eastAsia="SimSun"/>
        <w:b w:val="0"/>
        <w:noProof/>
        <w:szCs w:val="18"/>
      </w:rPr>
      <w:t>1</w:t>
    </w:r>
    <w:r w:rsidRPr="00EB43FD">
      <w:rPr>
        <w:rStyle w:val="PageNumber"/>
        <w:rFonts w:eastAsia="SimSun"/>
        <w:b w:val="0"/>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1441B" w14:textId="77777777" w:rsidR="00621E40" w:rsidRDefault="00621E4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19F90" w14:textId="77777777" w:rsidR="00730139" w:rsidRPr="00EB43FD" w:rsidRDefault="00730139" w:rsidP="000407D8">
    <w:pPr>
      <w:pStyle w:val="Footer"/>
    </w:pPr>
    <w:r w:rsidRPr="00EB43FD">
      <w:rPr>
        <w:rStyle w:val="PageNumber"/>
        <w:b w:val="0"/>
        <w:szCs w:val="18"/>
      </w:rPr>
      <w:fldChar w:fldCharType="begin"/>
    </w:r>
    <w:r w:rsidRPr="00EB43FD">
      <w:rPr>
        <w:rStyle w:val="PageNumber"/>
        <w:b w:val="0"/>
        <w:szCs w:val="18"/>
      </w:rPr>
      <w:instrText xml:space="preserve"> PAGE </w:instrText>
    </w:r>
    <w:r w:rsidRPr="00EB43FD">
      <w:rPr>
        <w:rStyle w:val="PageNumber"/>
        <w:b w:val="0"/>
        <w:szCs w:val="18"/>
      </w:rPr>
      <w:fldChar w:fldCharType="separate"/>
    </w:r>
    <w:r>
      <w:rPr>
        <w:rStyle w:val="PageNumber"/>
        <w:b w:val="0"/>
        <w:noProof/>
        <w:szCs w:val="18"/>
      </w:rPr>
      <w:t>3</w:t>
    </w:r>
    <w:r w:rsidRPr="00EB43FD">
      <w:rPr>
        <w:rStyle w:val="PageNumber"/>
        <w:b w:val="0"/>
        <w:szCs w:val="18"/>
      </w:rPr>
      <w:fldChar w:fldCharType="end"/>
    </w:r>
  </w:p>
  <w:p w14:paraId="6F033233" w14:textId="77777777" w:rsidR="00730139" w:rsidRDefault="00730139"/>
  <w:p w14:paraId="68A9B507" w14:textId="77777777" w:rsidR="00730139" w:rsidRDefault="0073013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80819" w14:textId="77777777" w:rsidR="00F26ECE" w:rsidRDefault="00F26ECE">
      <w:r>
        <w:separator/>
      </w:r>
    </w:p>
  </w:footnote>
  <w:footnote w:type="continuationSeparator" w:id="0">
    <w:p w14:paraId="648463A7" w14:textId="77777777" w:rsidR="00F26ECE" w:rsidRDefault="00F26ECE">
      <w:r>
        <w:continuationSeparator/>
      </w:r>
    </w:p>
  </w:footnote>
  <w:footnote w:type="continuationNotice" w:id="1">
    <w:p w14:paraId="1F648E4B" w14:textId="77777777" w:rsidR="00F26ECE" w:rsidRDefault="00F26ECE"/>
  </w:footnote>
  <w:footnote w:id="2">
    <w:p w14:paraId="229BC36B" w14:textId="4133FA38" w:rsidR="005048AA" w:rsidRPr="005048AA" w:rsidRDefault="000B23E6" w:rsidP="005048AA">
      <w:pPr>
        <w:pStyle w:val="FootnoteText"/>
        <w:rPr>
          <w:b/>
          <w:bCs/>
        </w:rPr>
      </w:pPr>
      <w:r>
        <w:rPr>
          <w:rStyle w:val="FootnoteReference"/>
        </w:rPr>
        <w:footnoteRef/>
      </w:r>
      <w:r>
        <w:t xml:space="preserve"> </w:t>
      </w:r>
      <w:r w:rsidR="005048AA">
        <w:t xml:space="preserve">See </w:t>
      </w:r>
      <w:hyperlink r:id="rId1" w:history="1">
        <w:r w:rsidR="005048AA" w:rsidRPr="005048AA">
          <w:rPr>
            <w:rStyle w:val="Hyperlink"/>
            <w:b/>
            <w:bCs/>
          </w:rPr>
          <w:t>2019 UK greenhouse gas emissions: final figures - statistical release</w:t>
        </w:r>
      </w:hyperlink>
      <w:r w:rsidR="005048AA">
        <w:t xml:space="preserve"> for more details</w:t>
      </w:r>
    </w:p>
    <w:p w14:paraId="7D9B031A" w14:textId="4CA49811" w:rsidR="000B23E6" w:rsidRDefault="000B23E6">
      <w:pPr>
        <w:pStyle w:val="FootnoteText"/>
      </w:pPr>
    </w:p>
  </w:footnote>
  <w:footnote w:id="3">
    <w:p w14:paraId="4F4A0F2D" w14:textId="35B3CA51" w:rsidR="009221F2" w:rsidRDefault="009221F2">
      <w:pPr>
        <w:pStyle w:val="FootnoteText"/>
      </w:pPr>
      <w:r>
        <w:rPr>
          <w:rStyle w:val="FootnoteReference"/>
        </w:rPr>
        <w:footnoteRef/>
      </w:r>
      <w:r>
        <w:t xml:space="preserve"> With the exception of </w:t>
      </w:r>
      <w:r w:rsidR="00017A45">
        <w:t>electricity generation in Northern Ireland</w:t>
      </w:r>
      <w:r>
        <w:t xml:space="preserve"> </w:t>
      </w:r>
    </w:p>
  </w:footnote>
  <w:footnote w:id="4">
    <w:p w14:paraId="493829B9" w14:textId="242D5107" w:rsidR="00D57887" w:rsidRDefault="00D57887">
      <w:pPr>
        <w:pStyle w:val="FootnoteText"/>
      </w:pPr>
      <w:r>
        <w:rPr>
          <w:rStyle w:val="FootnoteReference"/>
        </w:rPr>
        <w:footnoteRef/>
      </w:r>
      <w:r>
        <w:t xml:space="preserve"> </w:t>
      </w:r>
      <w:r w:rsidR="00C25785">
        <w:t xml:space="preserve">See the </w:t>
      </w:r>
      <w:hyperlink r:id="rId2" w:history="1">
        <w:r w:rsidR="00C25785" w:rsidRPr="00C25785">
          <w:rPr>
            <w:rStyle w:val="Hyperlink"/>
          </w:rPr>
          <w:t>Energy White Paper</w:t>
        </w:r>
      </w:hyperlink>
      <w:r w:rsidR="00C25785">
        <w:t xml:space="preserve"> and </w:t>
      </w:r>
      <w:hyperlink r:id="rId3" w:history="1">
        <w:r w:rsidR="00C25785" w:rsidRPr="00511DD1">
          <w:rPr>
            <w:rStyle w:val="Hyperlink"/>
          </w:rPr>
          <w:t>Ten Point Plan</w:t>
        </w:r>
      </w:hyperlink>
      <w:r w:rsidR="00C25785">
        <w:t xml:space="preserve"> for more details</w:t>
      </w:r>
    </w:p>
  </w:footnote>
  <w:footnote w:id="5">
    <w:p w14:paraId="3EBC8011" w14:textId="31B6646E" w:rsidR="00B47E9A" w:rsidRPr="00B47E9A" w:rsidRDefault="005505B0" w:rsidP="00B47E9A">
      <w:pPr>
        <w:pStyle w:val="FootnoteText"/>
        <w:rPr>
          <w:b/>
          <w:bCs/>
        </w:rPr>
      </w:pPr>
      <w:r>
        <w:rPr>
          <w:rStyle w:val="FootnoteReference"/>
        </w:rPr>
        <w:footnoteRef/>
      </w:r>
      <w:r>
        <w:t xml:space="preserve"> </w:t>
      </w:r>
      <w:r w:rsidR="00D22E45">
        <w:t>For more details, see</w:t>
      </w:r>
      <w:r w:rsidR="00B47E9A">
        <w:t xml:space="preserve"> the</w:t>
      </w:r>
      <w:r w:rsidR="00D22E45">
        <w:t xml:space="preserve"> </w:t>
      </w:r>
      <w:hyperlink r:id="rId4" w:history="1">
        <w:r w:rsidR="00B47E9A" w:rsidRPr="00B47E9A">
          <w:rPr>
            <w:rStyle w:val="Hyperlink"/>
            <w:b/>
            <w:bCs/>
          </w:rPr>
          <w:t>2019 UK greenhouse gas emissions: final figures - statistical release</w:t>
        </w:r>
      </w:hyperlink>
    </w:p>
    <w:p w14:paraId="2C540325" w14:textId="6089E0C5" w:rsidR="005505B0" w:rsidRDefault="005505B0">
      <w:pPr>
        <w:pStyle w:val="FootnoteText"/>
      </w:pPr>
    </w:p>
  </w:footnote>
  <w:footnote w:id="6">
    <w:p w14:paraId="71F2BD08" w14:textId="55D99B1D" w:rsidR="00B83E06" w:rsidRDefault="00B83E06">
      <w:pPr>
        <w:pStyle w:val="FootnoteText"/>
      </w:pPr>
      <w:r>
        <w:rPr>
          <w:rStyle w:val="FootnoteReference"/>
        </w:rPr>
        <w:footnoteRef/>
      </w:r>
      <w:r>
        <w:t xml:space="preserve"> Figures are rounded to the nearest 5 MtCO2e to avoid spurious accuracy.</w:t>
      </w:r>
    </w:p>
  </w:footnote>
  <w:footnote w:id="7">
    <w:p w14:paraId="04D3A848" w14:textId="24717530" w:rsidR="000C19CE" w:rsidRDefault="000C19CE" w:rsidP="00E84900">
      <w:pPr>
        <w:pStyle w:val="FootnoteText"/>
      </w:pPr>
      <w:r>
        <w:rPr>
          <w:rStyle w:val="FootnoteReference"/>
        </w:rPr>
        <w:footnoteRef/>
      </w:r>
      <w:r>
        <w:t xml:space="preserve"> Wetlands uncertainty is presented separately because they are a relatively new source of emissions in the inventory and as such were not fully included in 2018 inventory uncertainty analysis. Furthermore, recent CCC advice used comparatively high values of wetlands. We assume central wetlands values of around 1</w:t>
      </w:r>
      <w:r w:rsidR="00F45627">
        <w:t xml:space="preserve">6 </w:t>
      </w:r>
      <w:r>
        <w:t xml:space="preserve">MtCO2e per year, with an upper </w:t>
      </w:r>
      <w:r w:rsidR="00BE61B6">
        <w:t>range in line with the CCC assumptions (22</w:t>
      </w:r>
      <w:r>
        <w:t xml:space="preserve"> MtCO2e per year</w:t>
      </w:r>
      <w:r w:rsidR="00BE61B6">
        <w:t>, on average over the fourth carbon budget)</w:t>
      </w:r>
    </w:p>
  </w:footnote>
  <w:footnote w:id="8">
    <w:p w14:paraId="14F745FC" w14:textId="2FA9664A" w:rsidR="00E47608" w:rsidRDefault="00E47608">
      <w:pPr>
        <w:pStyle w:val="FootnoteText"/>
      </w:pPr>
      <w:r>
        <w:rPr>
          <w:rStyle w:val="FootnoteReference"/>
        </w:rPr>
        <w:footnoteRef/>
      </w:r>
      <w:r>
        <w:t xml:space="preserve"> The range of uncertainty in 2018 emissions was 2.</w:t>
      </w:r>
      <w:r w:rsidR="00973058">
        <w:t xml:space="preserve">9% (Table 4.2, </w:t>
      </w:r>
      <w:hyperlink r:id="rId5" w:history="1">
        <w:r w:rsidR="00973058" w:rsidRPr="00973058">
          <w:rPr>
            <w:rStyle w:val="Hyperlink"/>
          </w:rPr>
          <w:t>BEIS Final Greenhouse Gas Emissions Statistics 1990 to 2019</w:t>
        </w:r>
      </w:hyperlink>
      <w:r w:rsidR="00973058">
        <w:t>.</w:t>
      </w:r>
      <w:r w:rsidR="00B5787D">
        <w:t xml:space="preserve"> </w:t>
      </w:r>
      <w:r w:rsidR="00071878">
        <w:t xml:space="preserve">We have applied this range to the </w:t>
      </w:r>
      <w:r w:rsidR="00AF4C06">
        <w:t xml:space="preserve">fourth carbon budget </w:t>
      </w:r>
      <w:r w:rsidR="00071878">
        <w:t xml:space="preserve">level </w:t>
      </w:r>
      <w:r w:rsidR="006135B9">
        <w:t>to approximate an upper bound of inventory revisions that could apply in the 2022 Final Statement of Emissions</w:t>
      </w:r>
      <w:r w:rsidR="008B3500">
        <w:t>.</w:t>
      </w:r>
    </w:p>
  </w:footnote>
  <w:footnote w:id="9">
    <w:p w14:paraId="7319996C" w14:textId="318A9EB6" w:rsidR="00D34EEF" w:rsidRDefault="00D34EEF">
      <w:pPr>
        <w:pStyle w:val="FootnoteText"/>
      </w:pPr>
      <w:r>
        <w:rPr>
          <w:rStyle w:val="FootnoteReference"/>
        </w:rPr>
        <w:footnoteRef/>
      </w:r>
      <w:r>
        <w:t xml:space="preserve"> </w:t>
      </w:r>
      <w:r w:rsidR="00492AA8">
        <w:t xml:space="preserve">We have applied the monte carlo analysis presented in the </w:t>
      </w:r>
      <w:hyperlink r:id="rId6" w:history="1">
        <w:r w:rsidR="00492AA8" w:rsidRPr="00014F7D">
          <w:rPr>
            <w:rStyle w:val="Hyperlink"/>
          </w:rPr>
          <w:t>Energy and Emissions Projections 2019</w:t>
        </w:r>
      </w:hyperlink>
      <w:r w:rsidR="001F38BB">
        <w:t>, which is based on modelling conducted in 2018.</w:t>
      </w:r>
      <w:r w:rsidR="00321822">
        <w:t xml:space="preserve"> In this analysis, </w:t>
      </w:r>
      <w:r w:rsidR="00321822" w:rsidRPr="00321822">
        <w:t>historical distributions of the input values</w:t>
      </w:r>
      <w:r w:rsidR="00321822">
        <w:t xml:space="preserve"> are first derived, and then the</w:t>
      </w:r>
      <w:r w:rsidR="00321822" w:rsidRPr="00321822">
        <w:t xml:space="preserve"> emissions projections model </w:t>
      </w:r>
      <w:r w:rsidR="00321822">
        <w:t xml:space="preserve">is run </w:t>
      </w:r>
      <w:r w:rsidR="00321822" w:rsidRPr="00321822">
        <w:t>using samples from these distributions and recorded the resulting projections over a large number of simulations</w:t>
      </w:r>
      <w:r w:rsidR="00321822">
        <w:t>.</w:t>
      </w:r>
      <w:r w:rsidR="002F15A4">
        <w:t xml:space="preserve"> The methodology is described further in </w:t>
      </w:r>
      <w:r w:rsidR="00B50F3A">
        <w:t xml:space="preserve">Chapter 6 of the </w:t>
      </w:r>
      <w:hyperlink r:id="rId7" w:history="1">
        <w:r w:rsidR="00B50F3A" w:rsidRPr="00B50F3A">
          <w:rPr>
            <w:rStyle w:val="Hyperlink"/>
          </w:rPr>
          <w:t>Energy and Emissions Projections 2018</w:t>
        </w:r>
      </w:hyperlink>
    </w:p>
  </w:footnote>
  <w:footnote w:id="10">
    <w:p w14:paraId="6FCAB3FC" w14:textId="77777777" w:rsidR="00AD2F11" w:rsidRDefault="00AD2F11" w:rsidP="00AD2F11">
      <w:pPr>
        <w:pStyle w:val="FootnoteText"/>
      </w:pPr>
      <w:r>
        <w:rPr>
          <w:rStyle w:val="FootnoteReference"/>
        </w:rPr>
        <w:footnoteRef/>
      </w:r>
      <w:r>
        <w:t xml:space="preserve"> CCC costs do not necessarily represent the Government’s view of costs over this period, but are a valuable sense-check here</w:t>
      </w:r>
    </w:p>
  </w:footnote>
  <w:footnote w:id="11">
    <w:p w14:paraId="6FC239B6" w14:textId="489148FC" w:rsidR="00641000" w:rsidRDefault="00641000">
      <w:pPr>
        <w:pStyle w:val="FootnoteText"/>
      </w:pPr>
      <w:r>
        <w:rPr>
          <w:rStyle w:val="FootnoteReference"/>
        </w:rPr>
        <w:footnoteRef/>
      </w:r>
      <w:r>
        <w:t xml:space="preserve"> Undiscounted values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D2F41" w14:textId="77777777" w:rsidR="00621E40" w:rsidRDefault="00621E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B920D" w14:textId="2423AE0C" w:rsidR="00730139" w:rsidRDefault="00730139">
    <w:pPr>
      <w:pStyle w:val="Header"/>
    </w:pPr>
    <w:r>
      <w:fldChar w:fldCharType="begin"/>
    </w:r>
    <w:r>
      <w:instrText xml:space="preserve"> DOCPROPERTY  Classification  \* MERGEFORMAT </w:instrTex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4F5B1" w14:textId="77777777" w:rsidR="00621E40" w:rsidRDefault="00621E4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A35C1" w14:textId="77777777" w:rsidR="00730139" w:rsidRDefault="00730139"/>
  <w:p w14:paraId="51ACEAC7" w14:textId="77777777" w:rsidR="00730139" w:rsidRDefault="0073013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40B1"/>
    <w:multiLevelType w:val="hybridMultilevel"/>
    <w:tmpl w:val="5A1071C8"/>
    <w:lvl w:ilvl="0" w:tplc="9064CC76">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6F7A83"/>
    <w:multiLevelType w:val="hybridMultilevel"/>
    <w:tmpl w:val="0B901664"/>
    <w:lvl w:ilvl="0" w:tplc="5322BD92">
      <w:numFmt w:val="bullet"/>
      <w:lvlText w:val="•"/>
      <w:lvlJc w:val="left"/>
      <w:pPr>
        <w:ind w:left="473" w:hanging="360"/>
      </w:pPr>
      <w:rPr>
        <w:rFonts w:ascii="Arial" w:eastAsia="SimSun" w:hAnsi="Arial" w:cs="Arial" w:hint="default"/>
      </w:rPr>
    </w:lvl>
    <w:lvl w:ilvl="1" w:tplc="08090003" w:tentative="1">
      <w:start w:val="1"/>
      <w:numFmt w:val="bullet"/>
      <w:lvlText w:val="o"/>
      <w:lvlJc w:val="left"/>
      <w:pPr>
        <w:ind w:left="1193" w:hanging="360"/>
      </w:pPr>
      <w:rPr>
        <w:rFonts w:ascii="Courier New" w:hAnsi="Courier New" w:cs="Courier New" w:hint="default"/>
      </w:rPr>
    </w:lvl>
    <w:lvl w:ilvl="2" w:tplc="08090005" w:tentative="1">
      <w:start w:val="1"/>
      <w:numFmt w:val="bullet"/>
      <w:lvlText w:val=""/>
      <w:lvlJc w:val="left"/>
      <w:pPr>
        <w:ind w:left="1913" w:hanging="360"/>
      </w:pPr>
      <w:rPr>
        <w:rFonts w:ascii="Wingdings" w:hAnsi="Wingdings" w:hint="default"/>
      </w:rPr>
    </w:lvl>
    <w:lvl w:ilvl="3" w:tplc="08090001" w:tentative="1">
      <w:start w:val="1"/>
      <w:numFmt w:val="bullet"/>
      <w:lvlText w:val=""/>
      <w:lvlJc w:val="left"/>
      <w:pPr>
        <w:ind w:left="2633" w:hanging="360"/>
      </w:pPr>
      <w:rPr>
        <w:rFonts w:ascii="Symbol" w:hAnsi="Symbol" w:hint="default"/>
      </w:rPr>
    </w:lvl>
    <w:lvl w:ilvl="4" w:tplc="08090003" w:tentative="1">
      <w:start w:val="1"/>
      <w:numFmt w:val="bullet"/>
      <w:lvlText w:val="o"/>
      <w:lvlJc w:val="left"/>
      <w:pPr>
        <w:ind w:left="3353" w:hanging="360"/>
      </w:pPr>
      <w:rPr>
        <w:rFonts w:ascii="Courier New" w:hAnsi="Courier New" w:cs="Courier New" w:hint="default"/>
      </w:rPr>
    </w:lvl>
    <w:lvl w:ilvl="5" w:tplc="08090005" w:tentative="1">
      <w:start w:val="1"/>
      <w:numFmt w:val="bullet"/>
      <w:lvlText w:val=""/>
      <w:lvlJc w:val="left"/>
      <w:pPr>
        <w:ind w:left="4073" w:hanging="360"/>
      </w:pPr>
      <w:rPr>
        <w:rFonts w:ascii="Wingdings" w:hAnsi="Wingdings" w:hint="default"/>
      </w:rPr>
    </w:lvl>
    <w:lvl w:ilvl="6" w:tplc="08090001" w:tentative="1">
      <w:start w:val="1"/>
      <w:numFmt w:val="bullet"/>
      <w:lvlText w:val=""/>
      <w:lvlJc w:val="left"/>
      <w:pPr>
        <w:ind w:left="4793" w:hanging="360"/>
      </w:pPr>
      <w:rPr>
        <w:rFonts w:ascii="Symbol" w:hAnsi="Symbol" w:hint="default"/>
      </w:rPr>
    </w:lvl>
    <w:lvl w:ilvl="7" w:tplc="08090003" w:tentative="1">
      <w:start w:val="1"/>
      <w:numFmt w:val="bullet"/>
      <w:lvlText w:val="o"/>
      <w:lvlJc w:val="left"/>
      <w:pPr>
        <w:ind w:left="5513" w:hanging="360"/>
      </w:pPr>
      <w:rPr>
        <w:rFonts w:ascii="Courier New" w:hAnsi="Courier New" w:cs="Courier New" w:hint="default"/>
      </w:rPr>
    </w:lvl>
    <w:lvl w:ilvl="8" w:tplc="08090005" w:tentative="1">
      <w:start w:val="1"/>
      <w:numFmt w:val="bullet"/>
      <w:lvlText w:val=""/>
      <w:lvlJc w:val="left"/>
      <w:pPr>
        <w:ind w:left="6233" w:hanging="360"/>
      </w:pPr>
      <w:rPr>
        <w:rFonts w:ascii="Wingdings" w:hAnsi="Wingdings" w:hint="default"/>
      </w:rPr>
    </w:lvl>
  </w:abstractNum>
  <w:abstractNum w:abstractNumId="2" w15:restartNumberingAfterBreak="0">
    <w:nsid w:val="0B446234"/>
    <w:multiLevelType w:val="hybridMultilevel"/>
    <w:tmpl w:val="702822F2"/>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3" w15:restartNumberingAfterBreak="0">
    <w:nsid w:val="11F21880"/>
    <w:multiLevelType w:val="hybridMultilevel"/>
    <w:tmpl w:val="3F9A42C0"/>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444350"/>
    <w:multiLevelType w:val="hybridMultilevel"/>
    <w:tmpl w:val="60C6F5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713919"/>
    <w:multiLevelType w:val="hybridMultilevel"/>
    <w:tmpl w:val="8B4674B2"/>
    <w:lvl w:ilvl="0" w:tplc="C7A6A9FA">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3F39F8"/>
    <w:multiLevelType w:val="hybridMultilevel"/>
    <w:tmpl w:val="130ADDBA"/>
    <w:lvl w:ilvl="0" w:tplc="329AB164">
      <w:start w:val="1"/>
      <w:numFmt w:val="bullet"/>
      <w:pStyle w:val="EBBullet"/>
      <w:lvlText w:val=""/>
      <w:lvlJc w:val="left"/>
      <w:pPr>
        <w:tabs>
          <w:tab w:val="num" w:pos="284"/>
        </w:tabs>
        <w:ind w:left="284" w:hanging="284"/>
      </w:pPr>
      <w:rPr>
        <w:rFonts w:ascii="Symbol" w:hAnsi="Symbol" w:hint="default"/>
      </w:rPr>
    </w:lvl>
    <w:lvl w:ilvl="1" w:tplc="FF1A3954">
      <w:start w:val="1"/>
      <w:numFmt w:val="bullet"/>
      <w:lvlText w:val=""/>
      <w:lvlJc w:val="left"/>
      <w:pPr>
        <w:tabs>
          <w:tab w:val="num" w:pos="567"/>
        </w:tabs>
        <w:ind w:left="567" w:hanging="283"/>
      </w:pPr>
      <w:rPr>
        <w:rFonts w:ascii="Symbol" w:hAnsi="Symbol" w:hint="default"/>
      </w:rPr>
    </w:lvl>
    <w:lvl w:ilvl="2" w:tplc="D8B643C2">
      <w:start w:val="1"/>
      <w:numFmt w:val="bullet"/>
      <w:lvlText w:val=""/>
      <w:lvlJc w:val="left"/>
      <w:pPr>
        <w:tabs>
          <w:tab w:val="num" w:pos="1080"/>
        </w:tabs>
        <w:ind w:left="1080" w:hanging="360"/>
      </w:pPr>
      <w:rPr>
        <w:rFonts w:ascii="Wingdings" w:hAnsi="Wingdings" w:hint="default"/>
      </w:rPr>
    </w:lvl>
    <w:lvl w:ilvl="3" w:tplc="C0644A08">
      <w:start w:val="1"/>
      <w:numFmt w:val="bullet"/>
      <w:lvlText w:val=""/>
      <w:lvlJc w:val="left"/>
      <w:pPr>
        <w:tabs>
          <w:tab w:val="num" w:pos="1440"/>
        </w:tabs>
        <w:ind w:left="1440" w:hanging="360"/>
      </w:pPr>
      <w:rPr>
        <w:rFonts w:ascii="Symbol" w:hAnsi="Symbol" w:hint="default"/>
      </w:rPr>
    </w:lvl>
    <w:lvl w:ilvl="4" w:tplc="94CAB1FC">
      <w:start w:val="1"/>
      <w:numFmt w:val="bullet"/>
      <w:lvlText w:val=""/>
      <w:lvlJc w:val="left"/>
      <w:pPr>
        <w:tabs>
          <w:tab w:val="num" w:pos="1800"/>
        </w:tabs>
        <w:ind w:left="1800" w:hanging="360"/>
      </w:pPr>
      <w:rPr>
        <w:rFonts w:ascii="Symbol" w:hAnsi="Symbol" w:hint="default"/>
      </w:rPr>
    </w:lvl>
    <w:lvl w:ilvl="5" w:tplc="92646A32">
      <w:start w:val="1"/>
      <w:numFmt w:val="bullet"/>
      <w:lvlText w:val=""/>
      <w:lvlJc w:val="left"/>
      <w:pPr>
        <w:tabs>
          <w:tab w:val="num" w:pos="2160"/>
        </w:tabs>
        <w:ind w:left="2160" w:hanging="360"/>
      </w:pPr>
      <w:rPr>
        <w:rFonts w:ascii="Wingdings" w:hAnsi="Wingdings" w:hint="default"/>
      </w:rPr>
    </w:lvl>
    <w:lvl w:ilvl="6" w:tplc="877CFED2">
      <w:start w:val="1"/>
      <w:numFmt w:val="bullet"/>
      <w:lvlText w:val=""/>
      <w:lvlJc w:val="left"/>
      <w:pPr>
        <w:tabs>
          <w:tab w:val="num" w:pos="2520"/>
        </w:tabs>
        <w:ind w:left="2520" w:hanging="360"/>
      </w:pPr>
      <w:rPr>
        <w:rFonts w:ascii="Wingdings" w:hAnsi="Wingdings" w:hint="default"/>
      </w:rPr>
    </w:lvl>
    <w:lvl w:ilvl="7" w:tplc="4126BCDE">
      <w:start w:val="1"/>
      <w:numFmt w:val="bullet"/>
      <w:lvlText w:val=""/>
      <w:lvlJc w:val="left"/>
      <w:pPr>
        <w:tabs>
          <w:tab w:val="num" w:pos="2880"/>
        </w:tabs>
        <w:ind w:left="2880" w:hanging="360"/>
      </w:pPr>
      <w:rPr>
        <w:rFonts w:ascii="Symbol" w:hAnsi="Symbol" w:hint="default"/>
      </w:rPr>
    </w:lvl>
    <w:lvl w:ilvl="8" w:tplc="0FA6BCB0">
      <w:start w:val="1"/>
      <w:numFmt w:val="bullet"/>
      <w:lvlText w:val=""/>
      <w:lvlJc w:val="left"/>
      <w:pPr>
        <w:tabs>
          <w:tab w:val="num" w:pos="3240"/>
        </w:tabs>
        <w:ind w:left="3240" w:hanging="360"/>
      </w:pPr>
      <w:rPr>
        <w:rFonts w:ascii="Symbol" w:hAnsi="Symbol" w:hint="default"/>
      </w:rPr>
    </w:lvl>
  </w:abstractNum>
  <w:abstractNum w:abstractNumId="7" w15:restartNumberingAfterBreak="0">
    <w:nsid w:val="31F531BA"/>
    <w:multiLevelType w:val="hybridMultilevel"/>
    <w:tmpl w:val="8D488E8A"/>
    <w:lvl w:ilvl="0" w:tplc="0809000F">
      <w:start w:val="6"/>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8A54CB"/>
    <w:multiLevelType w:val="hybridMultilevel"/>
    <w:tmpl w:val="FFFFFFFF"/>
    <w:lvl w:ilvl="0" w:tplc="7A22C778">
      <w:start w:val="1"/>
      <w:numFmt w:val="bullet"/>
      <w:lvlText w:val=""/>
      <w:lvlJc w:val="left"/>
      <w:pPr>
        <w:ind w:left="720" w:hanging="360"/>
      </w:pPr>
      <w:rPr>
        <w:rFonts w:ascii="Symbol" w:hAnsi="Symbol" w:hint="default"/>
      </w:rPr>
    </w:lvl>
    <w:lvl w:ilvl="1" w:tplc="DE9C9FB2">
      <w:start w:val="1"/>
      <w:numFmt w:val="bullet"/>
      <w:lvlText w:val="o"/>
      <w:lvlJc w:val="left"/>
      <w:pPr>
        <w:ind w:left="1440" w:hanging="360"/>
      </w:pPr>
      <w:rPr>
        <w:rFonts w:ascii="Courier New" w:hAnsi="Courier New" w:hint="default"/>
      </w:rPr>
    </w:lvl>
    <w:lvl w:ilvl="2" w:tplc="2186702A">
      <w:start w:val="1"/>
      <w:numFmt w:val="bullet"/>
      <w:lvlText w:val=""/>
      <w:lvlJc w:val="left"/>
      <w:pPr>
        <w:ind w:left="2160" w:hanging="360"/>
      </w:pPr>
      <w:rPr>
        <w:rFonts w:ascii="Wingdings" w:hAnsi="Wingdings" w:hint="default"/>
      </w:rPr>
    </w:lvl>
    <w:lvl w:ilvl="3" w:tplc="7B34E260">
      <w:start w:val="1"/>
      <w:numFmt w:val="bullet"/>
      <w:lvlText w:val=""/>
      <w:lvlJc w:val="left"/>
      <w:pPr>
        <w:ind w:left="2880" w:hanging="360"/>
      </w:pPr>
      <w:rPr>
        <w:rFonts w:ascii="Symbol" w:hAnsi="Symbol" w:hint="default"/>
      </w:rPr>
    </w:lvl>
    <w:lvl w:ilvl="4" w:tplc="4290EFAC">
      <w:start w:val="1"/>
      <w:numFmt w:val="bullet"/>
      <w:lvlText w:val="o"/>
      <w:lvlJc w:val="left"/>
      <w:pPr>
        <w:ind w:left="3600" w:hanging="360"/>
      </w:pPr>
      <w:rPr>
        <w:rFonts w:ascii="Courier New" w:hAnsi="Courier New" w:hint="default"/>
      </w:rPr>
    </w:lvl>
    <w:lvl w:ilvl="5" w:tplc="5B5E7894">
      <w:start w:val="1"/>
      <w:numFmt w:val="bullet"/>
      <w:lvlText w:val=""/>
      <w:lvlJc w:val="left"/>
      <w:pPr>
        <w:ind w:left="4320" w:hanging="360"/>
      </w:pPr>
      <w:rPr>
        <w:rFonts w:ascii="Wingdings" w:hAnsi="Wingdings" w:hint="default"/>
      </w:rPr>
    </w:lvl>
    <w:lvl w:ilvl="6" w:tplc="3AC4BF32">
      <w:start w:val="1"/>
      <w:numFmt w:val="bullet"/>
      <w:lvlText w:val=""/>
      <w:lvlJc w:val="left"/>
      <w:pPr>
        <w:ind w:left="5040" w:hanging="360"/>
      </w:pPr>
      <w:rPr>
        <w:rFonts w:ascii="Symbol" w:hAnsi="Symbol" w:hint="default"/>
      </w:rPr>
    </w:lvl>
    <w:lvl w:ilvl="7" w:tplc="74402552">
      <w:start w:val="1"/>
      <w:numFmt w:val="bullet"/>
      <w:lvlText w:val="o"/>
      <w:lvlJc w:val="left"/>
      <w:pPr>
        <w:ind w:left="5760" w:hanging="360"/>
      </w:pPr>
      <w:rPr>
        <w:rFonts w:ascii="Courier New" w:hAnsi="Courier New" w:hint="default"/>
      </w:rPr>
    </w:lvl>
    <w:lvl w:ilvl="8" w:tplc="18FA82DA">
      <w:start w:val="1"/>
      <w:numFmt w:val="bullet"/>
      <w:lvlText w:val=""/>
      <w:lvlJc w:val="left"/>
      <w:pPr>
        <w:ind w:left="6480" w:hanging="360"/>
      </w:pPr>
      <w:rPr>
        <w:rFonts w:ascii="Wingdings" w:hAnsi="Wingdings" w:hint="default"/>
      </w:rPr>
    </w:lvl>
  </w:abstractNum>
  <w:abstractNum w:abstractNumId="9" w15:restartNumberingAfterBreak="0">
    <w:nsid w:val="38A843F2"/>
    <w:multiLevelType w:val="hybridMultilevel"/>
    <w:tmpl w:val="829ABEE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A365AC6"/>
    <w:multiLevelType w:val="hybridMultilevel"/>
    <w:tmpl w:val="66C2A944"/>
    <w:lvl w:ilvl="0" w:tplc="0B843654">
      <w:start w:val="1"/>
      <w:numFmt w:val="decimal"/>
      <w:lvlText w:val="%1."/>
      <w:lvlJc w:val="left"/>
      <w:pPr>
        <w:tabs>
          <w:tab w:val="num" w:pos="720"/>
        </w:tabs>
        <w:ind w:left="720" w:hanging="360"/>
      </w:pPr>
    </w:lvl>
    <w:lvl w:ilvl="1" w:tplc="90489C80" w:tentative="1">
      <w:start w:val="1"/>
      <w:numFmt w:val="decimal"/>
      <w:lvlText w:val="%2."/>
      <w:lvlJc w:val="left"/>
      <w:pPr>
        <w:tabs>
          <w:tab w:val="num" w:pos="1440"/>
        </w:tabs>
        <w:ind w:left="1440" w:hanging="360"/>
      </w:pPr>
    </w:lvl>
    <w:lvl w:ilvl="2" w:tplc="5D423B4E" w:tentative="1">
      <w:start w:val="1"/>
      <w:numFmt w:val="decimal"/>
      <w:lvlText w:val="%3."/>
      <w:lvlJc w:val="left"/>
      <w:pPr>
        <w:tabs>
          <w:tab w:val="num" w:pos="2160"/>
        </w:tabs>
        <w:ind w:left="2160" w:hanging="360"/>
      </w:pPr>
    </w:lvl>
    <w:lvl w:ilvl="3" w:tplc="A4FE3338" w:tentative="1">
      <w:start w:val="1"/>
      <w:numFmt w:val="decimal"/>
      <w:lvlText w:val="%4."/>
      <w:lvlJc w:val="left"/>
      <w:pPr>
        <w:tabs>
          <w:tab w:val="num" w:pos="2880"/>
        </w:tabs>
        <w:ind w:left="2880" w:hanging="360"/>
      </w:pPr>
    </w:lvl>
    <w:lvl w:ilvl="4" w:tplc="425ADB1E" w:tentative="1">
      <w:start w:val="1"/>
      <w:numFmt w:val="decimal"/>
      <w:lvlText w:val="%5."/>
      <w:lvlJc w:val="left"/>
      <w:pPr>
        <w:tabs>
          <w:tab w:val="num" w:pos="3600"/>
        </w:tabs>
        <w:ind w:left="3600" w:hanging="360"/>
      </w:pPr>
    </w:lvl>
    <w:lvl w:ilvl="5" w:tplc="94D2B504" w:tentative="1">
      <w:start w:val="1"/>
      <w:numFmt w:val="decimal"/>
      <w:lvlText w:val="%6."/>
      <w:lvlJc w:val="left"/>
      <w:pPr>
        <w:tabs>
          <w:tab w:val="num" w:pos="4320"/>
        </w:tabs>
        <w:ind w:left="4320" w:hanging="360"/>
      </w:pPr>
    </w:lvl>
    <w:lvl w:ilvl="6" w:tplc="CF50AC34" w:tentative="1">
      <w:start w:val="1"/>
      <w:numFmt w:val="decimal"/>
      <w:lvlText w:val="%7."/>
      <w:lvlJc w:val="left"/>
      <w:pPr>
        <w:tabs>
          <w:tab w:val="num" w:pos="5040"/>
        </w:tabs>
        <w:ind w:left="5040" w:hanging="360"/>
      </w:pPr>
    </w:lvl>
    <w:lvl w:ilvl="7" w:tplc="B5E6E462" w:tentative="1">
      <w:start w:val="1"/>
      <w:numFmt w:val="decimal"/>
      <w:lvlText w:val="%8."/>
      <w:lvlJc w:val="left"/>
      <w:pPr>
        <w:tabs>
          <w:tab w:val="num" w:pos="5760"/>
        </w:tabs>
        <w:ind w:left="5760" w:hanging="360"/>
      </w:pPr>
    </w:lvl>
    <w:lvl w:ilvl="8" w:tplc="14F6A6FA" w:tentative="1">
      <w:start w:val="1"/>
      <w:numFmt w:val="decimal"/>
      <w:lvlText w:val="%9."/>
      <w:lvlJc w:val="left"/>
      <w:pPr>
        <w:tabs>
          <w:tab w:val="num" w:pos="6480"/>
        </w:tabs>
        <w:ind w:left="6480" w:hanging="360"/>
      </w:pPr>
    </w:lvl>
  </w:abstractNum>
  <w:abstractNum w:abstractNumId="11" w15:restartNumberingAfterBreak="0">
    <w:nsid w:val="42A15695"/>
    <w:multiLevelType w:val="hybridMultilevel"/>
    <w:tmpl w:val="C0F85AA6"/>
    <w:lvl w:ilvl="0" w:tplc="22B84CC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33C040C"/>
    <w:multiLevelType w:val="hybridMultilevel"/>
    <w:tmpl w:val="60FAC5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44F4CD7"/>
    <w:multiLevelType w:val="hybridMultilevel"/>
    <w:tmpl w:val="36B4FF88"/>
    <w:lvl w:ilvl="0" w:tplc="F738C1C0">
      <w:start w:val="1"/>
      <w:numFmt w:val="decimal"/>
      <w:pStyle w:val="Numberedparagraphs"/>
      <w:lvlText w:val="%1."/>
      <w:lvlJc w:val="left"/>
      <w:pPr>
        <w:ind w:left="360" w:hanging="360"/>
      </w:pPr>
      <w:rPr>
        <w:rFonts w:ascii="Tahoma" w:hAnsi="Tahoma" w:hint="default"/>
        <w:b w:val="0"/>
        <w:bCs w:val="0"/>
        <w:i w:val="0"/>
        <w:iCs/>
        <w:color w:val="auto"/>
        <w:sz w:val="24"/>
      </w:rPr>
    </w:lvl>
    <w:lvl w:ilvl="1" w:tplc="08090019">
      <w:start w:val="1"/>
      <w:numFmt w:val="lowerLetter"/>
      <w:lvlText w:val="%2."/>
      <w:lvlJc w:val="left"/>
      <w:pPr>
        <w:ind w:left="730" w:hanging="360"/>
      </w:pPr>
    </w:lvl>
    <w:lvl w:ilvl="2" w:tplc="7CA0AE1E">
      <w:numFmt w:val="bullet"/>
      <w:lvlText w:val="•"/>
      <w:lvlJc w:val="left"/>
      <w:pPr>
        <w:ind w:left="1990" w:hanging="720"/>
      </w:pPr>
      <w:rPr>
        <w:rFonts w:ascii="Tahoma" w:eastAsia="Segoe UI" w:hAnsi="Tahoma" w:cs="Tahoma" w:hint="default"/>
      </w:rPr>
    </w:lvl>
    <w:lvl w:ilvl="3" w:tplc="0809000F" w:tentative="1">
      <w:start w:val="1"/>
      <w:numFmt w:val="decimal"/>
      <w:lvlText w:val="%4."/>
      <w:lvlJc w:val="left"/>
      <w:pPr>
        <w:ind w:left="2170" w:hanging="360"/>
      </w:pPr>
    </w:lvl>
    <w:lvl w:ilvl="4" w:tplc="08090019" w:tentative="1">
      <w:start w:val="1"/>
      <w:numFmt w:val="lowerLetter"/>
      <w:lvlText w:val="%5."/>
      <w:lvlJc w:val="left"/>
      <w:pPr>
        <w:ind w:left="2890" w:hanging="360"/>
      </w:pPr>
    </w:lvl>
    <w:lvl w:ilvl="5" w:tplc="0809001B" w:tentative="1">
      <w:start w:val="1"/>
      <w:numFmt w:val="lowerRoman"/>
      <w:lvlText w:val="%6."/>
      <w:lvlJc w:val="right"/>
      <w:pPr>
        <w:ind w:left="3610" w:hanging="180"/>
      </w:pPr>
    </w:lvl>
    <w:lvl w:ilvl="6" w:tplc="0809000F" w:tentative="1">
      <w:start w:val="1"/>
      <w:numFmt w:val="decimal"/>
      <w:lvlText w:val="%7."/>
      <w:lvlJc w:val="left"/>
      <w:pPr>
        <w:ind w:left="4330" w:hanging="360"/>
      </w:pPr>
    </w:lvl>
    <w:lvl w:ilvl="7" w:tplc="08090019" w:tentative="1">
      <w:start w:val="1"/>
      <w:numFmt w:val="lowerLetter"/>
      <w:lvlText w:val="%8."/>
      <w:lvlJc w:val="left"/>
      <w:pPr>
        <w:ind w:left="5050" w:hanging="360"/>
      </w:pPr>
    </w:lvl>
    <w:lvl w:ilvl="8" w:tplc="0809001B" w:tentative="1">
      <w:start w:val="1"/>
      <w:numFmt w:val="lowerRoman"/>
      <w:lvlText w:val="%9."/>
      <w:lvlJc w:val="right"/>
      <w:pPr>
        <w:ind w:left="5770" w:hanging="180"/>
      </w:pPr>
    </w:lvl>
  </w:abstractNum>
  <w:abstractNum w:abstractNumId="14" w15:restartNumberingAfterBreak="0">
    <w:nsid w:val="468364CE"/>
    <w:multiLevelType w:val="hybridMultilevel"/>
    <w:tmpl w:val="FFFFFFFF"/>
    <w:lvl w:ilvl="0" w:tplc="ECDE9436">
      <w:start w:val="1"/>
      <w:numFmt w:val="bullet"/>
      <w:lvlText w:val=""/>
      <w:lvlJc w:val="left"/>
      <w:pPr>
        <w:ind w:left="720" w:hanging="360"/>
      </w:pPr>
      <w:rPr>
        <w:rFonts w:ascii="Symbol" w:hAnsi="Symbol" w:hint="default"/>
      </w:rPr>
    </w:lvl>
    <w:lvl w:ilvl="1" w:tplc="4F66505A">
      <w:start w:val="1"/>
      <w:numFmt w:val="bullet"/>
      <w:lvlText w:val="o"/>
      <w:lvlJc w:val="left"/>
      <w:pPr>
        <w:ind w:left="1440" w:hanging="360"/>
      </w:pPr>
      <w:rPr>
        <w:rFonts w:ascii="Courier New" w:hAnsi="Courier New" w:hint="default"/>
      </w:rPr>
    </w:lvl>
    <w:lvl w:ilvl="2" w:tplc="0BB8E4C0">
      <w:start w:val="1"/>
      <w:numFmt w:val="bullet"/>
      <w:lvlText w:val=""/>
      <w:lvlJc w:val="left"/>
      <w:pPr>
        <w:ind w:left="2160" w:hanging="360"/>
      </w:pPr>
      <w:rPr>
        <w:rFonts w:ascii="Wingdings" w:hAnsi="Wingdings" w:hint="default"/>
      </w:rPr>
    </w:lvl>
    <w:lvl w:ilvl="3" w:tplc="1E748F7E">
      <w:start w:val="1"/>
      <w:numFmt w:val="bullet"/>
      <w:lvlText w:val=""/>
      <w:lvlJc w:val="left"/>
      <w:pPr>
        <w:ind w:left="2880" w:hanging="360"/>
      </w:pPr>
      <w:rPr>
        <w:rFonts w:ascii="Symbol" w:hAnsi="Symbol" w:hint="default"/>
      </w:rPr>
    </w:lvl>
    <w:lvl w:ilvl="4" w:tplc="69B4B300">
      <w:start w:val="1"/>
      <w:numFmt w:val="bullet"/>
      <w:lvlText w:val="o"/>
      <w:lvlJc w:val="left"/>
      <w:pPr>
        <w:ind w:left="3600" w:hanging="360"/>
      </w:pPr>
      <w:rPr>
        <w:rFonts w:ascii="Courier New" w:hAnsi="Courier New" w:hint="default"/>
      </w:rPr>
    </w:lvl>
    <w:lvl w:ilvl="5" w:tplc="7528DAF4">
      <w:start w:val="1"/>
      <w:numFmt w:val="bullet"/>
      <w:lvlText w:val=""/>
      <w:lvlJc w:val="left"/>
      <w:pPr>
        <w:ind w:left="4320" w:hanging="360"/>
      </w:pPr>
      <w:rPr>
        <w:rFonts w:ascii="Wingdings" w:hAnsi="Wingdings" w:hint="default"/>
      </w:rPr>
    </w:lvl>
    <w:lvl w:ilvl="6" w:tplc="3C665F32">
      <w:start w:val="1"/>
      <w:numFmt w:val="bullet"/>
      <w:lvlText w:val=""/>
      <w:lvlJc w:val="left"/>
      <w:pPr>
        <w:ind w:left="5040" w:hanging="360"/>
      </w:pPr>
      <w:rPr>
        <w:rFonts w:ascii="Symbol" w:hAnsi="Symbol" w:hint="default"/>
      </w:rPr>
    </w:lvl>
    <w:lvl w:ilvl="7" w:tplc="7DA80D72">
      <w:start w:val="1"/>
      <w:numFmt w:val="bullet"/>
      <w:lvlText w:val="o"/>
      <w:lvlJc w:val="left"/>
      <w:pPr>
        <w:ind w:left="5760" w:hanging="360"/>
      </w:pPr>
      <w:rPr>
        <w:rFonts w:ascii="Courier New" w:hAnsi="Courier New" w:hint="default"/>
      </w:rPr>
    </w:lvl>
    <w:lvl w:ilvl="8" w:tplc="2EC49F0A">
      <w:start w:val="1"/>
      <w:numFmt w:val="bullet"/>
      <w:lvlText w:val=""/>
      <w:lvlJc w:val="left"/>
      <w:pPr>
        <w:ind w:left="6480" w:hanging="360"/>
      </w:pPr>
      <w:rPr>
        <w:rFonts w:ascii="Wingdings" w:hAnsi="Wingdings" w:hint="default"/>
      </w:rPr>
    </w:lvl>
  </w:abstractNum>
  <w:abstractNum w:abstractNumId="15" w15:restartNumberingAfterBreak="0">
    <w:nsid w:val="475B2DC8"/>
    <w:multiLevelType w:val="hybridMultilevel"/>
    <w:tmpl w:val="1DA0EE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A11EBE"/>
    <w:multiLevelType w:val="hybridMultilevel"/>
    <w:tmpl w:val="2E0878AA"/>
    <w:lvl w:ilvl="0" w:tplc="5322BD92">
      <w:numFmt w:val="bullet"/>
      <w:lvlText w:val="•"/>
      <w:lvlJc w:val="left"/>
      <w:pPr>
        <w:ind w:left="586" w:hanging="360"/>
      </w:pPr>
      <w:rPr>
        <w:rFonts w:ascii="Arial" w:eastAsia="SimSun" w:hAnsi="Arial" w:cs="Aria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17" w15:restartNumberingAfterBreak="0">
    <w:nsid w:val="48A405E3"/>
    <w:multiLevelType w:val="hybridMultilevel"/>
    <w:tmpl w:val="837A6D4C"/>
    <w:lvl w:ilvl="0" w:tplc="0809000F">
      <w:start w:val="1"/>
      <w:numFmt w:val="decimal"/>
      <w:lvlText w:val="%1."/>
      <w:lvlJc w:val="left"/>
      <w:pPr>
        <w:ind w:left="720" w:hanging="360"/>
      </w:pPr>
    </w:lvl>
    <w:lvl w:ilvl="1" w:tplc="686C5FE8">
      <w:numFmt w:val="bullet"/>
      <w:lvlText w:val="•"/>
      <w:lvlJc w:val="left"/>
      <w:pPr>
        <w:ind w:left="1800" w:hanging="720"/>
      </w:pPr>
      <w:rPr>
        <w:rFonts w:ascii="Arial" w:eastAsia="Times New Roman" w:hAnsi="Arial" w:cs="Aria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9E526FF"/>
    <w:multiLevelType w:val="hybridMultilevel"/>
    <w:tmpl w:val="ADC02FDE"/>
    <w:lvl w:ilvl="0" w:tplc="676ABAC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7E124C4"/>
    <w:multiLevelType w:val="hybridMultilevel"/>
    <w:tmpl w:val="5CCEBB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5FB61638"/>
    <w:multiLevelType w:val="hybridMultilevel"/>
    <w:tmpl w:val="FFFFFFFF"/>
    <w:lvl w:ilvl="0" w:tplc="2EFCD6D2">
      <w:start w:val="1"/>
      <w:numFmt w:val="bullet"/>
      <w:lvlText w:val=""/>
      <w:lvlJc w:val="left"/>
      <w:pPr>
        <w:ind w:left="720" w:hanging="360"/>
      </w:pPr>
      <w:rPr>
        <w:rFonts w:ascii="Symbol" w:hAnsi="Symbol" w:hint="default"/>
      </w:rPr>
    </w:lvl>
    <w:lvl w:ilvl="1" w:tplc="CAE42A3A">
      <w:start w:val="1"/>
      <w:numFmt w:val="bullet"/>
      <w:lvlText w:val="o"/>
      <w:lvlJc w:val="left"/>
      <w:pPr>
        <w:ind w:left="1440" w:hanging="360"/>
      </w:pPr>
      <w:rPr>
        <w:rFonts w:ascii="Courier New" w:hAnsi="Courier New" w:hint="default"/>
      </w:rPr>
    </w:lvl>
    <w:lvl w:ilvl="2" w:tplc="3E4C482E">
      <w:start w:val="1"/>
      <w:numFmt w:val="bullet"/>
      <w:lvlText w:val=""/>
      <w:lvlJc w:val="left"/>
      <w:pPr>
        <w:ind w:left="2160" w:hanging="360"/>
      </w:pPr>
      <w:rPr>
        <w:rFonts w:ascii="Wingdings" w:hAnsi="Wingdings" w:hint="default"/>
      </w:rPr>
    </w:lvl>
    <w:lvl w:ilvl="3" w:tplc="7B48F71E">
      <w:start w:val="1"/>
      <w:numFmt w:val="bullet"/>
      <w:lvlText w:val=""/>
      <w:lvlJc w:val="left"/>
      <w:pPr>
        <w:ind w:left="2880" w:hanging="360"/>
      </w:pPr>
      <w:rPr>
        <w:rFonts w:ascii="Symbol" w:hAnsi="Symbol" w:hint="default"/>
      </w:rPr>
    </w:lvl>
    <w:lvl w:ilvl="4" w:tplc="D9A4142A">
      <w:start w:val="1"/>
      <w:numFmt w:val="bullet"/>
      <w:lvlText w:val="o"/>
      <w:lvlJc w:val="left"/>
      <w:pPr>
        <w:ind w:left="3600" w:hanging="360"/>
      </w:pPr>
      <w:rPr>
        <w:rFonts w:ascii="Courier New" w:hAnsi="Courier New" w:hint="default"/>
      </w:rPr>
    </w:lvl>
    <w:lvl w:ilvl="5" w:tplc="FA0C40A6">
      <w:start w:val="1"/>
      <w:numFmt w:val="bullet"/>
      <w:lvlText w:val=""/>
      <w:lvlJc w:val="left"/>
      <w:pPr>
        <w:ind w:left="4320" w:hanging="360"/>
      </w:pPr>
      <w:rPr>
        <w:rFonts w:ascii="Wingdings" w:hAnsi="Wingdings" w:hint="default"/>
      </w:rPr>
    </w:lvl>
    <w:lvl w:ilvl="6" w:tplc="A83C7A62">
      <w:start w:val="1"/>
      <w:numFmt w:val="bullet"/>
      <w:lvlText w:val=""/>
      <w:lvlJc w:val="left"/>
      <w:pPr>
        <w:ind w:left="5040" w:hanging="360"/>
      </w:pPr>
      <w:rPr>
        <w:rFonts w:ascii="Symbol" w:hAnsi="Symbol" w:hint="default"/>
      </w:rPr>
    </w:lvl>
    <w:lvl w:ilvl="7" w:tplc="68342028">
      <w:start w:val="1"/>
      <w:numFmt w:val="bullet"/>
      <w:lvlText w:val="o"/>
      <w:lvlJc w:val="left"/>
      <w:pPr>
        <w:ind w:left="5760" w:hanging="360"/>
      </w:pPr>
      <w:rPr>
        <w:rFonts w:ascii="Courier New" w:hAnsi="Courier New" w:hint="default"/>
      </w:rPr>
    </w:lvl>
    <w:lvl w:ilvl="8" w:tplc="1B72648E">
      <w:start w:val="1"/>
      <w:numFmt w:val="bullet"/>
      <w:lvlText w:val=""/>
      <w:lvlJc w:val="left"/>
      <w:pPr>
        <w:ind w:left="6480" w:hanging="360"/>
      </w:pPr>
      <w:rPr>
        <w:rFonts w:ascii="Wingdings" w:hAnsi="Wingdings" w:hint="default"/>
      </w:rPr>
    </w:lvl>
  </w:abstractNum>
  <w:abstractNum w:abstractNumId="21" w15:restartNumberingAfterBreak="0">
    <w:nsid w:val="6F0D20B8"/>
    <w:multiLevelType w:val="hybridMultilevel"/>
    <w:tmpl w:val="66DC60D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18851C2"/>
    <w:multiLevelType w:val="hybridMultilevel"/>
    <w:tmpl w:val="3626DD9A"/>
    <w:lvl w:ilvl="0" w:tplc="7198690C">
      <w:start w:val="1"/>
      <w:numFmt w:val="decimal"/>
      <w:pStyle w:val="IARefNumber"/>
      <w:suff w:val="nothing"/>
      <w:lvlText w:val="%1"/>
      <w:lvlJc w:val="left"/>
      <w:pPr>
        <w:ind w:firstLine="113"/>
      </w:pPr>
      <w:rPr>
        <w:rFonts w:cs="Times New Roman" w:hint="default"/>
      </w:rPr>
    </w:lvl>
    <w:lvl w:ilvl="1" w:tplc="5C42E494">
      <w:start w:val="1"/>
      <w:numFmt w:val="decimal"/>
      <w:lvlText w:val="%1.%2."/>
      <w:lvlJc w:val="left"/>
      <w:pPr>
        <w:tabs>
          <w:tab w:val="num" w:pos="1080"/>
        </w:tabs>
        <w:ind w:left="792" w:hanging="432"/>
      </w:pPr>
      <w:rPr>
        <w:rFonts w:cs="Times New Roman" w:hint="default"/>
      </w:rPr>
    </w:lvl>
    <w:lvl w:ilvl="2" w:tplc="9E547916">
      <w:start w:val="1"/>
      <w:numFmt w:val="decimal"/>
      <w:lvlText w:val="%1.%2.%3."/>
      <w:lvlJc w:val="left"/>
      <w:pPr>
        <w:tabs>
          <w:tab w:val="num" w:pos="1800"/>
        </w:tabs>
        <w:ind w:left="1224" w:hanging="504"/>
      </w:pPr>
      <w:rPr>
        <w:rFonts w:cs="Times New Roman" w:hint="default"/>
      </w:rPr>
    </w:lvl>
    <w:lvl w:ilvl="3" w:tplc="9B744C48">
      <w:start w:val="1"/>
      <w:numFmt w:val="decimal"/>
      <w:lvlText w:val="%1.%2.%3.%4."/>
      <w:lvlJc w:val="left"/>
      <w:pPr>
        <w:tabs>
          <w:tab w:val="num" w:pos="2520"/>
        </w:tabs>
        <w:ind w:left="1728" w:hanging="648"/>
      </w:pPr>
      <w:rPr>
        <w:rFonts w:cs="Times New Roman" w:hint="default"/>
      </w:rPr>
    </w:lvl>
    <w:lvl w:ilvl="4" w:tplc="F6FCA63C">
      <w:start w:val="1"/>
      <w:numFmt w:val="decimal"/>
      <w:lvlText w:val="%1.%2.%3.%4.%5."/>
      <w:lvlJc w:val="left"/>
      <w:pPr>
        <w:tabs>
          <w:tab w:val="num" w:pos="2880"/>
        </w:tabs>
        <w:ind w:left="2232" w:hanging="792"/>
      </w:pPr>
      <w:rPr>
        <w:rFonts w:cs="Times New Roman" w:hint="default"/>
      </w:rPr>
    </w:lvl>
    <w:lvl w:ilvl="5" w:tplc="E0BE6A9E">
      <w:start w:val="1"/>
      <w:numFmt w:val="decimal"/>
      <w:lvlText w:val="%1.%2.%3.%4.%5.%6."/>
      <w:lvlJc w:val="left"/>
      <w:pPr>
        <w:tabs>
          <w:tab w:val="num" w:pos="3600"/>
        </w:tabs>
        <w:ind w:left="2736" w:hanging="936"/>
      </w:pPr>
      <w:rPr>
        <w:rFonts w:cs="Times New Roman" w:hint="default"/>
      </w:rPr>
    </w:lvl>
    <w:lvl w:ilvl="6" w:tplc="B0067A0A">
      <w:start w:val="1"/>
      <w:numFmt w:val="decimal"/>
      <w:lvlText w:val="%1.%2.%3.%4.%5.%6.%7."/>
      <w:lvlJc w:val="left"/>
      <w:pPr>
        <w:tabs>
          <w:tab w:val="num" w:pos="4320"/>
        </w:tabs>
        <w:ind w:left="3240" w:hanging="1080"/>
      </w:pPr>
      <w:rPr>
        <w:rFonts w:cs="Times New Roman" w:hint="default"/>
      </w:rPr>
    </w:lvl>
    <w:lvl w:ilvl="7" w:tplc="712C1CE4">
      <w:start w:val="1"/>
      <w:numFmt w:val="decimal"/>
      <w:lvlText w:val="%1.%2.%3.%4.%5.%6.%7.%8."/>
      <w:lvlJc w:val="left"/>
      <w:pPr>
        <w:tabs>
          <w:tab w:val="num" w:pos="5040"/>
        </w:tabs>
        <w:ind w:left="3744" w:hanging="1224"/>
      </w:pPr>
      <w:rPr>
        <w:rFonts w:cs="Times New Roman" w:hint="default"/>
      </w:rPr>
    </w:lvl>
    <w:lvl w:ilvl="8" w:tplc="A7C232EC">
      <w:start w:val="1"/>
      <w:numFmt w:val="decimal"/>
      <w:lvlText w:val="%1.%2.%3.%4.%5.%6.%7.%8.%9."/>
      <w:lvlJc w:val="left"/>
      <w:pPr>
        <w:tabs>
          <w:tab w:val="num" w:pos="5760"/>
        </w:tabs>
        <w:ind w:left="4320" w:hanging="1440"/>
      </w:pPr>
      <w:rPr>
        <w:rFonts w:cs="Times New Roman" w:hint="default"/>
      </w:rPr>
    </w:lvl>
  </w:abstractNum>
  <w:abstractNum w:abstractNumId="23" w15:restartNumberingAfterBreak="0">
    <w:nsid w:val="772060DE"/>
    <w:multiLevelType w:val="hybridMultilevel"/>
    <w:tmpl w:val="1DA0EE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9434E9E"/>
    <w:multiLevelType w:val="hybridMultilevel"/>
    <w:tmpl w:val="4FB41626"/>
    <w:lvl w:ilvl="0" w:tplc="5CF8EB6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FB75C1D"/>
    <w:multiLevelType w:val="hybridMultilevel"/>
    <w:tmpl w:val="E2CC615A"/>
    <w:lvl w:ilvl="0" w:tplc="13C02A96">
      <w:start w:val="1"/>
      <w:numFmt w:val="none"/>
      <w:pStyle w:val="EBNumberRestart"/>
      <w:suff w:val="nothing"/>
      <w:lvlText w:val="%1"/>
      <w:lvlJc w:val="left"/>
      <w:rPr>
        <w:rFonts w:cs="Times New Roman" w:hint="default"/>
      </w:rPr>
    </w:lvl>
    <w:lvl w:ilvl="1" w:tplc="3DAA35B0">
      <w:start w:val="1"/>
      <w:numFmt w:val="decimal"/>
      <w:pStyle w:val="EBNumber"/>
      <w:lvlText w:val="%1%2."/>
      <w:lvlJc w:val="left"/>
      <w:pPr>
        <w:tabs>
          <w:tab w:val="num" w:pos="425"/>
        </w:tabs>
        <w:ind w:left="425" w:hanging="425"/>
      </w:pPr>
      <w:rPr>
        <w:rFonts w:cs="Times New Roman" w:hint="default"/>
      </w:rPr>
    </w:lvl>
    <w:lvl w:ilvl="2" w:tplc="1ED088A2">
      <w:start w:val="1"/>
      <w:numFmt w:val="lowerLetter"/>
      <w:lvlText w:val="%1%3."/>
      <w:lvlJc w:val="left"/>
      <w:pPr>
        <w:tabs>
          <w:tab w:val="num" w:pos="851"/>
        </w:tabs>
        <w:ind w:left="851" w:hanging="426"/>
      </w:pPr>
      <w:rPr>
        <w:rFonts w:cs="Times New Roman" w:hint="default"/>
      </w:rPr>
    </w:lvl>
    <w:lvl w:ilvl="3" w:tplc="194CF64C">
      <w:start w:val="1"/>
      <w:numFmt w:val="none"/>
      <w:lvlText w:val="%1"/>
      <w:lvlJc w:val="left"/>
      <w:pPr>
        <w:tabs>
          <w:tab w:val="num" w:pos="2880"/>
        </w:tabs>
        <w:ind w:left="1728" w:hanging="648"/>
      </w:pPr>
      <w:rPr>
        <w:rFonts w:cs="Times New Roman" w:hint="default"/>
      </w:rPr>
    </w:lvl>
    <w:lvl w:ilvl="4" w:tplc="8464621E">
      <w:start w:val="1"/>
      <w:numFmt w:val="none"/>
      <w:lvlText w:val="%1"/>
      <w:lvlJc w:val="left"/>
      <w:pPr>
        <w:tabs>
          <w:tab w:val="num" w:pos="3600"/>
        </w:tabs>
        <w:ind w:left="2232" w:hanging="792"/>
      </w:pPr>
      <w:rPr>
        <w:rFonts w:cs="Times New Roman" w:hint="default"/>
      </w:rPr>
    </w:lvl>
    <w:lvl w:ilvl="5" w:tplc="9D7413D6">
      <w:start w:val="1"/>
      <w:numFmt w:val="none"/>
      <w:lvlText w:val="%1"/>
      <w:lvlJc w:val="left"/>
      <w:pPr>
        <w:tabs>
          <w:tab w:val="num" w:pos="4320"/>
        </w:tabs>
        <w:ind w:left="2736" w:hanging="936"/>
      </w:pPr>
      <w:rPr>
        <w:rFonts w:cs="Times New Roman" w:hint="default"/>
      </w:rPr>
    </w:lvl>
    <w:lvl w:ilvl="6" w:tplc="52840DF2">
      <w:start w:val="1"/>
      <w:numFmt w:val="none"/>
      <w:lvlText w:val="%1"/>
      <w:lvlJc w:val="left"/>
      <w:pPr>
        <w:tabs>
          <w:tab w:val="num" w:pos="5040"/>
        </w:tabs>
        <w:ind w:left="3240" w:hanging="1080"/>
      </w:pPr>
      <w:rPr>
        <w:rFonts w:cs="Times New Roman" w:hint="default"/>
      </w:rPr>
    </w:lvl>
    <w:lvl w:ilvl="7" w:tplc="6E288CB2">
      <w:start w:val="1"/>
      <w:numFmt w:val="decimal"/>
      <w:lvlText w:val="%1.%2.%3.%4.%5.%6.%7.%8."/>
      <w:lvlJc w:val="left"/>
      <w:pPr>
        <w:tabs>
          <w:tab w:val="num" w:pos="5760"/>
        </w:tabs>
        <w:ind w:left="3744" w:hanging="1224"/>
      </w:pPr>
      <w:rPr>
        <w:rFonts w:cs="Times New Roman" w:hint="default"/>
      </w:rPr>
    </w:lvl>
    <w:lvl w:ilvl="8" w:tplc="0B46E81C">
      <w:start w:val="1"/>
      <w:numFmt w:val="decimal"/>
      <w:lvlText w:val="%1.%2.%3.%4.%5.%6.%7.%8.%9."/>
      <w:lvlJc w:val="left"/>
      <w:pPr>
        <w:tabs>
          <w:tab w:val="num" w:pos="6480"/>
        </w:tabs>
        <w:ind w:left="4320" w:hanging="1440"/>
      </w:pPr>
      <w:rPr>
        <w:rFonts w:cs="Times New Roman" w:hint="default"/>
      </w:rPr>
    </w:lvl>
  </w:abstractNum>
  <w:num w:numId="1">
    <w:abstractNumId w:val="25"/>
  </w:num>
  <w:num w:numId="2">
    <w:abstractNumId w:val="22"/>
  </w:num>
  <w:num w:numId="3">
    <w:abstractNumId w:val="6"/>
  </w:num>
  <w:num w:numId="4">
    <w:abstractNumId w:val="20"/>
  </w:num>
  <w:num w:numId="5">
    <w:abstractNumId w:val="14"/>
  </w:num>
  <w:num w:numId="6">
    <w:abstractNumId w:val="8"/>
  </w:num>
  <w:num w:numId="7">
    <w:abstractNumId w:val="9"/>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4"/>
  </w:num>
  <w:num w:numId="11">
    <w:abstractNumId w:val="24"/>
  </w:num>
  <w:num w:numId="12">
    <w:abstractNumId w:val="17"/>
  </w:num>
  <w:num w:numId="13">
    <w:abstractNumId w:val="3"/>
  </w:num>
  <w:num w:numId="14">
    <w:abstractNumId w:val="5"/>
  </w:num>
  <w:num w:numId="15">
    <w:abstractNumId w:val="10"/>
  </w:num>
  <w:num w:numId="16">
    <w:abstractNumId w:val="0"/>
  </w:num>
  <w:num w:numId="17">
    <w:abstractNumId w:val="2"/>
  </w:num>
  <w:num w:numId="18">
    <w:abstractNumId w:val="1"/>
  </w:num>
  <w:num w:numId="19">
    <w:abstractNumId w:val="16"/>
  </w:num>
  <w:num w:numId="20">
    <w:abstractNumId w:val="19"/>
  </w:num>
  <w:num w:numId="21">
    <w:abstractNumId w:val="11"/>
  </w:num>
  <w:num w:numId="22">
    <w:abstractNumId w:val="18"/>
  </w:num>
  <w:num w:numId="23">
    <w:abstractNumId w:val="13"/>
  </w:num>
  <w:num w:numId="24">
    <w:abstractNumId w:val="15"/>
  </w:num>
  <w:num w:numId="25">
    <w:abstractNumId w:val="12"/>
  </w:num>
  <w:num w:numId="26">
    <w:abstractNumId w:val="7"/>
  </w:num>
  <w:num w:numId="27">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enforcement="0"/>
  <w:defaultTabStop w:val="720"/>
  <w:doNotShadeFormData/>
  <w:characterSpacingControl w:val="doNotCompress"/>
  <w:hdrShapeDefaults>
    <o:shapedefaults v:ext="edit" spidmax="2049"/>
  </w:hdrShapeDefaults>
  <w:footnotePr>
    <w:numRestart w:val="eachSec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wDoc" w:val="Created"/>
    <w:docVar w:name="VerNumber" w:val="3.9.0"/>
  </w:docVars>
  <w:rsids>
    <w:rsidRoot w:val="00044FE7"/>
    <w:rsid w:val="00000153"/>
    <w:rsid w:val="00000766"/>
    <w:rsid w:val="00000B96"/>
    <w:rsid w:val="00001411"/>
    <w:rsid w:val="000019B2"/>
    <w:rsid w:val="00001E72"/>
    <w:rsid w:val="00001EE5"/>
    <w:rsid w:val="00002275"/>
    <w:rsid w:val="00002801"/>
    <w:rsid w:val="00003A70"/>
    <w:rsid w:val="00003B95"/>
    <w:rsid w:val="00003C08"/>
    <w:rsid w:val="00003E09"/>
    <w:rsid w:val="00004E3B"/>
    <w:rsid w:val="0000505F"/>
    <w:rsid w:val="000071A5"/>
    <w:rsid w:val="00007926"/>
    <w:rsid w:val="000079A2"/>
    <w:rsid w:val="000079C0"/>
    <w:rsid w:val="00007F90"/>
    <w:rsid w:val="000103B9"/>
    <w:rsid w:val="00010595"/>
    <w:rsid w:val="000106C3"/>
    <w:rsid w:val="00010950"/>
    <w:rsid w:val="00010EE1"/>
    <w:rsid w:val="00011135"/>
    <w:rsid w:val="0001136E"/>
    <w:rsid w:val="000118C5"/>
    <w:rsid w:val="00011DF3"/>
    <w:rsid w:val="00012458"/>
    <w:rsid w:val="00013C62"/>
    <w:rsid w:val="000140A9"/>
    <w:rsid w:val="000142F1"/>
    <w:rsid w:val="0001460F"/>
    <w:rsid w:val="00014F7D"/>
    <w:rsid w:val="000152B4"/>
    <w:rsid w:val="000166B7"/>
    <w:rsid w:val="00017A45"/>
    <w:rsid w:val="00017B45"/>
    <w:rsid w:val="00017C0F"/>
    <w:rsid w:val="000200A6"/>
    <w:rsid w:val="00021306"/>
    <w:rsid w:val="000222F1"/>
    <w:rsid w:val="00022BE0"/>
    <w:rsid w:val="00022F52"/>
    <w:rsid w:val="00023080"/>
    <w:rsid w:val="000232CE"/>
    <w:rsid w:val="000233CB"/>
    <w:rsid w:val="0002370C"/>
    <w:rsid w:val="000239A7"/>
    <w:rsid w:val="00023C95"/>
    <w:rsid w:val="00023E62"/>
    <w:rsid w:val="00023E96"/>
    <w:rsid w:val="00024592"/>
    <w:rsid w:val="000245D3"/>
    <w:rsid w:val="000251D0"/>
    <w:rsid w:val="00025367"/>
    <w:rsid w:val="00025B04"/>
    <w:rsid w:val="00025CC4"/>
    <w:rsid w:val="00026555"/>
    <w:rsid w:val="000265CA"/>
    <w:rsid w:val="000266C9"/>
    <w:rsid w:val="00026AC0"/>
    <w:rsid w:val="00027122"/>
    <w:rsid w:val="00030317"/>
    <w:rsid w:val="00030A02"/>
    <w:rsid w:val="00030D4A"/>
    <w:rsid w:val="000318E3"/>
    <w:rsid w:val="00031D00"/>
    <w:rsid w:val="0003270C"/>
    <w:rsid w:val="00032741"/>
    <w:rsid w:val="000333F9"/>
    <w:rsid w:val="0003380D"/>
    <w:rsid w:val="00033902"/>
    <w:rsid w:val="00033BB4"/>
    <w:rsid w:val="00034154"/>
    <w:rsid w:val="000355B1"/>
    <w:rsid w:val="000363FB"/>
    <w:rsid w:val="00036ACA"/>
    <w:rsid w:val="0003786D"/>
    <w:rsid w:val="00037C83"/>
    <w:rsid w:val="0004016B"/>
    <w:rsid w:val="000404D5"/>
    <w:rsid w:val="000407D8"/>
    <w:rsid w:val="00040E14"/>
    <w:rsid w:val="00042B4F"/>
    <w:rsid w:val="0004359E"/>
    <w:rsid w:val="00043C03"/>
    <w:rsid w:val="00043ECC"/>
    <w:rsid w:val="0004400A"/>
    <w:rsid w:val="000445EE"/>
    <w:rsid w:val="00044FD5"/>
    <w:rsid w:val="00044FE7"/>
    <w:rsid w:val="00045131"/>
    <w:rsid w:val="000457B1"/>
    <w:rsid w:val="00045828"/>
    <w:rsid w:val="00045901"/>
    <w:rsid w:val="00045AD0"/>
    <w:rsid w:val="00045BAD"/>
    <w:rsid w:val="00046ABA"/>
    <w:rsid w:val="000470D9"/>
    <w:rsid w:val="0004755E"/>
    <w:rsid w:val="000475D2"/>
    <w:rsid w:val="00047FC0"/>
    <w:rsid w:val="00050C55"/>
    <w:rsid w:val="00050D7E"/>
    <w:rsid w:val="000511A6"/>
    <w:rsid w:val="00051403"/>
    <w:rsid w:val="00051859"/>
    <w:rsid w:val="00051B1F"/>
    <w:rsid w:val="00051FE8"/>
    <w:rsid w:val="00052F44"/>
    <w:rsid w:val="00052F64"/>
    <w:rsid w:val="0005415D"/>
    <w:rsid w:val="0005456B"/>
    <w:rsid w:val="00055135"/>
    <w:rsid w:val="0005543F"/>
    <w:rsid w:val="00056EE6"/>
    <w:rsid w:val="00056FEF"/>
    <w:rsid w:val="00057561"/>
    <w:rsid w:val="000575FA"/>
    <w:rsid w:val="0006004A"/>
    <w:rsid w:val="0006047F"/>
    <w:rsid w:val="0006053F"/>
    <w:rsid w:val="00061D9C"/>
    <w:rsid w:val="000633B3"/>
    <w:rsid w:val="0006470E"/>
    <w:rsid w:val="0006501D"/>
    <w:rsid w:val="00065121"/>
    <w:rsid w:val="000653D0"/>
    <w:rsid w:val="000653E7"/>
    <w:rsid w:val="000663F7"/>
    <w:rsid w:val="000664A4"/>
    <w:rsid w:val="00066E1C"/>
    <w:rsid w:val="00067080"/>
    <w:rsid w:val="000671A2"/>
    <w:rsid w:val="00067371"/>
    <w:rsid w:val="00067890"/>
    <w:rsid w:val="000702DC"/>
    <w:rsid w:val="00070899"/>
    <w:rsid w:val="00070D5C"/>
    <w:rsid w:val="00070EEB"/>
    <w:rsid w:val="00071299"/>
    <w:rsid w:val="0007130C"/>
    <w:rsid w:val="00071878"/>
    <w:rsid w:val="000719CF"/>
    <w:rsid w:val="00072272"/>
    <w:rsid w:val="00072DE3"/>
    <w:rsid w:val="0007307B"/>
    <w:rsid w:val="0007524C"/>
    <w:rsid w:val="0007532E"/>
    <w:rsid w:val="00075BAF"/>
    <w:rsid w:val="000766BF"/>
    <w:rsid w:val="000767AC"/>
    <w:rsid w:val="0007695E"/>
    <w:rsid w:val="00076A78"/>
    <w:rsid w:val="00076C08"/>
    <w:rsid w:val="000779C9"/>
    <w:rsid w:val="00077B13"/>
    <w:rsid w:val="0008026F"/>
    <w:rsid w:val="00080CEC"/>
    <w:rsid w:val="00080F9D"/>
    <w:rsid w:val="0008156B"/>
    <w:rsid w:val="00081B49"/>
    <w:rsid w:val="00081B62"/>
    <w:rsid w:val="00081FBC"/>
    <w:rsid w:val="00082659"/>
    <w:rsid w:val="00082B07"/>
    <w:rsid w:val="00082B2E"/>
    <w:rsid w:val="00082BAC"/>
    <w:rsid w:val="00083DFD"/>
    <w:rsid w:val="00084E48"/>
    <w:rsid w:val="0008570B"/>
    <w:rsid w:val="00085D64"/>
    <w:rsid w:val="000860CC"/>
    <w:rsid w:val="00086128"/>
    <w:rsid w:val="0008731F"/>
    <w:rsid w:val="00090D8D"/>
    <w:rsid w:val="00091295"/>
    <w:rsid w:val="00091CC6"/>
    <w:rsid w:val="00093598"/>
    <w:rsid w:val="0009381F"/>
    <w:rsid w:val="00093827"/>
    <w:rsid w:val="00093A11"/>
    <w:rsid w:val="00094680"/>
    <w:rsid w:val="000946BB"/>
    <w:rsid w:val="00095040"/>
    <w:rsid w:val="000956FD"/>
    <w:rsid w:val="000A0184"/>
    <w:rsid w:val="000A1944"/>
    <w:rsid w:val="000A19F2"/>
    <w:rsid w:val="000A245A"/>
    <w:rsid w:val="000A25B9"/>
    <w:rsid w:val="000A2807"/>
    <w:rsid w:val="000A36EE"/>
    <w:rsid w:val="000A3C43"/>
    <w:rsid w:val="000A5C5D"/>
    <w:rsid w:val="000A651A"/>
    <w:rsid w:val="000A6E4B"/>
    <w:rsid w:val="000A79FC"/>
    <w:rsid w:val="000B0212"/>
    <w:rsid w:val="000B03AE"/>
    <w:rsid w:val="000B07A1"/>
    <w:rsid w:val="000B08BB"/>
    <w:rsid w:val="000B0C5D"/>
    <w:rsid w:val="000B1176"/>
    <w:rsid w:val="000B1437"/>
    <w:rsid w:val="000B1908"/>
    <w:rsid w:val="000B1A2E"/>
    <w:rsid w:val="000B1AE2"/>
    <w:rsid w:val="000B23E6"/>
    <w:rsid w:val="000B2CB0"/>
    <w:rsid w:val="000B30F8"/>
    <w:rsid w:val="000B3D28"/>
    <w:rsid w:val="000B3E49"/>
    <w:rsid w:val="000B3F5A"/>
    <w:rsid w:val="000B5C43"/>
    <w:rsid w:val="000B7077"/>
    <w:rsid w:val="000B7170"/>
    <w:rsid w:val="000B726E"/>
    <w:rsid w:val="000B7C0A"/>
    <w:rsid w:val="000C0019"/>
    <w:rsid w:val="000C031E"/>
    <w:rsid w:val="000C036A"/>
    <w:rsid w:val="000C0557"/>
    <w:rsid w:val="000C0905"/>
    <w:rsid w:val="000C0DEC"/>
    <w:rsid w:val="000C165A"/>
    <w:rsid w:val="000C199D"/>
    <w:rsid w:val="000C19CE"/>
    <w:rsid w:val="000C1D45"/>
    <w:rsid w:val="000C266B"/>
    <w:rsid w:val="000C2D60"/>
    <w:rsid w:val="000C30D8"/>
    <w:rsid w:val="000C3663"/>
    <w:rsid w:val="000C3AF6"/>
    <w:rsid w:val="000C3B98"/>
    <w:rsid w:val="000C3D34"/>
    <w:rsid w:val="000C4468"/>
    <w:rsid w:val="000C4589"/>
    <w:rsid w:val="000C4791"/>
    <w:rsid w:val="000C4D4E"/>
    <w:rsid w:val="000C4E23"/>
    <w:rsid w:val="000C4ED3"/>
    <w:rsid w:val="000C53DE"/>
    <w:rsid w:val="000C57D5"/>
    <w:rsid w:val="000C5A21"/>
    <w:rsid w:val="000C5CDF"/>
    <w:rsid w:val="000C6040"/>
    <w:rsid w:val="000C647E"/>
    <w:rsid w:val="000C6A87"/>
    <w:rsid w:val="000C6AE8"/>
    <w:rsid w:val="000C7364"/>
    <w:rsid w:val="000C7ACF"/>
    <w:rsid w:val="000D00C0"/>
    <w:rsid w:val="000D1CB0"/>
    <w:rsid w:val="000D20A2"/>
    <w:rsid w:val="000D2208"/>
    <w:rsid w:val="000D2CD3"/>
    <w:rsid w:val="000D3024"/>
    <w:rsid w:val="000D36BF"/>
    <w:rsid w:val="000D4F8C"/>
    <w:rsid w:val="000D4F90"/>
    <w:rsid w:val="000D5087"/>
    <w:rsid w:val="000D55B5"/>
    <w:rsid w:val="000D58BD"/>
    <w:rsid w:val="000D5ED5"/>
    <w:rsid w:val="000D6209"/>
    <w:rsid w:val="000D6526"/>
    <w:rsid w:val="000D67E7"/>
    <w:rsid w:val="000D6EAD"/>
    <w:rsid w:val="000D7F7C"/>
    <w:rsid w:val="000E02BE"/>
    <w:rsid w:val="000E0848"/>
    <w:rsid w:val="000E2D97"/>
    <w:rsid w:val="000E3308"/>
    <w:rsid w:val="000E3817"/>
    <w:rsid w:val="000E3FD7"/>
    <w:rsid w:val="000E452D"/>
    <w:rsid w:val="000E5CB9"/>
    <w:rsid w:val="000E7B43"/>
    <w:rsid w:val="000E7E31"/>
    <w:rsid w:val="000F004E"/>
    <w:rsid w:val="000F0840"/>
    <w:rsid w:val="000F150D"/>
    <w:rsid w:val="000F3487"/>
    <w:rsid w:val="000F37BB"/>
    <w:rsid w:val="000F3A4A"/>
    <w:rsid w:val="000F4481"/>
    <w:rsid w:val="000F535E"/>
    <w:rsid w:val="000F57BB"/>
    <w:rsid w:val="000F58B5"/>
    <w:rsid w:val="000F6324"/>
    <w:rsid w:val="000F75A3"/>
    <w:rsid w:val="00100225"/>
    <w:rsid w:val="00100FC6"/>
    <w:rsid w:val="001011CD"/>
    <w:rsid w:val="0010133B"/>
    <w:rsid w:val="00101961"/>
    <w:rsid w:val="00101CD4"/>
    <w:rsid w:val="00101E34"/>
    <w:rsid w:val="0010256C"/>
    <w:rsid w:val="00102870"/>
    <w:rsid w:val="0010324E"/>
    <w:rsid w:val="00103CA6"/>
    <w:rsid w:val="00103D73"/>
    <w:rsid w:val="00103DBE"/>
    <w:rsid w:val="00104DF4"/>
    <w:rsid w:val="0010558D"/>
    <w:rsid w:val="00105759"/>
    <w:rsid w:val="00105AA8"/>
    <w:rsid w:val="00105C5D"/>
    <w:rsid w:val="0010654C"/>
    <w:rsid w:val="00106801"/>
    <w:rsid w:val="00106894"/>
    <w:rsid w:val="00106C0C"/>
    <w:rsid w:val="00107BD2"/>
    <w:rsid w:val="00110396"/>
    <w:rsid w:val="00110539"/>
    <w:rsid w:val="0011061F"/>
    <w:rsid w:val="00110D05"/>
    <w:rsid w:val="00110F15"/>
    <w:rsid w:val="00111074"/>
    <w:rsid w:val="001110DB"/>
    <w:rsid w:val="00111FE2"/>
    <w:rsid w:val="0011200C"/>
    <w:rsid w:val="001129C5"/>
    <w:rsid w:val="00112DC7"/>
    <w:rsid w:val="00112F81"/>
    <w:rsid w:val="001141AA"/>
    <w:rsid w:val="00114825"/>
    <w:rsid w:val="00115D70"/>
    <w:rsid w:val="001160DA"/>
    <w:rsid w:val="00116B69"/>
    <w:rsid w:val="00116CD6"/>
    <w:rsid w:val="00117333"/>
    <w:rsid w:val="00120113"/>
    <w:rsid w:val="001208EC"/>
    <w:rsid w:val="00120D68"/>
    <w:rsid w:val="001211B7"/>
    <w:rsid w:val="0012256D"/>
    <w:rsid w:val="00122712"/>
    <w:rsid w:val="0012310E"/>
    <w:rsid w:val="001235DD"/>
    <w:rsid w:val="0012369A"/>
    <w:rsid w:val="001239EB"/>
    <w:rsid w:val="00123FCD"/>
    <w:rsid w:val="001243CD"/>
    <w:rsid w:val="0012460B"/>
    <w:rsid w:val="0012516C"/>
    <w:rsid w:val="00125CF1"/>
    <w:rsid w:val="001260B0"/>
    <w:rsid w:val="00126325"/>
    <w:rsid w:val="001265D2"/>
    <w:rsid w:val="00126B7F"/>
    <w:rsid w:val="00127373"/>
    <w:rsid w:val="0012770C"/>
    <w:rsid w:val="00130435"/>
    <w:rsid w:val="001309AC"/>
    <w:rsid w:val="00131A9A"/>
    <w:rsid w:val="00131CE4"/>
    <w:rsid w:val="0013241E"/>
    <w:rsid w:val="00133A17"/>
    <w:rsid w:val="00133C58"/>
    <w:rsid w:val="00133F6D"/>
    <w:rsid w:val="0013458D"/>
    <w:rsid w:val="00134EA8"/>
    <w:rsid w:val="00136578"/>
    <w:rsid w:val="001365F4"/>
    <w:rsid w:val="00140074"/>
    <w:rsid w:val="00140308"/>
    <w:rsid w:val="00140A20"/>
    <w:rsid w:val="00140DE9"/>
    <w:rsid w:val="001410B4"/>
    <w:rsid w:val="00141321"/>
    <w:rsid w:val="0014140D"/>
    <w:rsid w:val="00141B6F"/>
    <w:rsid w:val="001429F3"/>
    <w:rsid w:val="0014305C"/>
    <w:rsid w:val="0014336D"/>
    <w:rsid w:val="00143F26"/>
    <w:rsid w:val="00144480"/>
    <w:rsid w:val="001448A1"/>
    <w:rsid w:val="0014588F"/>
    <w:rsid w:val="00145CC0"/>
    <w:rsid w:val="0014660E"/>
    <w:rsid w:val="001467B9"/>
    <w:rsid w:val="00147367"/>
    <w:rsid w:val="0014750B"/>
    <w:rsid w:val="001477D1"/>
    <w:rsid w:val="00147904"/>
    <w:rsid w:val="00147A49"/>
    <w:rsid w:val="00150087"/>
    <w:rsid w:val="00150DAE"/>
    <w:rsid w:val="00151747"/>
    <w:rsid w:val="0015254E"/>
    <w:rsid w:val="00152C60"/>
    <w:rsid w:val="00153575"/>
    <w:rsid w:val="001535F3"/>
    <w:rsid w:val="00153DF0"/>
    <w:rsid w:val="0015427D"/>
    <w:rsid w:val="00154623"/>
    <w:rsid w:val="00154A93"/>
    <w:rsid w:val="00154E46"/>
    <w:rsid w:val="001557E0"/>
    <w:rsid w:val="001559D3"/>
    <w:rsid w:val="0015633F"/>
    <w:rsid w:val="00156E0C"/>
    <w:rsid w:val="00160691"/>
    <w:rsid w:val="0016081A"/>
    <w:rsid w:val="00160EDD"/>
    <w:rsid w:val="00161099"/>
    <w:rsid w:val="001613C3"/>
    <w:rsid w:val="0016156F"/>
    <w:rsid w:val="00162123"/>
    <w:rsid w:val="00162DDE"/>
    <w:rsid w:val="00163169"/>
    <w:rsid w:val="001631AA"/>
    <w:rsid w:val="00163F71"/>
    <w:rsid w:val="00164054"/>
    <w:rsid w:val="00165113"/>
    <w:rsid w:val="00165187"/>
    <w:rsid w:val="00165E5E"/>
    <w:rsid w:val="00167025"/>
    <w:rsid w:val="00167ED7"/>
    <w:rsid w:val="00167FCA"/>
    <w:rsid w:val="001701FD"/>
    <w:rsid w:val="0017020C"/>
    <w:rsid w:val="001704F0"/>
    <w:rsid w:val="001709E2"/>
    <w:rsid w:val="00171530"/>
    <w:rsid w:val="0017187D"/>
    <w:rsid w:val="00171895"/>
    <w:rsid w:val="00171C35"/>
    <w:rsid w:val="001722F8"/>
    <w:rsid w:val="001727D3"/>
    <w:rsid w:val="00173B98"/>
    <w:rsid w:val="00173F6F"/>
    <w:rsid w:val="0017415B"/>
    <w:rsid w:val="00174C10"/>
    <w:rsid w:val="001750DE"/>
    <w:rsid w:val="00175347"/>
    <w:rsid w:val="00175447"/>
    <w:rsid w:val="00175679"/>
    <w:rsid w:val="001761B5"/>
    <w:rsid w:val="001766B1"/>
    <w:rsid w:val="0017695B"/>
    <w:rsid w:val="00176C67"/>
    <w:rsid w:val="00177581"/>
    <w:rsid w:val="00177694"/>
    <w:rsid w:val="00177875"/>
    <w:rsid w:val="001779EF"/>
    <w:rsid w:val="001817A1"/>
    <w:rsid w:val="0018190C"/>
    <w:rsid w:val="00181E8E"/>
    <w:rsid w:val="00182B85"/>
    <w:rsid w:val="00183038"/>
    <w:rsid w:val="00183882"/>
    <w:rsid w:val="001843F1"/>
    <w:rsid w:val="001844B6"/>
    <w:rsid w:val="00184623"/>
    <w:rsid w:val="0018477D"/>
    <w:rsid w:val="001851A3"/>
    <w:rsid w:val="001851B9"/>
    <w:rsid w:val="00185225"/>
    <w:rsid w:val="001855B1"/>
    <w:rsid w:val="00185AC9"/>
    <w:rsid w:val="00185B00"/>
    <w:rsid w:val="00186628"/>
    <w:rsid w:val="00186B48"/>
    <w:rsid w:val="00186D01"/>
    <w:rsid w:val="00186EED"/>
    <w:rsid w:val="0019021E"/>
    <w:rsid w:val="00190293"/>
    <w:rsid w:val="00190D22"/>
    <w:rsid w:val="00190F9A"/>
    <w:rsid w:val="001929F0"/>
    <w:rsid w:val="001931B9"/>
    <w:rsid w:val="001936DD"/>
    <w:rsid w:val="0019385D"/>
    <w:rsid w:val="00194050"/>
    <w:rsid w:val="001942FB"/>
    <w:rsid w:val="00194745"/>
    <w:rsid w:val="00194E96"/>
    <w:rsid w:val="00194FEA"/>
    <w:rsid w:val="001951BC"/>
    <w:rsid w:val="0019599C"/>
    <w:rsid w:val="00195D42"/>
    <w:rsid w:val="0019691F"/>
    <w:rsid w:val="00196A02"/>
    <w:rsid w:val="00196E4A"/>
    <w:rsid w:val="00197227"/>
    <w:rsid w:val="001A000E"/>
    <w:rsid w:val="001A07F1"/>
    <w:rsid w:val="001A1763"/>
    <w:rsid w:val="001A26EC"/>
    <w:rsid w:val="001A2E0F"/>
    <w:rsid w:val="001A38C2"/>
    <w:rsid w:val="001A3B0B"/>
    <w:rsid w:val="001A4332"/>
    <w:rsid w:val="001A4432"/>
    <w:rsid w:val="001A46EE"/>
    <w:rsid w:val="001A478E"/>
    <w:rsid w:val="001A482D"/>
    <w:rsid w:val="001A492C"/>
    <w:rsid w:val="001A509E"/>
    <w:rsid w:val="001A55A9"/>
    <w:rsid w:val="001A6A63"/>
    <w:rsid w:val="001A6FE6"/>
    <w:rsid w:val="001A7672"/>
    <w:rsid w:val="001A7838"/>
    <w:rsid w:val="001A7B61"/>
    <w:rsid w:val="001A7BEF"/>
    <w:rsid w:val="001A7D6D"/>
    <w:rsid w:val="001B0188"/>
    <w:rsid w:val="001B0FD0"/>
    <w:rsid w:val="001B1210"/>
    <w:rsid w:val="001B1D70"/>
    <w:rsid w:val="001B2264"/>
    <w:rsid w:val="001B2B52"/>
    <w:rsid w:val="001B2ED9"/>
    <w:rsid w:val="001B2FFF"/>
    <w:rsid w:val="001B305C"/>
    <w:rsid w:val="001B31EF"/>
    <w:rsid w:val="001B34EB"/>
    <w:rsid w:val="001B3AB2"/>
    <w:rsid w:val="001B3C6C"/>
    <w:rsid w:val="001B3CB9"/>
    <w:rsid w:val="001B413A"/>
    <w:rsid w:val="001B4428"/>
    <w:rsid w:val="001B4881"/>
    <w:rsid w:val="001B5635"/>
    <w:rsid w:val="001B5C56"/>
    <w:rsid w:val="001B6739"/>
    <w:rsid w:val="001B6E4A"/>
    <w:rsid w:val="001B6F5A"/>
    <w:rsid w:val="001B6FD3"/>
    <w:rsid w:val="001B7258"/>
    <w:rsid w:val="001C0324"/>
    <w:rsid w:val="001C0555"/>
    <w:rsid w:val="001C0644"/>
    <w:rsid w:val="001C06E0"/>
    <w:rsid w:val="001C0AB0"/>
    <w:rsid w:val="001C0B58"/>
    <w:rsid w:val="001C10AA"/>
    <w:rsid w:val="001C13DD"/>
    <w:rsid w:val="001C13EE"/>
    <w:rsid w:val="001C13FF"/>
    <w:rsid w:val="001C1AE6"/>
    <w:rsid w:val="001C1C98"/>
    <w:rsid w:val="001C3169"/>
    <w:rsid w:val="001C3363"/>
    <w:rsid w:val="001C3430"/>
    <w:rsid w:val="001C3AF1"/>
    <w:rsid w:val="001C3FB3"/>
    <w:rsid w:val="001C3FBE"/>
    <w:rsid w:val="001C5B08"/>
    <w:rsid w:val="001C5EDA"/>
    <w:rsid w:val="001C7C39"/>
    <w:rsid w:val="001D09CC"/>
    <w:rsid w:val="001D0A02"/>
    <w:rsid w:val="001D0AF4"/>
    <w:rsid w:val="001D1039"/>
    <w:rsid w:val="001D12D6"/>
    <w:rsid w:val="001D1456"/>
    <w:rsid w:val="001D1FC0"/>
    <w:rsid w:val="001D2096"/>
    <w:rsid w:val="001D2323"/>
    <w:rsid w:val="001D23A0"/>
    <w:rsid w:val="001D2430"/>
    <w:rsid w:val="001D2A5C"/>
    <w:rsid w:val="001D3086"/>
    <w:rsid w:val="001D3A43"/>
    <w:rsid w:val="001D3C11"/>
    <w:rsid w:val="001D3D0F"/>
    <w:rsid w:val="001D3ED8"/>
    <w:rsid w:val="001D45E0"/>
    <w:rsid w:val="001D4AA8"/>
    <w:rsid w:val="001D4BD7"/>
    <w:rsid w:val="001D4D42"/>
    <w:rsid w:val="001D500F"/>
    <w:rsid w:val="001D5EC9"/>
    <w:rsid w:val="001D6B90"/>
    <w:rsid w:val="001D6BBF"/>
    <w:rsid w:val="001E01CA"/>
    <w:rsid w:val="001E06D2"/>
    <w:rsid w:val="001E0814"/>
    <w:rsid w:val="001E1323"/>
    <w:rsid w:val="001E152A"/>
    <w:rsid w:val="001E1DA0"/>
    <w:rsid w:val="001E286D"/>
    <w:rsid w:val="001E28CA"/>
    <w:rsid w:val="001E3E24"/>
    <w:rsid w:val="001E406F"/>
    <w:rsid w:val="001E43CE"/>
    <w:rsid w:val="001E4CD4"/>
    <w:rsid w:val="001E53DE"/>
    <w:rsid w:val="001E54E5"/>
    <w:rsid w:val="001E558A"/>
    <w:rsid w:val="001E55DF"/>
    <w:rsid w:val="001E5624"/>
    <w:rsid w:val="001E69A2"/>
    <w:rsid w:val="001E6A62"/>
    <w:rsid w:val="001E6C42"/>
    <w:rsid w:val="001E7260"/>
    <w:rsid w:val="001E778C"/>
    <w:rsid w:val="001E7FAA"/>
    <w:rsid w:val="001F0112"/>
    <w:rsid w:val="001F15F4"/>
    <w:rsid w:val="001F1C20"/>
    <w:rsid w:val="001F1C6C"/>
    <w:rsid w:val="001F31D5"/>
    <w:rsid w:val="001F38BB"/>
    <w:rsid w:val="001F4352"/>
    <w:rsid w:val="001F4E8E"/>
    <w:rsid w:val="001F5423"/>
    <w:rsid w:val="001F5DD9"/>
    <w:rsid w:val="001F6003"/>
    <w:rsid w:val="001F651A"/>
    <w:rsid w:val="001F69E9"/>
    <w:rsid w:val="001F6D18"/>
    <w:rsid w:val="001F6D51"/>
    <w:rsid w:val="001F71C9"/>
    <w:rsid w:val="001F729D"/>
    <w:rsid w:val="001F7AF5"/>
    <w:rsid w:val="001F7CF8"/>
    <w:rsid w:val="0020104C"/>
    <w:rsid w:val="00201268"/>
    <w:rsid w:val="0020151D"/>
    <w:rsid w:val="00201642"/>
    <w:rsid w:val="00201B79"/>
    <w:rsid w:val="00201BFC"/>
    <w:rsid w:val="00201ED8"/>
    <w:rsid w:val="002021C5"/>
    <w:rsid w:val="00202E56"/>
    <w:rsid w:val="002030D1"/>
    <w:rsid w:val="002033D6"/>
    <w:rsid w:val="00203758"/>
    <w:rsid w:val="0020380C"/>
    <w:rsid w:val="002039CC"/>
    <w:rsid w:val="00203DDB"/>
    <w:rsid w:val="002043FA"/>
    <w:rsid w:val="00204AB1"/>
    <w:rsid w:val="00204DF8"/>
    <w:rsid w:val="00205091"/>
    <w:rsid w:val="00205194"/>
    <w:rsid w:val="00205A5B"/>
    <w:rsid w:val="00205A84"/>
    <w:rsid w:val="00205E05"/>
    <w:rsid w:val="0020708B"/>
    <w:rsid w:val="00207B21"/>
    <w:rsid w:val="00207D2A"/>
    <w:rsid w:val="0021055E"/>
    <w:rsid w:val="002105A6"/>
    <w:rsid w:val="0021107C"/>
    <w:rsid w:val="00211257"/>
    <w:rsid w:val="00212092"/>
    <w:rsid w:val="0021390E"/>
    <w:rsid w:val="00214498"/>
    <w:rsid w:val="002144F0"/>
    <w:rsid w:val="00214535"/>
    <w:rsid w:val="00214BDD"/>
    <w:rsid w:val="00214DC7"/>
    <w:rsid w:val="00215CB0"/>
    <w:rsid w:val="00216F02"/>
    <w:rsid w:val="00217244"/>
    <w:rsid w:val="0021731F"/>
    <w:rsid w:val="00217CA1"/>
    <w:rsid w:val="002203F6"/>
    <w:rsid w:val="00220F29"/>
    <w:rsid w:val="00220FAE"/>
    <w:rsid w:val="00221472"/>
    <w:rsid w:val="00221F21"/>
    <w:rsid w:val="00221FAD"/>
    <w:rsid w:val="00222070"/>
    <w:rsid w:val="00222988"/>
    <w:rsid w:val="00223680"/>
    <w:rsid w:val="0022490F"/>
    <w:rsid w:val="00225CBC"/>
    <w:rsid w:val="00225F9C"/>
    <w:rsid w:val="002266F2"/>
    <w:rsid w:val="00227024"/>
    <w:rsid w:val="002274E5"/>
    <w:rsid w:val="0022767B"/>
    <w:rsid w:val="00227C6B"/>
    <w:rsid w:val="00227EBE"/>
    <w:rsid w:val="002306B7"/>
    <w:rsid w:val="00230BAA"/>
    <w:rsid w:val="00230D69"/>
    <w:rsid w:val="00231711"/>
    <w:rsid w:val="00231B49"/>
    <w:rsid w:val="00231ED2"/>
    <w:rsid w:val="0023224A"/>
    <w:rsid w:val="00232E73"/>
    <w:rsid w:val="00233100"/>
    <w:rsid w:val="0023355B"/>
    <w:rsid w:val="00233816"/>
    <w:rsid w:val="002347A2"/>
    <w:rsid w:val="00235318"/>
    <w:rsid w:val="0023597B"/>
    <w:rsid w:val="00235EC9"/>
    <w:rsid w:val="0023614B"/>
    <w:rsid w:val="00240401"/>
    <w:rsid w:val="00240A7C"/>
    <w:rsid w:val="00240AD8"/>
    <w:rsid w:val="00241738"/>
    <w:rsid w:val="0024223F"/>
    <w:rsid w:val="002425C2"/>
    <w:rsid w:val="002428E7"/>
    <w:rsid w:val="00242C41"/>
    <w:rsid w:val="002437A8"/>
    <w:rsid w:val="00243D81"/>
    <w:rsid w:val="002440BE"/>
    <w:rsid w:val="00244147"/>
    <w:rsid w:val="00244BFA"/>
    <w:rsid w:val="00244D8D"/>
    <w:rsid w:val="002453D7"/>
    <w:rsid w:val="00245C5D"/>
    <w:rsid w:val="00246342"/>
    <w:rsid w:val="00246360"/>
    <w:rsid w:val="002463CC"/>
    <w:rsid w:val="00246AF8"/>
    <w:rsid w:val="00250259"/>
    <w:rsid w:val="002502E0"/>
    <w:rsid w:val="0025086F"/>
    <w:rsid w:val="00250975"/>
    <w:rsid w:val="00251A37"/>
    <w:rsid w:val="00251ED1"/>
    <w:rsid w:val="002529BA"/>
    <w:rsid w:val="002530A8"/>
    <w:rsid w:val="00253F4D"/>
    <w:rsid w:val="0025591B"/>
    <w:rsid w:val="00255B11"/>
    <w:rsid w:val="0025786E"/>
    <w:rsid w:val="00260078"/>
    <w:rsid w:val="0026191F"/>
    <w:rsid w:val="00261A17"/>
    <w:rsid w:val="00261E10"/>
    <w:rsid w:val="0026228B"/>
    <w:rsid w:val="00262437"/>
    <w:rsid w:val="00262F53"/>
    <w:rsid w:val="00262FA3"/>
    <w:rsid w:val="0026391D"/>
    <w:rsid w:val="0026421E"/>
    <w:rsid w:val="002643A4"/>
    <w:rsid w:val="00264E4F"/>
    <w:rsid w:val="00265153"/>
    <w:rsid w:val="002652EF"/>
    <w:rsid w:val="0026604F"/>
    <w:rsid w:val="00266C06"/>
    <w:rsid w:val="00267455"/>
    <w:rsid w:val="0027029D"/>
    <w:rsid w:val="00270B9A"/>
    <w:rsid w:val="00270C5C"/>
    <w:rsid w:val="002718D6"/>
    <w:rsid w:val="00271967"/>
    <w:rsid w:val="00271A39"/>
    <w:rsid w:val="00271BDB"/>
    <w:rsid w:val="00271CE0"/>
    <w:rsid w:val="00272539"/>
    <w:rsid w:val="00272F62"/>
    <w:rsid w:val="00272FA0"/>
    <w:rsid w:val="002737E7"/>
    <w:rsid w:val="00273A3C"/>
    <w:rsid w:val="00273F90"/>
    <w:rsid w:val="002749E6"/>
    <w:rsid w:val="00274BDB"/>
    <w:rsid w:val="00275012"/>
    <w:rsid w:val="00275418"/>
    <w:rsid w:val="00275F9B"/>
    <w:rsid w:val="00276EB4"/>
    <w:rsid w:val="00276F49"/>
    <w:rsid w:val="0028015F"/>
    <w:rsid w:val="00280F21"/>
    <w:rsid w:val="0028156A"/>
    <w:rsid w:val="00281E7E"/>
    <w:rsid w:val="002824B8"/>
    <w:rsid w:val="00282DA8"/>
    <w:rsid w:val="00282ECF"/>
    <w:rsid w:val="00282EFA"/>
    <w:rsid w:val="002837FC"/>
    <w:rsid w:val="00284625"/>
    <w:rsid w:val="002847E7"/>
    <w:rsid w:val="00284C30"/>
    <w:rsid w:val="002854C5"/>
    <w:rsid w:val="002858BC"/>
    <w:rsid w:val="0028627A"/>
    <w:rsid w:val="00286282"/>
    <w:rsid w:val="0028662E"/>
    <w:rsid w:val="002869F3"/>
    <w:rsid w:val="00286FB8"/>
    <w:rsid w:val="002871D8"/>
    <w:rsid w:val="0028755A"/>
    <w:rsid w:val="00287BA8"/>
    <w:rsid w:val="00287DF9"/>
    <w:rsid w:val="00287F35"/>
    <w:rsid w:val="0029027F"/>
    <w:rsid w:val="00290335"/>
    <w:rsid w:val="002906A1"/>
    <w:rsid w:val="00290A6A"/>
    <w:rsid w:val="00291097"/>
    <w:rsid w:val="0029158C"/>
    <w:rsid w:val="00292803"/>
    <w:rsid w:val="00292840"/>
    <w:rsid w:val="00292857"/>
    <w:rsid w:val="0029346E"/>
    <w:rsid w:val="0029386F"/>
    <w:rsid w:val="00293C20"/>
    <w:rsid w:val="0029428C"/>
    <w:rsid w:val="0029495D"/>
    <w:rsid w:val="002949F7"/>
    <w:rsid w:val="00295025"/>
    <w:rsid w:val="002955C6"/>
    <w:rsid w:val="00296809"/>
    <w:rsid w:val="002968FD"/>
    <w:rsid w:val="00296BD0"/>
    <w:rsid w:val="00297B45"/>
    <w:rsid w:val="00297BD4"/>
    <w:rsid w:val="002A06DA"/>
    <w:rsid w:val="002A19E3"/>
    <w:rsid w:val="002A1A93"/>
    <w:rsid w:val="002A1CBD"/>
    <w:rsid w:val="002A1F72"/>
    <w:rsid w:val="002A2A31"/>
    <w:rsid w:val="002A3DE4"/>
    <w:rsid w:val="002A450D"/>
    <w:rsid w:val="002A456F"/>
    <w:rsid w:val="002A4D28"/>
    <w:rsid w:val="002A4ED8"/>
    <w:rsid w:val="002A59A3"/>
    <w:rsid w:val="002A6E2B"/>
    <w:rsid w:val="002A7323"/>
    <w:rsid w:val="002A7B11"/>
    <w:rsid w:val="002B0C7C"/>
    <w:rsid w:val="002B1820"/>
    <w:rsid w:val="002B246F"/>
    <w:rsid w:val="002B2572"/>
    <w:rsid w:val="002B2CF3"/>
    <w:rsid w:val="002B3A73"/>
    <w:rsid w:val="002B3C2A"/>
    <w:rsid w:val="002B3EAD"/>
    <w:rsid w:val="002B3F57"/>
    <w:rsid w:val="002B45E4"/>
    <w:rsid w:val="002B4CB6"/>
    <w:rsid w:val="002B4D79"/>
    <w:rsid w:val="002B553C"/>
    <w:rsid w:val="002B5A6F"/>
    <w:rsid w:val="002B6323"/>
    <w:rsid w:val="002B6DC0"/>
    <w:rsid w:val="002B7335"/>
    <w:rsid w:val="002B77F5"/>
    <w:rsid w:val="002C10DE"/>
    <w:rsid w:val="002C1521"/>
    <w:rsid w:val="002C1D0C"/>
    <w:rsid w:val="002C1EC2"/>
    <w:rsid w:val="002C2D65"/>
    <w:rsid w:val="002C2E3C"/>
    <w:rsid w:val="002C331D"/>
    <w:rsid w:val="002C3481"/>
    <w:rsid w:val="002C435A"/>
    <w:rsid w:val="002C4C79"/>
    <w:rsid w:val="002C5185"/>
    <w:rsid w:val="002C5E83"/>
    <w:rsid w:val="002C6978"/>
    <w:rsid w:val="002C6FD2"/>
    <w:rsid w:val="002C73BD"/>
    <w:rsid w:val="002D03A6"/>
    <w:rsid w:val="002D1AE9"/>
    <w:rsid w:val="002D1DCD"/>
    <w:rsid w:val="002D2BEC"/>
    <w:rsid w:val="002D2D7E"/>
    <w:rsid w:val="002D304E"/>
    <w:rsid w:val="002D3103"/>
    <w:rsid w:val="002D3649"/>
    <w:rsid w:val="002D3B28"/>
    <w:rsid w:val="002D4104"/>
    <w:rsid w:val="002D4177"/>
    <w:rsid w:val="002D4E46"/>
    <w:rsid w:val="002D52FA"/>
    <w:rsid w:val="002D548B"/>
    <w:rsid w:val="002D5978"/>
    <w:rsid w:val="002D5C0E"/>
    <w:rsid w:val="002D5E3F"/>
    <w:rsid w:val="002D606F"/>
    <w:rsid w:val="002D6183"/>
    <w:rsid w:val="002D6358"/>
    <w:rsid w:val="002D6389"/>
    <w:rsid w:val="002D66B1"/>
    <w:rsid w:val="002D7431"/>
    <w:rsid w:val="002D7616"/>
    <w:rsid w:val="002D7A31"/>
    <w:rsid w:val="002D7C5D"/>
    <w:rsid w:val="002D7ECF"/>
    <w:rsid w:val="002E0170"/>
    <w:rsid w:val="002E0BCB"/>
    <w:rsid w:val="002E0DAD"/>
    <w:rsid w:val="002E0FC6"/>
    <w:rsid w:val="002E191D"/>
    <w:rsid w:val="002E198B"/>
    <w:rsid w:val="002E1A6B"/>
    <w:rsid w:val="002E1C94"/>
    <w:rsid w:val="002E20CE"/>
    <w:rsid w:val="002E227E"/>
    <w:rsid w:val="002E246A"/>
    <w:rsid w:val="002E296B"/>
    <w:rsid w:val="002E46DE"/>
    <w:rsid w:val="002E4B1C"/>
    <w:rsid w:val="002E4BC0"/>
    <w:rsid w:val="002E4CE1"/>
    <w:rsid w:val="002E5406"/>
    <w:rsid w:val="002E6AC8"/>
    <w:rsid w:val="002E730C"/>
    <w:rsid w:val="002E78D7"/>
    <w:rsid w:val="002F061D"/>
    <w:rsid w:val="002F0C91"/>
    <w:rsid w:val="002F0DE6"/>
    <w:rsid w:val="002F0EA5"/>
    <w:rsid w:val="002F0F9D"/>
    <w:rsid w:val="002F12E1"/>
    <w:rsid w:val="002F15A4"/>
    <w:rsid w:val="002F1CB1"/>
    <w:rsid w:val="002F1F20"/>
    <w:rsid w:val="002F2169"/>
    <w:rsid w:val="002F26DE"/>
    <w:rsid w:val="002F3529"/>
    <w:rsid w:val="002F3633"/>
    <w:rsid w:val="002F38B7"/>
    <w:rsid w:val="002F3CF4"/>
    <w:rsid w:val="002F3FB1"/>
    <w:rsid w:val="002F581D"/>
    <w:rsid w:val="002F5B67"/>
    <w:rsid w:val="002F653C"/>
    <w:rsid w:val="002F6DB2"/>
    <w:rsid w:val="002F6FCE"/>
    <w:rsid w:val="002F705E"/>
    <w:rsid w:val="002F70AF"/>
    <w:rsid w:val="002F73E2"/>
    <w:rsid w:val="002F7762"/>
    <w:rsid w:val="002F7D4C"/>
    <w:rsid w:val="00300CED"/>
    <w:rsid w:val="00300D77"/>
    <w:rsid w:val="00301ABC"/>
    <w:rsid w:val="00302910"/>
    <w:rsid w:val="00302A64"/>
    <w:rsid w:val="003030E1"/>
    <w:rsid w:val="003030E3"/>
    <w:rsid w:val="003039A6"/>
    <w:rsid w:val="00303EA2"/>
    <w:rsid w:val="003044AD"/>
    <w:rsid w:val="00304677"/>
    <w:rsid w:val="00304C1D"/>
    <w:rsid w:val="00305BC3"/>
    <w:rsid w:val="00305D38"/>
    <w:rsid w:val="003063D2"/>
    <w:rsid w:val="003069E8"/>
    <w:rsid w:val="00307737"/>
    <w:rsid w:val="00307E85"/>
    <w:rsid w:val="00310266"/>
    <w:rsid w:val="00310269"/>
    <w:rsid w:val="00310BBC"/>
    <w:rsid w:val="00310E67"/>
    <w:rsid w:val="003111DB"/>
    <w:rsid w:val="003112CE"/>
    <w:rsid w:val="00311373"/>
    <w:rsid w:val="003114CB"/>
    <w:rsid w:val="00311666"/>
    <w:rsid w:val="00311CCB"/>
    <w:rsid w:val="00312A1D"/>
    <w:rsid w:val="00312F9A"/>
    <w:rsid w:val="0031368F"/>
    <w:rsid w:val="00313937"/>
    <w:rsid w:val="00313B0F"/>
    <w:rsid w:val="00313E85"/>
    <w:rsid w:val="003142C7"/>
    <w:rsid w:val="00314466"/>
    <w:rsid w:val="003149E9"/>
    <w:rsid w:val="00314D99"/>
    <w:rsid w:val="003154B3"/>
    <w:rsid w:val="00315B52"/>
    <w:rsid w:val="00316203"/>
    <w:rsid w:val="0031634D"/>
    <w:rsid w:val="003165A3"/>
    <w:rsid w:val="00316B83"/>
    <w:rsid w:val="00316C15"/>
    <w:rsid w:val="00317182"/>
    <w:rsid w:val="003174E6"/>
    <w:rsid w:val="0031789E"/>
    <w:rsid w:val="00317DAD"/>
    <w:rsid w:val="00317DCB"/>
    <w:rsid w:val="003203BD"/>
    <w:rsid w:val="003203C7"/>
    <w:rsid w:val="00320415"/>
    <w:rsid w:val="00320683"/>
    <w:rsid w:val="00320E29"/>
    <w:rsid w:val="0032116A"/>
    <w:rsid w:val="00321822"/>
    <w:rsid w:val="00322101"/>
    <w:rsid w:val="00322650"/>
    <w:rsid w:val="003228BF"/>
    <w:rsid w:val="00322E0B"/>
    <w:rsid w:val="00323107"/>
    <w:rsid w:val="00323132"/>
    <w:rsid w:val="0032314F"/>
    <w:rsid w:val="003235FC"/>
    <w:rsid w:val="003237B2"/>
    <w:rsid w:val="00323B71"/>
    <w:rsid w:val="00323C5A"/>
    <w:rsid w:val="00324485"/>
    <w:rsid w:val="00326304"/>
    <w:rsid w:val="003263B9"/>
    <w:rsid w:val="00326530"/>
    <w:rsid w:val="00326C52"/>
    <w:rsid w:val="00326EF6"/>
    <w:rsid w:val="00327C40"/>
    <w:rsid w:val="00327DCD"/>
    <w:rsid w:val="00330ADF"/>
    <w:rsid w:val="00330B4C"/>
    <w:rsid w:val="00331C2E"/>
    <w:rsid w:val="00331DCE"/>
    <w:rsid w:val="00331E24"/>
    <w:rsid w:val="00332055"/>
    <w:rsid w:val="00332280"/>
    <w:rsid w:val="003323DB"/>
    <w:rsid w:val="00332B05"/>
    <w:rsid w:val="003330C7"/>
    <w:rsid w:val="003331E2"/>
    <w:rsid w:val="00333DA3"/>
    <w:rsid w:val="00333DB9"/>
    <w:rsid w:val="00333F95"/>
    <w:rsid w:val="0033478B"/>
    <w:rsid w:val="0033525A"/>
    <w:rsid w:val="00335C9A"/>
    <w:rsid w:val="00336839"/>
    <w:rsid w:val="00336CDD"/>
    <w:rsid w:val="00336E66"/>
    <w:rsid w:val="00337122"/>
    <w:rsid w:val="00337C75"/>
    <w:rsid w:val="003409BF"/>
    <w:rsid w:val="003419D4"/>
    <w:rsid w:val="00342767"/>
    <w:rsid w:val="00344EC8"/>
    <w:rsid w:val="0034540B"/>
    <w:rsid w:val="00345525"/>
    <w:rsid w:val="00345852"/>
    <w:rsid w:val="003466C3"/>
    <w:rsid w:val="00346704"/>
    <w:rsid w:val="00346F81"/>
    <w:rsid w:val="00347039"/>
    <w:rsid w:val="00347E7B"/>
    <w:rsid w:val="00350B54"/>
    <w:rsid w:val="00350BF8"/>
    <w:rsid w:val="00351302"/>
    <w:rsid w:val="0035178E"/>
    <w:rsid w:val="00351878"/>
    <w:rsid w:val="00352549"/>
    <w:rsid w:val="00353456"/>
    <w:rsid w:val="00353B6F"/>
    <w:rsid w:val="00353C50"/>
    <w:rsid w:val="0035471B"/>
    <w:rsid w:val="00354E3B"/>
    <w:rsid w:val="00354FF3"/>
    <w:rsid w:val="00355773"/>
    <w:rsid w:val="00355E73"/>
    <w:rsid w:val="003560A5"/>
    <w:rsid w:val="00356841"/>
    <w:rsid w:val="00356F70"/>
    <w:rsid w:val="00357724"/>
    <w:rsid w:val="00357DAD"/>
    <w:rsid w:val="003603FE"/>
    <w:rsid w:val="003604F2"/>
    <w:rsid w:val="00360C31"/>
    <w:rsid w:val="0036122A"/>
    <w:rsid w:val="00361F7E"/>
    <w:rsid w:val="00363343"/>
    <w:rsid w:val="00363A14"/>
    <w:rsid w:val="00363D60"/>
    <w:rsid w:val="003640B6"/>
    <w:rsid w:val="00364715"/>
    <w:rsid w:val="00364AB8"/>
    <w:rsid w:val="0036517C"/>
    <w:rsid w:val="00365687"/>
    <w:rsid w:val="003657AB"/>
    <w:rsid w:val="00365EBE"/>
    <w:rsid w:val="00365F9A"/>
    <w:rsid w:val="00370A03"/>
    <w:rsid w:val="00370A6C"/>
    <w:rsid w:val="00371BCA"/>
    <w:rsid w:val="00372318"/>
    <w:rsid w:val="0037236F"/>
    <w:rsid w:val="00372A69"/>
    <w:rsid w:val="00373B21"/>
    <w:rsid w:val="0037425A"/>
    <w:rsid w:val="003746BE"/>
    <w:rsid w:val="00374ACF"/>
    <w:rsid w:val="00374E21"/>
    <w:rsid w:val="0037591C"/>
    <w:rsid w:val="00376491"/>
    <w:rsid w:val="0037777F"/>
    <w:rsid w:val="00377F3F"/>
    <w:rsid w:val="00380189"/>
    <w:rsid w:val="0038059D"/>
    <w:rsid w:val="00380A15"/>
    <w:rsid w:val="00380F26"/>
    <w:rsid w:val="00381107"/>
    <w:rsid w:val="00381308"/>
    <w:rsid w:val="003818E8"/>
    <w:rsid w:val="0038198F"/>
    <w:rsid w:val="00383295"/>
    <w:rsid w:val="0038394E"/>
    <w:rsid w:val="003848EF"/>
    <w:rsid w:val="00384905"/>
    <w:rsid w:val="00384A75"/>
    <w:rsid w:val="00384E91"/>
    <w:rsid w:val="003858DC"/>
    <w:rsid w:val="003859A8"/>
    <w:rsid w:val="00385BF8"/>
    <w:rsid w:val="00386560"/>
    <w:rsid w:val="00390284"/>
    <w:rsid w:val="00390C5E"/>
    <w:rsid w:val="0039140B"/>
    <w:rsid w:val="003920ED"/>
    <w:rsid w:val="003921F7"/>
    <w:rsid w:val="00392343"/>
    <w:rsid w:val="00393B12"/>
    <w:rsid w:val="003943FA"/>
    <w:rsid w:val="003946A1"/>
    <w:rsid w:val="00394D2B"/>
    <w:rsid w:val="00395DFD"/>
    <w:rsid w:val="00395E60"/>
    <w:rsid w:val="00395F95"/>
    <w:rsid w:val="003961B2"/>
    <w:rsid w:val="00396257"/>
    <w:rsid w:val="0039645F"/>
    <w:rsid w:val="00396C1A"/>
    <w:rsid w:val="0039718D"/>
    <w:rsid w:val="003972F5"/>
    <w:rsid w:val="00397462"/>
    <w:rsid w:val="00397A47"/>
    <w:rsid w:val="003A0243"/>
    <w:rsid w:val="003A06BE"/>
    <w:rsid w:val="003A07A4"/>
    <w:rsid w:val="003A0BB5"/>
    <w:rsid w:val="003A12B1"/>
    <w:rsid w:val="003A151C"/>
    <w:rsid w:val="003A1724"/>
    <w:rsid w:val="003A1ECF"/>
    <w:rsid w:val="003A2307"/>
    <w:rsid w:val="003A2B10"/>
    <w:rsid w:val="003A38B6"/>
    <w:rsid w:val="003A3966"/>
    <w:rsid w:val="003A3D44"/>
    <w:rsid w:val="003A4543"/>
    <w:rsid w:val="003A4E1C"/>
    <w:rsid w:val="003A52F8"/>
    <w:rsid w:val="003A53C5"/>
    <w:rsid w:val="003A5C43"/>
    <w:rsid w:val="003A5D41"/>
    <w:rsid w:val="003A5EEC"/>
    <w:rsid w:val="003A5FA8"/>
    <w:rsid w:val="003A6079"/>
    <w:rsid w:val="003A60A9"/>
    <w:rsid w:val="003A675A"/>
    <w:rsid w:val="003A68AB"/>
    <w:rsid w:val="003A6BF7"/>
    <w:rsid w:val="003A6C7F"/>
    <w:rsid w:val="003A7406"/>
    <w:rsid w:val="003A7572"/>
    <w:rsid w:val="003B00FB"/>
    <w:rsid w:val="003B04F0"/>
    <w:rsid w:val="003B106F"/>
    <w:rsid w:val="003B11AB"/>
    <w:rsid w:val="003B1336"/>
    <w:rsid w:val="003B19E9"/>
    <w:rsid w:val="003B1A8C"/>
    <w:rsid w:val="003B20FC"/>
    <w:rsid w:val="003B23DE"/>
    <w:rsid w:val="003B2927"/>
    <w:rsid w:val="003B2E4C"/>
    <w:rsid w:val="003B307E"/>
    <w:rsid w:val="003B30DD"/>
    <w:rsid w:val="003B3A41"/>
    <w:rsid w:val="003B3E18"/>
    <w:rsid w:val="003B42E1"/>
    <w:rsid w:val="003B59E9"/>
    <w:rsid w:val="003B6635"/>
    <w:rsid w:val="003B6B48"/>
    <w:rsid w:val="003B72CF"/>
    <w:rsid w:val="003B78AB"/>
    <w:rsid w:val="003B7F4B"/>
    <w:rsid w:val="003C21DC"/>
    <w:rsid w:val="003C2D2C"/>
    <w:rsid w:val="003C2DEE"/>
    <w:rsid w:val="003C2E02"/>
    <w:rsid w:val="003C2E46"/>
    <w:rsid w:val="003C2F2A"/>
    <w:rsid w:val="003C3006"/>
    <w:rsid w:val="003C3549"/>
    <w:rsid w:val="003C3970"/>
    <w:rsid w:val="003C3AC6"/>
    <w:rsid w:val="003C4286"/>
    <w:rsid w:val="003C45ED"/>
    <w:rsid w:val="003C49FF"/>
    <w:rsid w:val="003C4C52"/>
    <w:rsid w:val="003C5B5F"/>
    <w:rsid w:val="003C5C74"/>
    <w:rsid w:val="003C6C81"/>
    <w:rsid w:val="003D05A8"/>
    <w:rsid w:val="003D06FD"/>
    <w:rsid w:val="003D07A9"/>
    <w:rsid w:val="003D10E9"/>
    <w:rsid w:val="003D11C0"/>
    <w:rsid w:val="003D130E"/>
    <w:rsid w:val="003D21ED"/>
    <w:rsid w:val="003D2341"/>
    <w:rsid w:val="003D29A2"/>
    <w:rsid w:val="003D2AE6"/>
    <w:rsid w:val="003D2D82"/>
    <w:rsid w:val="003D33A3"/>
    <w:rsid w:val="003D34C9"/>
    <w:rsid w:val="003D389D"/>
    <w:rsid w:val="003D3AC8"/>
    <w:rsid w:val="003D3B75"/>
    <w:rsid w:val="003D4D50"/>
    <w:rsid w:val="003D572E"/>
    <w:rsid w:val="003D57B2"/>
    <w:rsid w:val="003D5BFF"/>
    <w:rsid w:val="003D6960"/>
    <w:rsid w:val="003D6A35"/>
    <w:rsid w:val="003D6DAE"/>
    <w:rsid w:val="003D7236"/>
    <w:rsid w:val="003D77EE"/>
    <w:rsid w:val="003D7D2B"/>
    <w:rsid w:val="003E024F"/>
    <w:rsid w:val="003E0405"/>
    <w:rsid w:val="003E0510"/>
    <w:rsid w:val="003E0740"/>
    <w:rsid w:val="003E17F3"/>
    <w:rsid w:val="003E1BBB"/>
    <w:rsid w:val="003E2295"/>
    <w:rsid w:val="003E3456"/>
    <w:rsid w:val="003E3842"/>
    <w:rsid w:val="003E3D09"/>
    <w:rsid w:val="003E533A"/>
    <w:rsid w:val="003E54B6"/>
    <w:rsid w:val="003E573B"/>
    <w:rsid w:val="003E58BD"/>
    <w:rsid w:val="003E5A75"/>
    <w:rsid w:val="003E5CDA"/>
    <w:rsid w:val="003E66BB"/>
    <w:rsid w:val="003E6FD6"/>
    <w:rsid w:val="003E793B"/>
    <w:rsid w:val="003E7A4D"/>
    <w:rsid w:val="003E7B51"/>
    <w:rsid w:val="003F0801"/>
    <w:rsid w:val="003F0D2E"/>
    <w:rsid w:val="003F169C"/>
    <w:rsid w:val="003F183B"/>
    <w:rsid w:val="003F1D29"/>
    <w:rsid w:val="003F1F49"/>
    <w:rsid w:val="003F20A9"/>
    <w:rsid w:val="003F214A"/>
    <w:rsid w:val="003F2BFC"/>
    <w:rsid w:val="003F2FA0"/>
    <w:rsid w:val="003F42A7"/>
    <w:rsid w:val="003F4E2F"/>
    <w:rsid w:val="003F5017"/>
    <w:rsid w:val="003F5E09"/>
    <w:rsid w:val="003F5EDA"/>
    <w:rsid w:val="003F5F08"/>
    <w:rsid w:val="003F6045"/>
    <w:rsid w:val="003F6474"/>
    <w:rsid w:val="003F71C5"/>
    <w:rsid w:val="003F7331"/>
    <w:rsid w:val="003F7736"/>
    <w:rsid w:val="003F7A91"/>
    <w:rsid w:val="003F7FD6"/>
    <w:rsid w:val="0040014A"/>
    <w:rsid w:val="00400426"/>
    <w:rsid w:val="004008BC"/>
    <w:rsid w:val="00400A99"/>
    <w:rsid w:val="00400E9F"/>
    <w:rsid w:val="00400FA5"/>
    <w:rsid w:val="00401347"/>
    <w:rsid w:val="004013A6"/>
    <w:rsid w:val="004016DE"/>
    <w:rsid w:val="00402051"/>
    <w:rsid w:val="0040231D"/>
    <w:rsid w:val="004025DC"/>
    <w:rsid w:val="00402E80"/>
    <w:rsid w:val="00403166"/>
    <w:rsid w:val="004041B8"/>
    <w:rsid w:val="004045CF"/>
    <w:rsid w:val="00404B19"/>
    <w:rsid w:val="00405228"/>
    <w:rsid w:val="00405ACA"/>
    <w:rsid w:val="00406D5E"/>
    <w:rsid w:val="00407AD9"/>
    <w:rsid w:val="004101AA"/>
    <w:rsid w:val="00410B6E"/>
    <w:rsid w:val="00411716"/>
    <w:rsid w:val="004118BC"/>
    <w:rsid w:val="00412167"/>
    <w:rsid w:val="004130CB"/>
    <w:rsid w:val="004137D6"/>
    <w:rsid w:val="00413905"/>
    <w:rsid w:val="00413EDE"/>
    <w:rsid w:val="0041418F"/>
    <w:rsid w:val="00414D61"/>
    <w:rsid w:val="00415128"/>
    <w:rsid w:val="00415552"/>
    <w:rsid w:val="00415766"/>
    <w:rsid w:val="00415B83"/>
    <w:rsid w:val="00415E7A"/>
    <w:rsid w:val="00416050"/>
    <w:rsid w:val="0041648D"/>
    <w:rsid w:val="0041689E"/>
    <w:rsid w:val="00417259"/>
    <w:rsid w:val="00417590"/>
    <w:rsid w:val="004175D4"/>
    <w:rsid w:val="00417901"/>
    <w:rsid w:val="0042039F"/>
    <w:rsid w:val="00420790"/>
    <w:rsid w:val="00420E3B"/>
    <w:rsid w:val="00421392"/>
    <w:rsid w:val="00421396"/>
    <w:rsid w:val="00421893"/>
    <w:rsid w:val="00422963"/>
    <w:rsid w:val="00422A9E"/>
    <w:rsid w:val="00423584"/>
    <w:rsid w:val="004240A9"/>
    <w:rsid w:val="0042494E"/>
    <w:rsid w:val="00424DB3"/>
    <w:rsid w:val="00426071"/>
    <w:rsid w:val="00426074"/>
    <w:rsid w:val="00426774"/>
    <w:rsid w:val="00426AB3"/>
    <w:rsid w:val="0042718B"/>
    <w:rsid w:val="00427915"/>
    <w:rsid w:val="00427AFF"/>
    <w:rsid w:val="00427D83"/>
    <w:rsid w:val="004303D2"/>
    <w:rsid w:val="00430D68"/>
    <w:rsid w:val="00431956"/>
    <w:rsid w:val="00431BA7"/>
    <w:rsid w:val="00431D23"/>
    <w:rsid w:val="00432445"/>
    <w:rsid w:val="004331E6"/>
    <w:rsid w:val="00433533"/>
    <w:rsid w:val="0043446F"/>
    <w:rsid w:val="0043590E"/>
    <w:rsid w:val="00435EF8"/>
    <w:rsid w:val="00436603"/>
    <w:rsid w:val="0043683F"/>
    <w:rsid w:val="00436857"/>
    <w:rsid w:val="0043755D"/>
    <w:rsid w:val="00437A69"/>
    <w:rsid w:val="004405C6"/>
    <w:rsid w:val="004406AD"/>
    <w:rsid w:val="004406D1"/>
    <w:rsid w:val="004408B9"/>
    <w:rsid w:val="00440A77"/>
    <w:rsid w:val="00441B6A"/>
    <w:rsid w:val="004420F6"/>
    <w:rsid w:val="004422A6"/>
    <w:rsid w:val="004442E2"/>
    <w:rsid w:val="00444E46"/>
    <w:rsid w:val="00444F70"/>
    <w:rsid w:val="00445634"/>
    <w:rsid w:val="004463FA"/>
    <w:rsid w:val="00446B38"/>
    <w:rsid w:val="004475DD"/>
    <w:rsid w:val="004501B3"/>
    <w:rsid w:val="0045093E"/>
    <w:rsid w:val="00452337"/>
    <w:rsid w:val="00452464"/>
    <w:rsid w:val="0045253C"/>
    <w:rsid w:val="00452635"/>
    <w:rsid w:val="00452B35"/>
    <w:rsid w:val="00452E85"/>
    <w:rsid w:val="004531F9"/>
    <w:rsid w:val="004532B4"/>
    <w:rsid w:val="00453643"/>
    <w:rsid w:val="004539F2"/>
    <w:rsid w:val="00453A26"/>
    <w:rsid w:val="00453E08"/>
    <w:rsid w:val="004547EA"/>
    <w:rsid w:val="0045569F"/>
    <w:rsid w:val="00455895"/>
    <w:rsid w:val="00455A97"/>
    <w:rsid w:val="00455EAA"/>
    <w:rsid w:val="00456494"/>
    <w:rsid w:val="0045651C"/>
    <w:rsid w:val="004566E7"/>
    <w:rsid w:val="00457408"/>
    <w:rsid w:val="004577E1"/>
    <w:rsid w:val="0045799A"/>
    <w:rsid w:val="00457BF5"/>
    <w:rsid w:val="00457C2D"/>
    <w:rsid w:val="00460566"/>
    <w:rsid w:val="00460821"/>
    <w:rsid w:val="00460EA7"/>
    <w:rsid w:val="00461204"/>
    <w:rsid w:val="00461C0F"/>
    <w:rsid w:val="00461DD7"/>
    <w:rsid w:val="0046207B"/>
    <w:rsid w:val="0046216D"/>
    <w:rsid w:val="0046238C"/>
    <w:rsid w:val="00462598"/>
    <w:rsid w:val="00463490"/>
    <w:rsid w:val="004638D0"/>
    <w:rsid w:val="00463A9E"/>
    <w:rsid w:val="00464482"/>
    <w:rsid w:val="004644A2"/>
    <w:rsid w:val="0046578B"/>
    <w:rsid w:val="00465F5D"/>
    <w:rsid w:val="00466178"/>
    <w:rsid w:val="00466326"/>
    <w:rsid w:val="00467620"/>
    <w:rsid w:val="00470048"/>
    <w:rsid w:val="004709D1"/>
    <w:rsid w:val="00470BEA"/>
    <w:rsid w:val="00470F1E"/>
    <w:rsid w:val="00470F92"/>
    <w:rsid w:val="00471060"/>
    <w:rsid w:val="004716AC"/>
    <w:rsid w:val="00471B07"/>
    <w:rsid w:val="00471E07"/>
    <w:rsid w:val="004720DE"/>
    <w:rsid w:val="004739B3"/>
    <w:rsid w:val="00473A02"/>
    <w:rsid w:val="00473D6F"/>
    <w:rsid w:val="00473E99"/>
    <w:rsid w:val="0047436B"/>
    <w:rsid w:val="00474A62"/>
    <w:rsid w:val="00475E7E"/>
    <w:rsid w:val="004763AF"/>
    <w:rsid w:val="00476E0F"/>
    <w:rsid w:val="0048005F"/>
    <w:rsid w:val="0048026B"/>
    <w:rsid w:val="00480C54"/>
    <w:rsid w:val="00480CC4"/>
    <w:rsid w:val="00481238"/>
    <w:rsid w:val="0048196D"/>
    <w:rsid w:val="00481DBF"/>
    <w:rsid w:val="00483015"/>
    <w:rsid w:val="004830CA"/>
    <w:rsid w:val="00483923"/>
    <w:rsid w:val="00483D27"/>
    <w:rsid w:val="00483E1A"/>
    <w:rsid w:val="00483FB7"/>
    <w:rsid w:val="00484B8B"/>
    <w:rsid w:val="00485114"/>
    <w:rsid w:val="004852A9"/>
    <w:rsid w:val="00485401"/>
    <w:rsid w:val="004855E1"/>
    <w:rsid w:val="004860C0"/>
    <w:rsid w:val="004869F9"/>
    <w:rsid w:val="00487074"/>
    <w:rsid w:val="004870E0"/>
    <w:rsid w:val="00487347"/>
    <w:rsid w:val="00487608"/>
    <w:rsid w:val="00487884"/>
    <w:rsid w:val="00487BCC"/>
    <w:rsid w:val="0049072A"/>
    <w:rsid w:val="00490FCE"/>
    <w:rsid w:val="00490FF7"/>
    <w:rsid w:val="0049241D"/>
    <w:rsid w:val="00492AA8"/>
    <w:rsid w:val="004930F6"/>
    <w:rsid w:val="004938A5"/>
    <w:rsid w:val="00493B5E"/>
    <w:rsid w:val="00493CA9"/>
    <w:rsid w:val="00493E3E"/>
    <w:rsid w:val="00493F7C"/>
    <w:rsid w:val="0049416F"/>
    <w:rsid w:val="0049421F"/>
    <w:rsid w:val="0049469E"/>
    <w:rsid w:val="004948C9"/>
    <w:rsid w:val="00495404"/>
    <w:rsid w:val="0049580C"/>
    <w:rsid w:val="004960DA"/>
    <w:rsid w:val="004965C5"/>
    <w:rsid w:val="00497931"/>
    <w:rsid w:val="004A0617"/>
    <w:rsid w:val="004A08FE"/>
    <w:rsid w:val="004A099C"/>
    <w:rsid w:val="004A14BC"/>
    <w:rsid w:val="004A3246"/>
    <w:rsid w:val="004A3A8F"/>
    <w:rsid w:val="004A3D93"/>
    <w:rsid w:val="004A3EFD"/>
    <w:rsid w:val="004A3F27"/>
    <w:rsid w:val="004A4DB9"/>
    <w:rsid w:val="004A5528"/>
    <w:rsid w:val="004A58CC"/>
    <w:rsid w:val="004A659A"/>
    <w:rsid w:val="004A6E81"/>
    <w:rsid w:val="004A7E39"/>
    <w:rsid w:val="004B1279"/>
    <w:rsid w:val="004B1880"/>
    <w:rsid w:val="004B19CA"/>
    <w:rsid w:val="004B2FEB"/>
    <w:rsid w:val="004B3B7B"/>
    <w:rsid w:val="004B3DA9"/>
    <w:rsid w:val="004B3EC0"/>
    <w:rsid w:val="004B493E"/>
    <w:rsid w:val="004B5251"/>
    <w:rsid w:val="004B529F"/>
    <w:rsid w:val="004B5A91"/>
    <w:rsid w:val="004B696C"/>
    <w:rsid w:val="004B7E21"/>
    <w:rsid w:val="004C0DDA"/>
    <w:rsid w:val="004C1BBB"/>
    <w:rsid w:val="004C38CD"/>
    <w:rsid w:val="004C3CF1"/>
    <w:rsid w:val="004C4387"/>
    <w:rsid w:val="004C4C8F"/>
    <w:rsid w:val="004C51AF"/>
    <w:rsid w:val="004C5754"/>
    <w:rsid w:val="004C6059"/>
    <w:rsid w:val="004C6C93"/>
    <w:rsid w:val="004C6E5A"/>
    <w:rsid w:val="004C7C4C"/>
    <w:rsid w:val="004C7DBC"/>
    <w:rsid w:val="004C7FF5"/>
    <w:rsid w:val="004D00EB"/>
    <w:rsid w:val="004D0574"/>
    <w:rsid w:val="004D0C7C"/>
    <w:rsid w:val="004D1099"/>
    <w:rsid w:val="004D118B"/>
    <w:rsid w:val="004D21C9"/>
    <w:rsid w:val="004D319B"/>
    <w:rsid w:val="004D3FE4"/>
    <w:rsid w:val="004D4278"/>
    <w:rsid w:val="004D477F"/>
    <w:rsid w:val="004D4A71"/>
    <w:rsid w:val="004D55EA"/>
    <w:rsid w:val="004D6429"/>
    <w:rsid w:val="004D6A72"/>
    <w:rsid w:val="004D6F37"/>
    <w:rsid w:val="004D7916"/>
    <w:rsid w:val="004D7E69"/>
    <w:rsid w:val="004E080A"/>
    <w:rsid w:val="004E1174"/>
    <w:rsid w:val="004E119B"/>
    <w:rsid w:val="004E11A8"/>
    <w:rsid w:val="004E1C5C"/>
    <w:rsid w:val="004E242F"/>
    <w:rsid w:val="004E28D7"/>
    <w:rsid w:val="004E29C6"/>
    <w:rsid w:val="004E2A03"/>
    <w:rsid w:val="004E2A82"/>
    <w:rsid w:val="004E3E8F"/>
    <w:rsid w:val="004E4095"/>
    <w:rsid w:val="004E5844"/>
    <w:rsid w:val="004E5E6C"/>
    <w:rsid w:val="004E5E8D"/>
    <w:rsid w:val="004E6683"/>
    <w:rsid w:val="004E6824"/>
    <w:rsid w:val="004E7221"/>
    <w:rsid w:val="004E7997"/>
    <w:rsid w:val="004E7AEC"/>
    <w:rsid w:val="004E7BCA"/>
    <w:rsid w:val="004F1136"/>
    <w:rsid w:val="004F1680"/>
    <w:rsid w:val="004F1F47"/>
    <w:rsid w:val="004F22C3"/>
    <w:rsid w:val="004F2EA0"/>
    <w:rsid w:val="004F325A"/>
    <w:rsid w:val="004F3523"/>
    <w:rsid w:val="004F38E3"/>
    <w:rsid w:val="004F53C0"/>
    <w:rsid w:val="004F598C"/>
    <w:rsid w:val="004F5E43"/>
    <w:rsid w:val="004F6FEA"/>
    <w:rsid w:val="004F72C6"/>
    <w:rsid w:val="004F72E4"/>
    <w:rsid w:val="004F73A0"/>
    <w:rsid w:val="004F7B6A"/>
    <w:rsid w:val="004F7BA3"/>
    <w:rsid w:val="004F7CF1"/>
    <w:rsid w:val="00500698"/>
    <w:rsid w:val="00500C9D"/>
    <w:rsid w:val="00501E36"/>
    <w:rsid w:val="005026BB"/>
    <w:rsid w:val="00502EFC"/>
    <w:rsid w:val="00503638"/>
    <w:rsid w:val="00503C39"/>
    <w:rsid w:val="00504359"/>
    <w:rsid w:val="00504649"/>
    <w:rsid w:val="005048AA"/>
    <w:rsid w:val="00504A30"/>
    <w:rsid w:val="005054AC"/>
    <w:rsid w:val="00505717"/>
    <w:rsid w:val="005064C7"/>
    <w:rsid w:val="00506528"/>
    <w:rsid w:val="00506A93"/>
    <w:rsid w:val="00506B0E"/>
    <w:rsid w:val="005074F5"/>
    <w:rsid w:val="00507986"/>
    <w:rsid w:val="005106C1"/>
    <w:rsid w:val="00510756"/>
    <w:rsid w:val="00510AC6"/>
    <w:rsid w:val="005116B1"/>
    <w:rsid w:val="00511A85"/>
    <w:rsid w:val="00511DD1"/>
    <w:rsid w:val="0051280C"/>
    <w:rsid w:val="005139C7"/>
    <w:rsid w:val="00513B12"/>
    <w:rsid w:val="00514170"/>
    <w:rsid w:val="005142B6"/>
    <w:rsid w:val="00514781"/>
    <w:rsid w:val="005147BC"/>
    <w:rsid w:val="00514C60"/>
    <w:rsid w:val="00516671"/>
    <w:rsid w:val="00516702"/>
    <w:rsid w:val="00517351"/>
    <w:rsid w:val="0051754D"/>
    <w:rsid w:val="00517DC4"/>
    <w:rsid w:val="005202D0"/>
    <w:rsid w:val="00520444"/>
    <w:rsid w:val="00521183"/>
    <w:rsid w:val="005216AE"/>
    <w:rsid w:val="00521876"/>
    <w:rsid w:val="00521D87"/>
    <w:rsid w:val="005221F4"/>
    <w:rsid w:val="005235D4"/>
    <w:rsid w:val="005238F6"/>
    <w:rsid w:val="005242BE"/>
    <w:rsid w:val="0052463E"/>
    <w:rsid w:val="005249B4"/>
    <w:rsid w:val="005250E6"/>
    <w:rsid w:val="005252B1"/>
    <w:rsid w:val="00525511"/>
    <w:rsid w:val="0052578B"/>
    <w:rsid w:val="0052579C"/>
    <w:rsid w:val="0052605B"/>
    <w:rsid w:val="005260C3"/>
    <w:rsid w:val="00526A0F"/>
    <w:rsid w:val="00526B28"/>
    <w:rsid w:val="00527387"/>
    <w:rsid w:val="00527579"/>
    <w:rsid w:val="005278E9"/>
    <w:rsid w:val="00527A7D"/>
    <w:rsid w:val="00527C09"/>
    <w:rsid w:val="00530F9C"/>
    <w:rsid w:val="005320FF"/>
    <w:rsid w:val="00532493"/>
    <w:rsid w:val="00532559"/>
    <w:rsid w:val="00533330"/>
    <w:rsid w:val="005333E2"/>
    <w:rsid w:val="00533D7B"/>
    <w:rsid w:val="00535433"/>
    <w:rsid w:val="00536340"/>
    <w:rsid w:val="0053672D"/>
    <w:rsid w:val="0053698E"/>
    <w:rsid w:val="00537003"/>
    <w:rsid w:val="00537D03"/>
    <w:rsid w:val="00537ECF"/>
    <w:rsid w:val="00540352"/>
    <w:rsid w:val="005409C5"/>
    <w:rsid w:val="00540A7C"/>
    <w:rsid w:val="0054109D"/>
    <w:rsid w:val="00542114"/>
    <w:rsid w:val="00542A43"/>
    <w:rsid w:val="005432FE"/>
    <w:rsid w:val="005437E4"/>
    <w:rsid w:val="00543AA8"/>
    <w:rsid w:val="00544292"/>
    <w:rsid w:val="005448AD"/>
    <w:rsid w:val="0054526E"/>
    <w:rsid w:val="005456EC"/>
    <w:rsid w:val="00545A02"/>
    <w:rsid w:val="00546B11"/>
    <w:rsid w:val="00547154"/>
    <w:rsid w:val="005476AC"/>
    <w:rsid w:val="005504E7"/>
    <w:rsid w:val="005505B0"/>
    <w:rsid w:val="00550D53"/>
    <w:rsid w:val="00550F21"/>
    <w:rsid w:val="00552FA9"/>
    <w:rsid w:val="00553439"/>
    <w:rsid w:val="00553A2E"/>
    <w:rsid w:val="00554590"/>
    <w:rsid w:val="00554668"/>
    <w:rsid w:val="00554795"/>
    <w:rsid w:val="005552EE"/>
    <w:rsid w:val="00556DEA"/>
    <w:rsid w:val="00560465"/>
    <w:rsid w:val="00560640"/>
    <w:rsid w:val="005606E0"/>
    <w:rsid w:val="0056070C"/>
    <w:rsid w:val="00560972"/>
    <w:rsid w:val="00560D65"/>
    <w:rsid w:val="00560F25"/>
    <w:rsid w:val="00561856"/>
    <w:rsid w:val="00561BEB"/>
    <w:rsid w:val="005622F2"/>
    <w:rsid w:val="0056238F"/>
    <w:rsid w:val="00562485"/>
    <w:rsid w:val="00563487"/>
    <w:rsid w:val="00563F7B"/>
    <w:rsid w:val="005640A6"/>
    <w:rsid w:val="00564A9A"/>
    <w:rsid w:val="0056664A"/>
    <w:rsid w:val="0056667B"/>
    <w:rsid w:val="0056749F"/>
    <w:rsid w:val="0056761C"/>
    <w:rsid w:val="00567C09"/>
    <w:rsid w:val="00567DF7"/>
    <w:rsid w:val="00567EF3"/>
    <w:rsid w:val="00567F69"/>
    <w:rsid w:val="00570E87"/>
    <w:rsid w:val="00570F8E"/>
    <w:rsid w:val="005719FD"/>
    <w:rsid w:val="00571B06"/>
    <w:rsid w:val="00571D42"/>
    <w:rsid w:val="0057200B"/>
    <w:rsid w:val="00572118"/>
    <w:rsid w:val="00572A1D"/>
    <w:rsid w:val="0057328F"/>
    <w:rsid w:val="00573359"/>
    <w:rsid w:val="00573432"/>
    <w:rsid w:val="00574170"/>
    <w:rsid w:val="00574A89"/>
    <w:rsid w:val="00574D58"/>
    <w:rsid w:val="00574F25"/>
    <w:rsid w:val="00575743"/>
    <w:rsid w:val="00575FFA"/>
    <w:rsid w:val="00576479"/>
    <w:rsid w:val="00576F30"/>
    <w:rsid w:val="005800E7"/>
    <w:rsid w:val="005801DE"/>
    <w:rsid w:val="00580323"/>
    <w:rsid w:val="005809C6"/>
    <w:rsid w:val="00580A0C"/>
    <w:rsid w:val="005817FD"/>
    <w:rsid w:val="00581E31"/>
    <w:rsid w:val="005822F8"/>
    <w:rsid w:val="00582388"/>
    <w:rsid w:val="005823E7"/>
    <w:rsid w:val="00582997"/>
    <w:rsid w:val="00582ADE"/>
    <w:rsid w:val="00582AFF"/>
    <w:rsid w:val="00582F10"/>
    <w:rsid w:val="00583557"/>
    <w:rsid w:val="0058383E"/>
    <w:rsid w:val="00583A96"/>
    <w:rsid w:val="00583FB0"/>
    <w:rsid w:val="00584328"/>
    <w:rsid w:val="0058550D"/>
    <w:rsid w:val="00585D72"/>
    <w:rsid w:val="0058678A"/>
    <w:rsid w:val="00586CE4"/>
    <w:rsid w:val="00586D82"/>
    <w:rsid w:val="005875FD"/>
    <w:rsid w:val="005879B8"/>
    <w:rsid w:val="00587F4F"/>
    <w:rsid w:val="00587F86"/>
    <w:rsid w:val="00590A24"/>
    <w:rsid w:val="00590CA6"/>
    <w:rsid w:val="00591130"/>
    <w:rsid w:val="005935DB"/>
    <w:rsid w:val="00593648"/>
    <w:rsid w:val="00593E89"/>
    <w:rsid w:val="00594141"/>
    <w:rsid w:val="0059444B"/>
    <w:rsid w:val="00594AC6"/>
    <w:rsid w:val="00594F99"/>
    <w:rsid w:val="0059654F"/>
    <w:rsid w:val="0059679F"/>
    <w:rsid w:val="005969D1"/>
    <w:rsid w:val="00596F19"/>
    <w:rsid w:val="005970B5"/>
    <w:rsid w:val="00597732"/>
    <w:rsid w:val="005978D0"/>
    <w:rsid w:val="005A0026"/>
    <w:rsid w:val="005A0247"/>
    <w:rsid w:val="005A03A1"/>
    <w:rsid w:val="005A0B86"/>
    <w:rsid w:val="005A0E4E"/>
    <w:rsid w:val="005A179A"/>
    <w:rsid w:val="005A2021"/>
    <w:rsid w:val="005A2FC0"/>
    <w:rsid w:val="005A32C3"/>
    <w:rsid w:val="005A37C2"/>
    <w:rsid w:val="005A3880"/>
    <w:rsid w:val="005A3D24"/>
    <w:rsid w:val="005A4AA5"/>
    <w:rsid w:val="005A54E6"/>
    <w:rsid w:val="005A5B35"/>
    <w:rsid w:val="005A6311"/>
    <w:rsid w:val="005A66F6"/>
    <w:rsid w:val="005A6951"/>
    <w:rsid w:val="005A6A0E"/>
    <w:rsid w:val="005A6E5E"/>
    <w:rsid w:val="005A7A14"/>
    <w:rsid w:val="005B04A9"/>
    <w:rsid w:val="005B0641"/>
    <w:rsid w:val="005B0DDE"/>
    <w:rsid w:val="005B0E8E"/>
    <w:rsid w:val="005B1C29"/>
    <w:rsid w:val="005B1CBE"/>
    <w:rsid w:val="005B26A5"/>
    <w:rsid w:val="005B2DAC"/>
    <w:rsid w:val="005B341F"/>
    <w:rsid w:val="005B4164"/>
    <w:rsid w:val="005B435D"/>
    <w:rsid w:val="005B44D6"/>
    <w:rsid w:val="005B4713"/>
    <w:rsid w:val="005B4762"/>
    <w:rsid w:val="005B47E1"/>
    <w:rsid w:val="005B50D9"/>
    <w:rsid w:val="005B54DC"/>
    <w:rsid w:val="005B5651"/>
    <w:rsid w:val="005B566A"/>
    <w:rsid w:val="005B5C3F"/>
    <w:rsid w:val="005B5FFB"/>
    <w:rsid w:val="005B613F"/>
    <w:rsid w:val="005B63C0"/>
    <w:rsid w:val="005B6527"/>
    <w:rsid w:val="005B69C1"/>
    <w:rsid w:val="005B6AE7"/>
    <w:rsid w:val="005B74AF"/>
    <w:rsid w:val="005B7562"/>
    <w:rsid w:val="005C0057"/>
    <w:rsid w:val="005C0E7F"/>
    <w:rsid w:val="005C1799"/>
    <w:rsid w:val="005C1A47"/>
    <w:rsid w:val="005C22DA"/>
    <w:rsid w:val="005C3A0A"/>
    <w:rsid w:val="005C49BF"/>
    <w:rsid w:val="005C5169"/>
    <w:rsid w:val="005C61B5"/>
    <w:rsid w:val="005C680B"/>
    <w:rsid w:val="005C73DF"/>
    <w:rsid w:val="005C743E"/>
    <w:rsid w:val="005C7CEB"/>
    <w:rsid w:val="005C7CF5"/>
    <w:rsid w:val="005D0BD1"/>
    <w:rsid w:val="005D10AD"/>
    <w:rsid w:val="005D10ED"/>
    <w:rsid w:val="005D1E15"/>
    <w:rsid w:val="005D27B8"/>
    <w:rsid w:val="005D29EA"/>
    <w:rsid w:val="005D2E03"/>
    <w:rsid w:val="005D38B4"/>
    <w:rsid w:val="005D3E03"/>
    <w:rsid w:val="005D4544"/>
    <w:rsid w:val="005D4602"/>
    <w:rsid w:val="005D4F09"/>
    <w:rsid w:val="005D5178"/>
    <w:rsid w:val="005D565E"/>
    <w:rsid w:val="005D5C96"/>
    <w:rsid w:val="005D6454"/>
    <w:rsid w:val="005D6EA8"/>
    <w:rsid w:val="005D6F05"/>
    <w:rsid w:val="005E04FC"/>
    <w:rsid w:val="005E0623"/>
    <w:rsid w:val="005E06EE"/>
    <w:rsid w:val="005E0993"/>
    <w:rsid w:val="005E10E3"/>
    <w:rsid w:val="005E19C1"/>
    <w:rsid w:val="005E1FEA"/>
    <w:rsid w:val="005E32E6"/>
    <w:rsid w:val="005E3597"/>
    <w:rsid w:val="005E3BA6"/>
    <w:rsid w:val="005E3FC7"/>
    <w:rsid w:val="005E4D32"/>
    <w:rsid w:val="005E52EC"/>
    <w:rsid w:val="005E5F85"/>
    <w:rsid w:val="005E5FBD"/>
    <w:rsid w:val="005E67D6"/>
    <w:rsid w:val="005E7185"/>
    <w:rsid w:val="005E764D"/>
    <w:rsid w:val="005E7F24"/>
    <w:rsid w:val="005F160A"/>
    <w:rsid w:val="005F2AF1"/>
    <w:rsid w:val="005F32E7"/>
    <w:rsid w:val="005F3C27"/>
    <w:rsid w:val="005F3DE1"/>
    <w:rsid w:val="005F44C9"/>
    <w:rsid w:val="005F4820"/>
    <w:rsid w:val="005F4C1E"/>
    <w:rsid w:val="005F4FF5"/>
    <w:rsid w:val="005F54D7"/>
    <w:rsid w:val="005F60B5"/>
    <w:rsid w:val="005F698B"/>
    <w:rsid w:val="005F6CCA"/>
    <w:rsid w:val="005F744C"/>
    <w:rsid w:val="005F7D6E"/>
    <w:rsid w:val="0060009A"/>
    <w:rsid w:val="00600956"/>
    <w:rsid w:val="00600BB1"/>
    <w:rsid w:val="00600C99"/>
    <w:rsid w:val="00600F91"/>
    <w:rsid w:val="006011E1"/>
    <w:rsid w:val="006015FE"/>
    <w:rsid w:val="00601D6B"/>
    <w:rsid w:val="00601EB8"/>
    <w:rsid w:val="00601F2F"/>
    <w:rsid w:val="00602401"/>
    <w:rsid w:val="00602EE4"/>
    <w:rsid w:val="00603642"/>
    <w:rsid w:val="00604158"/>
    <w:rsid w:val="0060510A"/>
    <w:rsid w:val="006056A4"/>
    <w:rsid w:val="00605DFF"/>
    <w:rsid w:val="006062A5"/>
    <w:rsid w:val="0060666C"/>
    <w:rsid w:val="00606C5F"/>
    <w:rsid w:val="00606ED1"/>
    <w:rsid w:val="00607FE3"/>
    <w:rsid w:val="00610422"/>
    <w:rsid w:val="00610BD5"/>
    <w:rsid w:val="00610EE6"/>
    <w:rsid w:val="0061103F"/>
    <w:rsid w:val="0061123B"/>
    <w:rsid w:val="006114E0"/>
    <w:rsid w:val="00611E37"/>
    <w:rsid w:val="00611EB8"/>
    <w:rsid w:val="006128EE"/>
    <w:rsid w:val="006134DD"/>
    <w:rsid w:val="006135B9"/>
    <w:rsid w:val="00613743"/>
    <w:rsid w:val="00614611"/>
    <w:rsid w:val="0061467C"/>
    <w:rsid w:val="00614CE6"/>
    <w:rsid w:val="00615C9C"/>
    <w:rsid w:val="00615CA5"/>
    <w:rsid w:val="00615D43"/>
    <w:rsid w:val="0061617C"/>
    <w:rsid w:val="006167BA"/>
    <w:rsid w:val="00616AE1"/>
    <w:rsid w:val="00616BCC"/>
    <w:rsid w:val="00616E00"/>
    <w:rsid w:val="0061761A"/>
    <w:rsid w:val="0061780E"/>
    <w:rsid w:val="006201CD"/>
    <w:rsid w:val="00620269"/>
    <w:rsid w:val="00620B9F"/>
    <w:rsid w:val="00621C4A"/>
    <w:rsid w:val="00621E40"/>
    <w:rsid w:val="00621F93"/>
    <w:rsid w:val="00622448"/>
    <w:rsid w:val="00622B1F"/>
    <w:rsid w:val="006237EC"/>
    <w:rsid w:val="00623DFF"/>
    <w:rsid w:val="00623EEF"/>
    <w:rsid w:val="00624299"/>
    <w:rsid w:val="00624316"/>
    <w:rsid w:val="006243EB"/>
    <w:rsid w:val="00624CA1"/>
    <w:rsid w:val="00625536"/>
    <w:rsid w:val="006256CF"/>
    <w:rsid w:val="006259F0"/>
    <w:rsid w:val="00625A11"/>
    <w:rsid w:val="00625AC1"/>
    <w:rsid w:val="006262DE"/>
    <w:rsid w:val="00626698"/>
    <w:rsid w:val="006267F8"/>
    <w:rsid w:val="0062683C"/>
    <w:rsid w:val="006275FB"/>
    <w:rsid w:val="00627A90"/>
    <w:rsid w:val="00630003"/>
    <w:rsid w:val="006305B4"/>
    <w:rsid w:val="00630966"/>
    <w:rsid w:val="00630B05"/>
    <w:rsid w:val="00630EC4"/>
    <w:rsid w:val="00630EC9"/>
    <w:rsid w:val="006311BC"/>
    <w:rsid w:val="0063151C"/>
    <w:rsid w:val="00631B4C"/>
    <w:rsid w:val="00631D7A"/>
    <w:rsid w:val="006320C0"/>
    <w:rsid w:val="00632522"/>
    <w:rsid w:val="006328B1"/>
    <w:rsid w:val="00632CB9"/>
    <w:rsid w:val="00633255"/>
    <w:rsid w:val="006337FE"/>
    <w:rsid w:val="00633E12"/>
    <w:rsid w:val="00635198"/>
    <w:rsid w:val="00635BAE"/>
    <w:rsid w:val="00635CF7"/>
    <w:rsid w:val="006363B2"/>
    <w:rsid w:val="0063661B"/>
    <w:rsid w:val="00636A48"/>
    <w:rsid w:val="00636D17"/>
    <w:rsid w:val="00637532"/>
    <w:rsid w:val="006400D2"/>
    <w:rsid w:val="00640329"/>
    <w:rsid w:val="00640A6C"/>
    <w:rsid w:val="00641000"/>
    <w:rsid w:val="00641798"/>
    <w:rsid w:val="00641867"/>
    <w:rsid w:val="00641D5A"/>
    <w:rsid w:val="006420B9"/>
    <w:rsid w:val="00642229"/>
    <w:rsid w:val="00642277"/>
    <w:rsid w:val="00642777"/>
    <w:rsid w:val="00642CFC"/>
    <w:rsid w:val="00642DA7"/>
    <w:rsid w:val="00642E2E"/>
    <w:rsid w:val="00643151"/>
    <w:rsid w:val="00643A6F"/>
    <w:rsid w:val="00643B89"/>
    <w:rsid w:val="006449B0"/>
    <w:rsid w:val="00645014"/>
    <w:rsid w:val="00645799"/>
    <w:rsid w:val="00645936"/>
    <w:rsid w:val="00645C15"/>
    <w:rsid w:val="00645DD2"/>
    <w:rsid w:val="00645EFB"/>
    <w:rsid w:val="00646433"/>
    <w:rsid w:val="00646519"/>
    <w:rsid w:val="00646AFC"/>
    <w:rsid w:val="00646B92"/>
    <w:rsid w:val="006471EA"/>
    <w:rsid w:val="00647402"/>
    <w:rsid w:val="00650270"/>
    <w:rsid w:val="00650282"/>
    <w:rsid w:val="00650291"/>
    <w:rsid w:val="006507EA"/>
    <w:rsid w:val="00650A11"/>
    <w:rsid w:val="00650A1C"/>
    <w:rsid w:val="00650A40"/>
    <w:rsid w:val="00650BC9"/>
    <w:rsid w:val="0065112F"/>
    <w:rsid w:val="006511BB"/>
    <w:rsid w:val="006511CE"/>
    <w:rsid w:val="00651431"/>
    <w:rsid w:val="00652E4B"/>
    <w:rsid w:val="00653023"/>
    <w:rsid w:val="006531EF"/>
    <w:rsid w:val="0065340A"/>
    <w:rsid w:val="00653793"/>
    <w:rsid w:val="00654291"/>
    <w:rsid w:val="00654A26"/>
    <w:rsid w:val="00654DCC"/>
    <w:rsid w:val="00654DFD"/>
    <w:rsid w:val="00655394"/>
    <w:rsid w:val="00655525"/>
    <w:rsid w:val="00655DA6"/>
    <w:rsid w:val="00655FEE"/>
    <w:rsid w:val="00656211"/>
    <w:rsid w:val="00656305"/>
    <w:rsid w:val="0066034A"/>
    <w:rsid w:val="00661673"/>
    <w:rsid w:val="00661DDF"/>
    <w:rsid w:val="006624B8"/>
    <w:rsid w:val="00662F7B"/>
    <w:rsid w:val="006631B8"/>
    <w:rsid w:val="006647F0"/>
    <w:rsid w:val="006654DB"/>
    <w:rsid w:val="00665616"/>
    <w:rsid w:val="006656EC"/>
    <w:rsid w:val="00665C2C"/>
    <w:rsid w:val="00665CE3"/>
    <w:rsid w:val="00665E16"/>
    <w:rsid w:val="006662EE"/>
    <w:rsid w:val="00666528"/>
    <w:rsid w:val="00666788"/>
    <w:rsid w:val="00667977"/>
    <w:rsid w:val="006702F1"/>
    <w:rsid w:val="00670AE4"/>
    <w:rsid w:val="00670C0C"/>
    <w:rsid w:val="00670FE3"/>
    <w:rsid w:val="00671BB5"/>
    <w:rsid w:val="00671D16"/>
    <w:rsid w:val="006725A4"/>
    <w:rsid w:val="00674043"/>
    <w:rsid w:val="006741DC"/>
    <w:rsid w:val="006743BA"/>
    <w:rsid w:val="00674AFB"/>
    <w:rsid w:val="00675524"/>
    <w:rsid w:val="00676115"/>
    <w:rsid w:val="0067720E"/>
    <w:rsid w:val="00677582"/>
    <w:rsid w:val="00677B7A"/>
    <w:rsid w:val="00677C65"/>
    <w:rsid w:val="0068051F"/>
    <w:rsid w:val="006812CF"/>
    <w:rsid w:val="00681A1D"/>
    <w:rsid w:val="00681CE9"/>
    <w:rsid w:val="006820E6"/>
    <w:rsid w:val="006824EE"/>
    <w:rsid w:val="00682514"/>
    <w:rsid w:val="00682BBC"/>
    <w:rsid w:val="00683310"/>
    <w:rsid w:val="0068346C"/>
    <w:rsid w:val="0068379F"/>
    <w:rsid w:val="00683E6B"/>
    <w:rsid w:val="00684490"/>
    <w:rsid w:val="00685123"/>
    <w:rsid w:val="00685311"/>
    <w:rsid w:val="00685C07"/>
    <w:rsid w:val="00685CB3"/>
    <w:rsid w:val="006867B7"/>
    <w:rsid w:val="006867F6"/>
    <w:rsid w:val="0068687C"/>
    <w:rsid w:val="00686F5E"/>
    <w:rsid w:val="006878B5"/>
    <w:rsid w:val="0069085A"/>
    <w:rsid w:val="006914EF"/>
    <w:rsid w:val="00691CB8"/>
    <w:rsid w:val="006922BE"/>
    <w:rsid w:val="00692DE8"/>
    <w:rsid w:val="00692FBF"/>
    <w:rsid w:val="00692FCB"/>
    <w:rsid w:val="00693167"/>
    <w:rsid w:val="00693910"/>
    <w:rsid w:val="0069403E"/>
    <w:rsid w:val="00694569"/>
    <w:rsid w:val="00694589"/>
    <w:rsid w:val="006945C8"/>
    <w:rsid w:val="00694B1D"/>
    <w:rsid w:val="0069516D"/>
    <w:rsid w:val="00695CF2"/>
    <w:rsid w:val="006962EE"/>
    <w:rsid w:val="006967BF"/>
    <w:rsid w:val="006967EB"/>
    <w:rsid w:val="0069746F"/>
    <w:rsid w:val="006974AD"/>
    <w:rsid w:val="0069794D"/>
    <w:rsid w:val="00697F52"/>
    <w:rsid w:val="006A0557"/>
    <w:rsid w:val="006A0782"/>
    <w:rsid w:val="006A0A24"/>
    <w:rsid w:val="006A0F5F"/>
    <w:rsid w:val="006A1363"/>
    <w:rsid w:val="006A1B09"/>
    <w:rsid w:val="006A1DCF"/>
    <w:rsid w:val="006A2522"/>
    <w:rsid w:val="006A2553"/>
    <w:rsid w:val="006A2A2C"/>
    <w:rsid w:val="006A2D92"/>
    <w:rsid w:val="006A405A"/>
    <w:rsid w:val="006A52D5"/>
    <w:rsid w:val="006A54E3"/>
    <w:rsid w:val="006A56C1"/>
    <w:rsid w:val="006A5A2E"/>
    <w:rsid w:val="006A66B4"/>
    <w:rsid w:val="006A7D64"/>
    <w:rsid w:val="006B0367"/>
    <w:rsid w:val="006B04D1"/>
    <w:rsid w:val="006B12E8"/>
    <w:rsid w:val="006B14F3"/>
    <w:rsid w:val="006B1596"/>
    <w:rsid w:val="006B23B3"/>
    <w:rsid w:val="006B35DA"/>
    <w:rsid w:val="006B3C41"/>
    <w:rsid w:val="006B4257"/>
    <w:rsid w:val="006B4713"/>
    <w:rsid w:val="006B4E05"/>
    <w:rsid w:val="006B5071"/>
    <w:rsid w:val="006B513B"/>
    <w:rsid w:val="006B52EE"/>
    <w:rsid w:val="006B70AF"/>
    <w:rsid w:val="006B7551"/>
    <w:rsid w:val="006B7897"/>
    <w:rsid w:val="006B7B6D"/>
    <w:rsid w:val="006B7FE7"/>
    <w:rsid w:val="006C0521"/>
    <w:rsid w:val="006C0A57"/>
    <w:rsid w:val="006C117F"/>
    <w:rsid w:val="006C17EA"/>
    <w:rsid w:val="006C183D"/>
    <w:rsid w:val="006C1884"/>
    <w:rsid w:val="006C1D14"/>
    <w:rsid w:val="006C2332"/>
    <w:rsid w:val="006C23D9"/>
    <w:rsid w:val="006C415D"/>
    <w:rsid w:val="006C5CE3"/>
    <w:rsid w:val="006C63DC"/>
    <w:rsid w:val="006C6483"/>
    <w:rsid w:val="006C6EF1"/>
    <w:rsid w:val="006C7426"/>
    <w:rsid w:val="006C7534"/>
    <w:rsid w:val="006C7A01"/>
    <w:rsid w:val="006D0E0C"/>
    <w:rsid w:val="006D1474"/>
    <w:rsid w:val="006D158A"/>
    <w:rsid w:val="006D1CD3"/>
    <w:rsid w:val="006D1F7D"/>
    <w:rsid w:val="006D224F"/>
    <w:rsid w:val="006D29CD"/>
    <w:rsid w:val="006D2AB6"/>
    <w:rsid w:val="006D2B90"/>
    <w:rsid w:val="006D2BE3"/>
    <w:rsid w:val="006D2BEB"/>
    <w:rsid w:val="006D2BF3"/>
    <w:rsid w:val="006D37CF"/>
    <w:rsid w:val="006D37E7"/>
    <w:rsid w:val="006D3A54"/>
    <w:rsid w:val="006D3DA7"/>
    <w:rsid w:val="006D3DCE"/>
    <w:rsid w:val="006D3DD3"/>
    <w:rsid w:val="006D4A0B"/>
    <w:rsid w:val="006D63B9"/>
    <w:rsid w:val="006D6635"/>
    <w:rsid w:val="006E04CB"/>
    <w:rsid w:val="006E0D62"/>
    <w:rsid w:val="006E11EC"/>
    <w:rsid w:val="006E17B6"/>
    <w:rsid w:val="006E1B95"/>
    <w:rsid w:val="006E24C4"/>
    <w:rsid w:val="006E2969"/>
    <w:rsid w:val="006E2B79"/>
    <w:rsid w:val="006E3AA8"/>
    <w:rsid w:val="006E4AF9"/>
    <w:rsid w:val="006E5B47"/>
    <w:rsid w:val="006E61F3"/>
    <w:rsid w:val="006E62E8"/>
    <w:rsid w:val="006E7242"/>
    <w:rsid w:val="006E744A"/>
    <w:rsid w:val="006E749F"/>
    <w:rsid w:val="006E7B78"/>
    <w:rsid w:val="006F01D1"/>
    <w:rsid w:val="006F0945"/>
    <w:rsid w:val="006F169D"/>
    <w:rsid w:val="006F2097"/>
    <w:rsid w:val="006F353D"/>
    <w:rsid w:val="006F370E"/>
    <w:rsid w:val="006F3BB8"/>
    <w:rsid w:val="006F5341"/>
    <w:rsid w:val="006F53CF"/>
    <w:rsid w:val="006F571D"/>
    <w:rsid w:val="006F57DF"/>
    <w:rsid w:val="006F7A7F"/>
    <w:rsid w:val="006F7BD1"/>
    <w:rsid w:val="006F7D22"/>
    <w:rsid w:val="006F7F1C"/>
    <w:rsid w:val="006F7FE7"/>
    <w:rsid w:val="007009E5"/>
    <w:rsid w:val="00701165"/>
    <w:rsid w:val="007012FC"/>
    <w:rsid w:val="0070149F"/>
    <w:rsid w:val="007016FD"/>
    <w:rsid w:val="00702E77"/>
    <w:rsid w:val="00703229"/>
    <w:rsid w:val="0070332E"/>
    <w:rsid w:val="0070355C"/>
    <w:rsid w:val="00703D2D"/>
    <w:rsid w:val="00704E1F"/>
    <w:rsid w:val="00704E5A"/>
    <w:rsid w:val="0070528F"/>
    <w:rsid w:val="007060D3"/>
    <w:rsid w:val="007061E3"/>
    <w:rsid w:val="00706D8F"/>
    <w:rsid w:val="00706FE9"/>
    <w:rsid w:val="007075CE"/>
    <w:rsid w:val="00707D58"/>
    <w:rsid w:val="00710B3B"/>
    <w:rsid w:val="00710BF9"/>
    <w:rsid w:val="00711615"/>
    <w:rsid w:val="0071191B"/>
    <w:rsid w:val="00711D60"/>
    <w:rsid w:val="007122A1"/>
    <w:rsid w:val="007126D0"/>
    <w:rsid w:val="00712914"/>
    <w:rsid w:val="00712AE9"/>
    <w:rsid w:val="00713136"/>
    <w:rsid w:val="00713425"/>
    <w:rsid w:val="0071360C"/>
    <w:rsid w:val="0071367B"/>
    <w:rsid w:val="007139B6"/>
    <w:rsid w:val="00713D0E"/>
    <w:rsid w:val="007145AE"/>
    <w:rsid w:val="0071468E"/>
    <w:rsid w:val="007148AA"/>
    <w:rsid w:val="00715497"/>
    <w:rsid w:val="007156FD"/>
    <w:rsid w:val="00715A4C"/>
    <w:rsid w:val="007160DC"/>
    <w:rsid w:val="0071686F"/>
    <w:rsid w:val="00716A12"/>
    <w:rsid w:val="00716D5C"/>
    <w:rsid w:val="00716E66"/>
    <w:rsid w:val="00717760"/>
    <w:rsid w:val="00717800"/>
    <w:rsid w:val="007179BF"/>
    <w:rsid w:val="0072042A"/>
    <w:rsid w:val="007208D9"/>
    <w:rsid w:val="00720AE6"/>
    <w:rsid w:val="00720AF5"/>
    <w:rsid w:val="00720C9D"/>
    <w:rsid w:val="00720FD4"/>
    <w:rsid w:val="00720FFE"/>
    <w:rsid w:val="00721471"/>
    <w:rsid w:val="0072167E"/>
    <w:rsid w:val="00721BD7"/>
    <w:rsid w:val="00721C97"/>
    <w:rsid w:val="0072209A"/>
    <w:rsid w:val="007232FF"/>
    <w:rsid w:val="00724A7E"/>
    <w:rsid w:val="00724C0F"/>
    <w:rsid w:val="007253A1"/>
    <w:rsid w:val="0072590F"/>
    <w:rsid w:val="0072659E"/>
    <w:rsid w:val="007270F4"/>
    <w:rsid w:val="007272DA"/>
    <w:rsid w:val="0072778A"/>
    <w:rsid w:val="00727A49"/>
    <w:rsid w:val="00727CBB"/>
    <w:rsid w:val="00730024"/>
    <w:rsid w:val="00730139"/>
    <w:rsid w:val="00730D28"/>
    <w:rsid w:val="00732185"/>
    <w:rsid w:val="0073258B"/>
    <w:rsid w:val="00732A77"/>
    <w:rsid w:val="00732BA8"/>
    <w:rsid w:val="007330E8"/>
    <w:rsid w:val="0073350E"/>
    <w:rsid w:val="00733ED9"/>
    <w:rsid w:val="00733F8C"/>
    <w:rsid w:val="007347CA"/>
    <w:rsid w:val="00734E99"/>
    <w:rsid w:val="00734ECD"/>
    <w:rsid w:val="00735766"/>
    <w:rsid w:val="007359A7"/>
    <w:rsid w:val="00735D75"/>
    <w:rsid w:val="00736724"/>
    <w:rsid w:val="00736976"/>
    <w:rsid w:val="00736A54"/>
    <w:rsid w:val="00736C66"/>
    <w:rsid w:val="00740E9A"/>
    <w:rsid w:val="0074128D"/>
    <w:rsid w:val="00744769"/>
    <w:rsid w:val="00744ECC"/>
    <w:rsid w:val="00745D68"/>
    <w:rsid w:val="0074677C"/>
    <w:rsid w:val="007467E0"/>
    <w:rsid w:val="00746E21"/>
    <w:rsid w:val="0074740B"/>
    <w:rsid w:val="00747E73"/>
    <w:rsid w:val="00750509"/>
    <w:rsid w:val="007508B9"/>
    <w:rsid w:val="00750D0F"/>
    <w:rsid w:val="00751077"/>
    <w:rsid w:val="007510A5"/>
    <w:rsid w:val="00751C73"/>
    <w:rsid w:val="007523BB"/>
    <w:rsid w:val="00752430"/>
    <w:rsid w:val="00752C17"/>
    <w:rsid w:val="0075393B"/>
    <w:rsid w:val="00754481"/>
    <w:rsid w:val="0075451B"/>
    <w:rsid w:val="007546AB"/>
    <w:rsid w:val="0075471A"/>
    <w:rsid w:val="007549CE"/>
    <w:rsid w:val="007552A6"/>
    <w:rsid w:val="0075771C"/>
    <w:rsid w:val="00757EBC"/>
    <w:rsid w:val="00760873"/>
    <w:rsid w:val="007608D7"/>
    <w:rsid w:val="00761231"/>
    <w:rsid w:val="0076158F"/>
    <w:rsid w:val="00761B47"/>
    <w:rsid w:val="00762174"/>
    <w:rsid w:val="00762250"/>
    <w:rsid w:val="007623D1"/>
    <w:rsid w:val="0076246C"/>
    <w:rsid w:val="007626A6"/>
    <w:rsid w:val="0076272E"/>
    <w:rsid w:val="00762F8F"/>
    <w:rsid w:val="007639E5"/>
    <w:rsid w:val="00763D76"/>
    <w:rsid w:val="00764436"/>
    <w:rsid w:val="00764666"/>
    <w:rsid w:val="00764A0F"/>
    <w:rsid w:val="00764FAA"/>
    <w:rsid w:val="0076523D"/>
    <w:rsid w:val="007653A1"/>
    <w:rsid w:val="00765902"/>
    <w:rsid w:val="00765C7B"/>
    <w:rsid w:val="007663FD"/>
    <w:rsid w:val="00766748"/>
    <w:rsid w:val="00767074"/>
    <w:rsid w:val="0076731F"/>
    <w:rsid w:val="00767446"/>
    <w:rsid w:val="00767800"/>
    <w:rsid w:val="00767A04"/>
    <w:rsid w:val="00767E08"/>
    <w:rsid w:val="00770802"/>
    <w:rsid w:val="00770AAC"/>
    <w:rsid w:val="0077131C"/>
    <w:rsid w:val="00771547"/>
    <w:rsid w:val="00772049"/>
    <w:rsid w:val="00772362"/>
    <w:rsid w:val="00772A13"/>
    <w:rsid w:val="0077306E"/>
    <w:rsid w:val="0077333D"/>
    <w:rsid w:val="007733A9"/>
    <w:rsid w:val="00773719"/>
    <w:rsid w:val="00773B58"/>
    <w:rsid w:val="00774343"/>
    <w:rsid w:val="007753B1"/>
    <w:rsid w:val="007754E1"/>
    <w:rsid w:val="007761D1"/>
    <w:rsid w:val="00777187"/>
    <w:rsid w:val="00777487"/>
    <w:rsid w:val="00777514"/>
    <w:rsid w:val="007777A1"/>
    <w:rsid w:val="00777B30"/>
    <w:rsid w:val="0078003D"/>
    <w:rsid w:val="007801D3"/>
    <w:rsid w:val="007803BC"/>
    <w:rsid w:val="007804A1"/>
    <w:rsid w:val="00780E5F"/>
    <w:rsid w:val="00780E85"/>
    <w:rsid w:val="00781CBF"/>
    <w:rsid w:val="00782070"/>
    <w:rsid w:val="00782232"/>
    <w:rsid w:val="0078273E"/>
    <w:rsid w:val="0078282D"/>
    <w:rsid w:val="00782DCD"/>
    <w:rsid w:val="00782F56"/>
    <w:rsid w:val="00782F88"/>
    <w:rsid w:val="00783071"/>
    <w:rsid w:val="0078471D"/>
    <w:rsid w:val="00784EC0"/>
    <w:rsid w:val="0078511B"/>
    <w:rsid w:val="00785A7E"/>
    <w:rsid w:val="007864AB"/>
    <w:rsid w:val="0078674A"/>
    <w:rsid w:val="0078721C"/>
    <w:rsid w:val="0078730F"/>
    <w:rsid w:val="0078760F"/>
    <w:rsid w:val="00787B82"/>
    <w:rsid w:val="00790042"/>
    <w:rsid w:val="00790051"/>
    <w:rsid w:val="0079031E"/>
    <w:rsid w:val="00790C55"/>
    <w:rsid w:val="00791237"/>
    <w:rsid w:val="007913FD"/>
    <w:rsid w:val="00791506"/>
    <w:rsid w:val="0079221B"/>
    <w:rsid w:val="007925C2"/>
    <w:rsid w:val="00793946"/>
    <w:rsid w:val="00795B8C"/>
    <w:rsid w:val="007963D2"/>
    <w:rsid w:val="00796961"/>
    <w:rsid w:val="00796A50"/>
    <w:rsid w:val="00796D6A"/>
    <w:rsid w:val="0079714D"/>
    <w:rsid w:val="007977AC"/>
    <w:rsid w:val="007A01E1"/>
    <w:rsid w:val="007A09B6"/>
    <w:rsid w:val="007A1324"/>
    <w:rsid w:val="007A2075"/>
    <w:rsid w:val="007A3212"/>
    <w:rsid w:val="007A356C"/>
    <w:rsid w:val="007A3AC6"/>
    <w:rsid w:val="007A49C2"/>
    <w:rsid w:val="007A4A6B"/>
    <w:rsid w:val="007A4BDD"/>
    <w:rsid w:val="007A5136"/>
    <w:rsid w:val="007A6D7F"/>
    <w:rsid w:val="007B05B3"/>
    <w:rsid w:val="007B14CE"/>
    <w:rsid w:val="007B1634"/>
    <w:rsid w:val="007B16FD"/>
    <w:rsid w:val="007B18CE"/>
    <w:rsid w:val="007B1B4C"/>
    <w:rsid w:val="007B249C"/>
    <w:rsid w:val="007B33D7"/>
    <w:rsid w:val="007B3937"/>
    <w:rsid w:val="007B477A"/>
    <w:rsid w:val="007B4A83"/>
    <w:rsid w:val="007B4CCE"/>
    <w:rsid w:val="007B5675"/>
    <w:rsid w:val="007B5BF0"/>
    <w:rsid w:val="007B5D25"/>
    <w:rsid w:val="007B5FA7"/>
    <w:rsid w:val="007B5FFA"/>
    <w:rsid w:val="007B66E9"/>
    <w:rsid w:val="007B76C4"/>
    <w:rsid w:val="007B7DCA"/>
    <w:rsid w:val="007C08F8"/>
    <w:rsid w:val="007C0D30"/>
    <w:rsid w:val="007C10D1"/>
    <w:rsid w:val="007C1837"/>
    <w:rsid w:val="007C21DA"/>
    <w:rsid w:val="007C2377"/>
    <w:rsid w:val="007C293A"/>
    <w:rsid w:val="007C3692"/>
    <w:rsid w:val="007C3E4B"/>
    <w:rsid w:val="007C4005"/>
    <w:rsid w:val="007C48BC"/>
    <w:rsid w:val="007C4C19"/>
    <w:rsid w:val="007C4E5D"/>
    <w:rsid w:val="007C5046"/>
    <w:rsid w:val="007C57ED"/>
    <w:rsid w:val="007C6330"/>
    <w:rsid w:val="007C6CF8"/>
    <w:rsid w:val="007C74A7"/>
    <w:rsid w:val="007C7579"/>
    <w:rsid w:val="007C770D"/>
    <w:rsid w:val="007D01DD"/>
    <w:rsid w:val="007D0CC0"/>
    <w:rsid w:val="007D0FCC"/>
    <w:rsid w:val="007D11FF"/>
    <w:rsid w:val="007D1372"/>
    <w:rsid w:val="007D210C"/>
    <w:rsid w:val="007D21A4"/>
    <w:rsid w:val="007D306E"/>
    <w:rsid w:val="007D31FB"/>
    <w:rsid w:val="007D3400"/>
    <w:rsid w:val="007D363D"/>
    <w:rsid w:val="007D537B"/>
    <w:rsid w:val="007D57B2"/>
    <w:rsid w:val="007D5B53"/>
    <w:rsid w:val="007D6F3F"/>
    <w:rsid w:val="007D75DA"/>
    <w:rsid w:val="007D769D"/>
    <w:rsid w:val="007E00FE"/>
    <w:rsid w:val="007E01CE"/>
    <w:rsid w:val="007E023E"/>
    <w:rsid w:val="007E1522"/>
    <w:rsid w:val="007E190E"/>
    <w:rsid w:val="007E1D58"/>
    <w:rsid w:val="007E2576"/>
    <w:rsid w:val="007E354A"/>
    <w:rsid w:val="007E3943"/>
    <w:rsid w:val="007E4136"/>
    <w:rsid w:val="007E4DF8"/>
    <w:rsid w:val="007E5F61"/>
    <w:rsid w:val="007E6A18"/>
    <w:rsid w:val="007E6CF8"/>
    <w:rsid w:val="007E6ECC"/>
    <w:rsid w:val="007E76AD"/>
    <w:rsid w:val="007E7805"/>
    <w:rsid w:val="007F0608"/>
    <w:rsid w:val="007F0ABE"/>
    <w:rsid w:val="007F0EA7"/>
    <w:rsid w:val="007F0ED9"/>
    <w:rsid w:val="007F24A8"/>
    <w:rsid w:val="007F258F"/>
    <w:rsid w:val="007F25A7"/>
    <w:rsid w:val="007F2645"/>
    <w:rsid w:val="007F26B6"/>
    <w:rsid w:val="007F2E58"/>
    <w:rsid w:val="007F3A93"/>
    <w:rsid w:val="007F40DE"/>
    <w:rsid w:val="007F43A5"/>
    <w:rsid w:val="007F43D7"/>
    <w:rsid w:val="007F4668"/>
    <w:rsid w:val="007F491C"/>
    <w:rsid w:val="007F571B"/>
    <w:rsid w:val="007F59E3"/>
    <w:rsid w:val="007F64C7"/>
    <w:rsid w:val="007F6614"/>
    <w:rsid w:val="007F683B"/>
    <w:rsid w:val="007F6AED"/>
    <w:rsid w:val="007F6F49"/>
    <w:rsid w:val="007F767E"/>
    <w:rsid w:val="007F79F4"/>
    <w:rsid w:val="008002E4"/>
    <w:rsid w:val="00800D8B"/>
    <w:rsid w:val="00801CA2"/>
    <w:rsid w:val="0080282F"/>
    <w:rsid w:val="008031EC"/>
    <w:rsid w:val="008034D8"/>
    <w:rsid w:val="00803A45"/>
    <w:rsid w:val="00803D0D"/>
    <w:rsid w:val="008045CA"/>
    <w:rsid w:val="008047FA"/>
    <w:rsid w:val="00804DB3"/>
    <w:rsid w:val="008054F0"/>
    <w:rsid w:val="00805A1D"/>
    <w:rsid w:val="00805BD3"/>
    <w:rsid w:val="008060D0"/>
    <w:rsid w:val="0080685E"/>
    <w:rsid w:val="0080732A"/>
    <w:rsid w:val="008079AC"/>
    <w:rsid w:val="00807A22"/>
    <w:rsid w:val="00807DB6"/>
    <w:rsid w:val="00807ED4"/>
    <w:rsid w:val="008114A6"/>
    <w:rsid w:val="00811927"/>
    <w:rsid w:val="00811B2F"/>
    <w:rsid w:val="00811E33"/>
    <w:rsid w:val="008142BE"/>
    <w:rsid w:val="008149EB"/>
    <w:rsid w:val="00814A48"/>
    <w:rsid w:val="00815425"/>
    <w:rsid w:val="008155E3"/>
    <w:rsid w:val="00816B1A"/>
    <w:rsid w:val="00817638"/>
    <w:rsid w:val="00817C77"/>
    <w:rsid w:val="00820C5A"/>
    <w:rsid w:val="00820ECD"/>
    <w:rsid w:val="008215C7"/>
    <w:rsid w:val="00821793"/>
    <w:rsid w:val="00821ACC"/>
    <w:rsid w:val="008221B0"/>
    <w:rsid w:val="0082221E"/>
    <w:rsid w:val="008228A5"/>
    <w:rsid w:val="00822B3C"/>
    <w:rsid w:val="00824097"/>
    <w:rsid w:val="0082415E"/>
    <w:rsid w:val="00824787"/>
    <w:rsid w:val="00824A4B"/>
    <w:rsid w:val="00825137"/>
    <w:rsid w:val="008252B4"/>
    <w:rsid w:val="00825E19"/>
    <w:rsid w:val="00826347"/>
    <w:rsid w:val="00826F71"/>
    <w:rsid w:val="00827E63"/>
    <w:rsid w:val="008309F0"/>
    <w:rsid w:val="00830D76"/>
    <w:rsid w:val="00830ED9"/>
    <w:rsid w:val="00831AEF"/>
    <w:rsid w:val="00832028"/>
    <w:rsid w:val="00834009"/>
    <w:rsid w:val="00834367"/>
    <w:rsid w:val="00834448"/>
    <w:rsid w:val="00834AB9"/>
    <w:rsid w:val="00834F4C"/>
    <w:rsid w:val="00835811"/>
    <w:rsid w:val="00835A3C"/>
    <w:rsid w:val="008367DE"/>
    <w:rsid w:val="008369A3"/>
    <w:rsid w:val="00837300"/>
    <w:rsid w:val="008377D2"/>
    <w:rsid w:val="00837A08"/>
    <w:rsid w:val="00837F65"/>
    <w:rsid w:val="00837FF0"/>
    <w:rsid w:val="00840621"/>
    <w:rsid w:val="00840910"/>
    <w:rsid w:val="00840CFD"/>
    <w:rsid w:val="008410B6"/>
    <w:rsid w:val="00841231"/>
    <w:rsid w:val="008414AC"/>
    <w:rsid w:val="00841D53"/>
    <w:rsid w:val="00841F17"/>
    <w:rsid w:val="00842112"/>
    <w:rsid w:val="0084277C"/>
    <w:rsid w:val="00842FB9"/>
    <w:rsid w:val="00843FDE"/>
    <w:rsid w:val="00845653"/>
    <w:rsid w:val="008458B2"/>
    <w:rsid w:val="00845B33"/>
    <w:rsid w:val="00846136"/>
    <w:rsid w:val="0084634B"/>
    <w:rsid w:val="0084664C"/>
    <w:rsid w:val="008478CE"/>
    <w:rsid w:val="00847C2B"/>
    <w:rsid w:val="00847E7D"/>
    <w:rsid w:val="00847F14"/>
    <w:rsid w:val="008502BE"/>
    <w:rsid w:val="0085056C"/>
    <w:rsid w:val="00850B48"/>
    <w:rsid w:val="00850CF7"/>
    <w:rsid w:val="008529AE"/>
    <w:rsid w:val="00853798"/>
    <w:rsid w:val="008539D8"/>
    <w:rsid w:val="008545B4"/>
    <w:rsid w:val="00854B58"/>
    <w:rsid w:val="0085583B"/>
    <w:rsid w:val="00856CEC"/>
    <w:rsid w:val="00856DC2"/>
    <w:rsid w:val="00856F95"/>
    <w:rsid w:val="00857119"/>
    <w:rsid w:val="0085775F"/>
    <w:rsid w:val="00857822"/>
    <w:rsid w:val="00857E85"/>
    <w:rsid w:val="00860025"/>
    <w:rsid w:val="0086033F"/>
    <w:rsid w:val="008603BD"/>
    <w:rsid w:val="00860E75"/>
    <w:rsid w:val="0086103A"/>
    <w:rsid w:val="0086152C"/>
    <w:rsid w:val="008617EA"/>
    <w:rsid w:val="00861D98"/>
    <w:rsid w:val="0086208D"/>
    <w:rsid w:val="008629E3"/>
    <w:rsid w:val="0086334D"/>
    <w:rsid w:val="0086385F"/>
    <w:rsid w:val="00863D77"/>
    <w:rsid w:val="00863EDA"/>
    <w:rsid w:val="00864321"/>
    <w:rsid w:val="0086441A"/>
    <w:rsid w:val="008644A2"/>
    <w:rsid w:val="00864C7E"/>
    <w:rsid w:val="00864CE4"/>
    <w:rsid w:val="00865465"/>
    <w:rsid w:val="008656AA"/>
    <w:rsid w:val="00865DC8"/>
    <w:rsid w:val="0087009A"/>
    <w:rsid w:val="00870814"/>
    <w:rsid w:val="00870D58"/>
    <w:rsid w:val="008712A0"/>
    <w:rsid w:val="008717D4"/>
    <w:rsid w:val="00871C47"/>
    <w:rsid w:val="00872621"/>
    <w:rsid w:val="008727AA"/>
    <w:rsid w:val="008729DD"/>
    <w:rsid w:val="00872AA6"/>
    <w:rsid w:val="00873100"/>
    <w:rsid w:val="00873250"/>
    <w:rsid w:val="00873825"/>
    <w:rsid w:val="008739EF"/>
    <w:rsid w:val="00873ADE"/>
    <w:rsid w:val="00874244"/>
    <w:rsid w:val="008745C4"/>
    <w:rsid w:val="00874C5C"/>
    <w:rsid w:val="008757FE"/>
    <w:rsid w:val="00876F9A"/>
    <w:rsid w:val="008772D5"/>
    <w:rsid w:val="008776BC"/>
    <w:rsid w:val="00877910"/>
    <w:rsid w:val="00877C17"/>
    <w:rsid w:val="00877E5F"/>
    <w:rsid w:val="00880B80"/>
    <w:rsid w:val="00880B99"/>
    <w:rsid w:val="00880BF1"/>
    <w:rsid w:val="00880FB2"/>
    <w:rsid w:val="0088111C"/>
    <w:rsid w:val="0088153B"/>
    <w:rsid w:val="00881D84"/>
    <w:rsid w:val="00882014"/>
    <w:rsid w:val="008839A3"/>
    <w:rsid w:val="008839E5"/>
    <w:rsid w:val="00883C78"/>
    <w:rsid w:val="008844B5"/>
    <w:rsid w:val="00884679"/>
    <w:rsid w:val="00884F51"/>
    <w:rsid w:val="00884FFD"/>
    <w:rsid w:val="00885059"/>
    <w:rsid w:val="00885C89"/>
    <w:rsid w:val="008867C3"/>
    <w:rsid w:val="00886B5B"/>
    <w:rsid w:val="0088761A"/>
    <w:rsid w:val="00887D84"/>
    <w:rsid w:val="00890142"/>
    <w:rsid w:val="008903DD"/>
    <w:rsid w:val="008905D5"/>
    <w:rsid w:val="00890A9E"/>
    <w:rsid w:val="008913FE"/>
    <w:rsid w:val="0089154B"/>
    <w:rsid w:val="0089162A"/>
    <w:rsid w:val="00891B87"/>
    <w:rsid w:val="00891F45"/>
    <w:rsid w:val="008920F5"/>
    <w:rsid w:val="00892576"/>
    <w:rsid w:val="0089297D"/>
    <w:rsid w:val="008932EE"/>
    <w:rsid w:val="0089402B"/>
    <w:rsid w:val="008940B7"/>
    <w:rsid w:val="0089417E"/>
    <w:rsid w:val="00894499"/>
    <w:rsid w:val="00894601"/>
    <w:rsid w:val="00894797"/>
    <w:rsid w:val="008947BD"/>
    <w:rsid w:val="00894AB7"/>
    <w:rsid w:val="00894B5C"/>
    <w:rsid w:val="00894CD3"/>
    <w:rsid w:val="00895D49"/>
    <w:rsid w:val="00895FFE"/>
    <w:rsid w:val="00896531"/>
    <w:rsid w:val="0089699B"/>
    <w:rsid w:val="00896B48"/>
    <w:rsid w:val="00896FCA"/>
    <w:rsid w:val="00897143"/>
    <w:rsid w:val="008971BE"/>
    <w:rsid w:val="008975F0"/>
    <w:rsid w:val="008976DF"/>
    <w:rsid w:val="00897EFC"/>
    <w:rsid w:val="00897FBA"/>
    <w:rsid w:val="008A00A7"/>
    <w:rsid w:val="008A06E9"/>
    <w:rsid w:val="008A1040"/>
    <w:rsid w:val="008A2255"/>
    <w:rsid w:val="008A2672"/>
    <w:rsid w:val="008A26F2"/>
    <w:rsid w:val="008A2E35"/>
    <w:rsid w:val="008A340F"/>
    <w:rsid w:val="008A3BCD"/>
    <w:rsid w:val="008A4654"/>
    <w:rsid w:val="008A5B99"/>
    <w:rsid w:val="008A6491"/>
    <w:rsid w:val="008A6708"/>
    <w:rsid w:val="008A70A8"/>
    <w:rsid w:val="008A70C3"/>
    <w:rsid w:val="008A7CF1"/>
    <w:rsid w:val="008B025F"/>
    <w:rsid w:val="008B0674"/>
    <w:rsid w:val="008B0B60"/>
    <w:rsid w:val="008B0CFF"/>
    <w:rsid w:val="008B1668"/>
    <w:rsid w:val="008B20C2"/>
    <w:rsid w:val="008B2E91"/>
    <w:rsid w:val="008B333C"/>
    <w:rsid w:val="008B3500"/>
    <w:rsid w:val="008B3523"/>
    <w:rsid w:val="008B3A55"/>
    <w:rsid w:val="008B3A81"/>
    <w:rsid w:val="008B3CD2"/>
    <w:rsid w:val="008B5386"/>
    <w:rsid w:val="008B5C6E"/>
    <w:rsid w:val="008B6292"/>
    <w:rsid w:val="008B650B"/>
    <w:rsid w:val="008B673E"/>
    <w:rsid w:val="008B68A8"/>
    <w:rsid w:val="008B73E3"/>
    <w:rsid w:val="008B75E1"/>
    <w:rsid w:val="008B797D"/>
    <w:rsid w:val="008C011F"/>
    <w:rsid w:val="008C01EA"/>
    <w:rsid w:val="008C0805"/>
    <w:rsid w:val="008C096C"/>
    <w:rsid w:val="008C0B6E"/>
    <w:rsid w:val="008C1164"/>
    <w:rsid w:val="008C1CAA"/>
    <w:rsid w:val="008C1E95"/>
    <w:rsid w:val="008C26F4"/>
    <w:rsid w:val="008C327D"/>
    <w:rsid w:val="008C3539"/>
    <w:rsid w:val="008C37D5"/>
    <w:rsid w:val="008C4340"/>
    <w:rsid w:val="008C47DF"/>
    <w:rsid w:val="008C4888"/>
    <w:rsid w:val="008C5580"/>
    <w:rsid w:val="008C55B1"/>
    <w:rsid w:val="008C56F1"/>
    <w:rsid w:val="008C5772"/>
    <w:rsid w:val="008C5788"/>
    <w:rsid w:val="008C5D32"/>
    <w:rsid w:val="008C5DDB"/>
    <w:rsid w:val="008C6182"/>
    <w:rsid w:val="008C624A"/>
    <w:rsid w:val="008C65F2"/>
    <w:rsid w:val="008C67CC"/>
    <w:rsid w:val="008C6C40"/>
    <w:rsid w:val="008C6EC0"/>
    <w:rsid w:val="008C704D"/>
    <w:rsid w:val="008C71C6"/>
    <w:rsid w:val="008C7E0D"/>
    <w:rsid w:val="008D039A"/>
    <w:rsid w:val="008D0640"/>
    <w:rsid w:val="008D1BC4"/>
    <w:rsid w:val="008D1DB1"/>
    <w:rsid w:val="008D1DF0"/>
    <w:rsid w:val="008D2173"/>
    <w:rsid w:val="008D35DA"/>
    <w:rsid w:val="008D3892"/>
    <w:rsid w:val="008D39AA"/>
    <w:rsid w:val="008D3BF0"/>
    <w:rsid w:val="008D5118"/>
    <w:rsid w:val="008D5307"/>
    <w:rsid w:val="008D55F9"/>
    <w:rsid w:val="008D58F3"/>
    <w:rsid w:val="008D5EF3"/>
    <w:rsid w:val="008D5F34"/>
    <w:rsid w:val="008D6A9C"/>
    <w:rsid w:val="008E0D1A"/>
    <w:rsid w:val="008E0D56"/>
    <w:rsid w:val="008E2B2F"/>
    <w:rsid w:val="008E348C"/>
    <w:rsid w:val="008E38F4"/>
    <w:rsid w:val="008E3D41"/>
    <w:rsid w:val="008E3FA4"/>
    <w:rsid w:val="008E4DFF"/>
    <w:rsid w:val="008E549E"/>
    <w:rsid w:val="008E54D0"/>
    <w:rsid w:val="008E5E23"/>
    <w:rsid w:val="008E67C0"/>
    <w:rsid w:val="008E680A"/>
    <w:rsid w:val="008E6A27"/>
    <w:rsid w:val="008E72BE"/>
    <w:rsid w:val="008E75F3"/>
    <w:rsid w:val="008E7F9F"/>
    <w:rsid w:val="008F02BD"/>
    <w:rsid w:val="008F09FE"/>
    <w:rsid w:val="008F0C96"/>
    <w:rsid w:val="008F1046"/>
    <w:rsid w:val="008F117B"/>
    <w:rsid w:val="008F1440"/>
    <w:rsid w:val="008F154F"/>
    <w:rsid w:val="008F179F"/>
    <w:rsid w:val="008F18B3"/>
    <w:rsid w:val="008F1A93"/>
    <w:rsid w:val="008F1E40"/>
    <w:rsid w:val="008F24A9"/>
    <w:rsid w:val="008F281A"/>
    <w:rsid w:val="008F2DC7"/>
    <w:rsid w:val="008F35F3"/>
    <w:rsid w:val="008F3965"/>
    <w:rsid w:val="008F4ADC"/>
    <w:rsid w:val="008F52D6"/>
    <w:rsid w:val="008F5890"/>
    <w:rsid w:val="008F5B59"/>
    <w:rsid w:val="008F6644"/>
    <w:rsid w:val="008F6E9D"/>
    <w:rsid w:val="008F7B96"/>
    <w:rsid w:val="00900C12"/>
    <w:rsid w:val="00901EDF"/>
    <w:rsid w:val="00903094"/>
    <w:rsid w:val="00903BCF"/>
    <w:rsid w:val="00903CAE"/>
    <w:rsid w:val="00903E5D"/>
    <w:rsid w:val="00904B02"/>
    <w:rsid w:val="00904BBF"/>
    <w:rsid w:val="00904C7A"/>
    <w:rsid w:val="009050B9"/>
    <w:rsid w:val="0090511A"/>
    <w:rsid w:val="009051E1"/>
    <w:rsid w:val="009056E8"/>
    <w:rsid w:val="00905752"/>
    <w:rsid w:val="00906288"/>
    <w:rsid w:val="00906E14"/>
    <w:rsid w:val="0090750E"/>
    <w:rsid w:val="009076FD"/>
    <w:rsid w:val="0091061D"/>
    <w:rsid w:val="00910B95"/>
    <w:rsid w:val="0091113E"/>
    <w:rsid w:val="00911692"/>
    <w:rsid w:val="0091191B"/>
    <w:rsid w:val="00911D31"/>
    <w:rsid w:val="0091211F"/>
    <w:rsid w:val="009128E8"/>
    <w:rsid w:val="00912C3D"/>
    <w:rsid w:val="009132CC"/>
    <w:rsid w:val="00913AB8"/>
    <w:rsid w:val="00914212"/>
    <w:rsid w:val="00914D46"/>
    <w:rsid w:val="00914F08"/>
    <w:rsid w:val="00915B3E"/>
    <w:rsid w:val="00915E50"/>
    <w:rsid w:val="00916A25"/>
    <w:rsid w:val="00916CA3"/>
    <w:rsid w:val="00917350"/>
    <w:rsid w:val="00917C3E"/>
    <w:rsid w:val="00920003"/>
    <w:rsid w:val="00920251"/>
    <w:rsid w:val="009207A3"/>
    <w:rsid w:val="009207A9"/>
    <w:rsid w:val="00920962"/>
    <w:rsid w:val="00920A27"/>
    <w:rsid w:val="00920D67"/>
    <w:rsid w:val="00920D89"/>
    <w:rsid w:val="009221F2"/>
    <w:rsid w:val="009229CE"/>
    <w:rsid w:val="009229E2"/>
    <w:rsid w:val="00922D03"/>
    <w:rsid w:val="00923049"/>
    <w:rsid w:val="0092307C"/>
    <w:rsid w:val="00924134"/>
    <w:rsid w:val="009260A7"/>
    <w:rsid w:val="0092657D"/>
    <w:rsid w:val="009268DF"/>
    <w:rsid w:val="0092726F"/>
    <w:rsid w:val="00927A0D"/>
    <w:rsid w:val="009302D9"/>
    <w:rsid w:val="009308F0"/>
    <w:rsid w:val="009309AC"/>
    <w:rsid w:val="00931B49"/>
    <w:rsid w:val="00931F89"/>
    <w:rsid w:val="00931FBF"/>
    <w:rsid w:val="0093251D"/>
    <w:rsid w:val="0093269B"/>
    <w:rsid w:val="00932FA9"/>
    <w:rsid w:val="00933663"/>
    <w:rsid w:val="0093388E"/>
    <w:rsid w:val="0093455B"/>
    <w:rsid w:val="0093527F"/>
    <w:rsid w:val="0093572A"/>
    <w:rsid w:val="00935F44"/>
    <w:rsid w:val="00936B84"/>
    <w:rsid w:val="00936C94"/>
    <w:rsid w:val="00936E01"/>
    <w:rsid w:val="00937CD8"/>
    <w:rsid w:val="00937DE3"/>
    <w:rsid w:val="00937DFB"/>
    <w:rsid w:val="00941D69"/>
    <w:rsid w:val="009423D3"/>
    <w:rsid w:val="0094349B"/>
    <w:rsid w:val="0094387B"/>
    <w:rsid w:val="0094413D"/>
    <w:rsid w:val="00944597"/>
    <w:rsid w:val="00944936"/>
    <w:rsid w:val="00944AA7"/>
    <w:rsid w:val="00944E0C"/>
    <w:rsid w:val="00945D3A"/>
    <w:rsid w:val="00945F13"/>
    <w:rsid w:val="00946182"/>
    <w:rsid w:val="0094662F"/>
    <w:rsid w:val="00946AD7"/>
    <w:rsid w:val="00946BEE"/>
    <w:rsid w:val="00947578"/>
    <w:rsid w:val="00947C30"/>
    <w:rsid w:val="00947F91"/>
    <w:rsid w:val="0095045E"/>
    <w:rsid w:val="00950571"/>
    <w:rsid w:val="00950790"/>
    <w:rsid w:val="00950B70"/>
    <w:rsid w:val="009519AF"/>
    <w:rsid w:val="00952D7C"/>
    <w:rsid w:val="0095311E"/>
    <w:rsid w:val="0095357C"/>
    <w:rsid w:val="00953695"/>
    <w:rsid w:val="00953886"/>
    <w:rsid w:val="009540D9"/>
    <w:rsid w:val="009543EF"/>
    <w:rsid w:val="009546F6"/>
    <w:rsid w:val="00954BBE"/>
    <w:rsid w:val="00954D33"/>
    <w:rsid w:val="00954D6A"/>
    <w:rsid w:val="0095626F"/>
    <w:rsid w:val="009569C9"/>
    <w:rsid w:val="00956BA1"/>
    <w:rsid w:val="00957063"/>
    <w:rsid w:val="00957876"/>
    <w:rsid w:val="00961356"/>
    <w:rsid w:val="009613FF"/>
    <w:rsid w:val="00961C25"/>
    <w:rsid w:val="0096299D"/>
    <w:rsid w:val="00962C9F"/>
    <w:rsid w:val="00962FC6"/>
    <w:rsid w:val="009632A2"/>
    <w:rsid w:val="00963954"/>
    <w:rsid w:val="00963C5D"/>
    <w:rsid w:val="00963D77"/>
    <w:rsid w:val="00963DA9"/>
    <w:rsid w:val="0096455D"/>
    <w:rsid w:val="00964E1A"/>
    <w:rsid w:val="00964E29"/>
    <w:rsid w:val="00964F55"/>
    <w:rsid w:val="00965963"/>
    <w:rsid w:val="00965CBF"/>
    <w:rsid w:val="00965CDB"/>
    <w:rsid w:val="00965EB3"/>
    <w:rsid w:val="00966271"/>
    <w:rsid w:val="009662E6"/>
    <w:rsid w:val="009665AD"/>
    <w:rsid w:val="00966874"/>
    <w:rsid w:val="00966EE4"/>
    <w:rsid w:val="009671B0"/>
    <w:rsid w:val="009709D2"/>
    <w:rsid w:val="009709DA"/>
    <w:rsid w:val="00972356"/>
    <w:rsid w:val="00973058"/>
    <w:rsid w:val="009730A3"/>
    <w:rsid w:val="009733A9"/>
    <w:rsid w:val="0097372C"/>
    <w:rsid w:val="00973814"/>
    <w:rsid w:val="009746A3"/>
    <w:rsid w:val="0097477E"/>
    <w:rsid w:val="00974822"/>
    <w:rsid w:val="009755CF"/>
    <w:rsid w:val="0097592E"/>
    <w:rsid w:val="00975BDF"/>
    <w:rsid w:val="00975D6B"/>
    <w:rsid w:val="00975D7B"/>
    <w:rsid w:val="009769C6"/>
    <w:rsid w:val="009778DE"/>
    <w:rsid w:val="00977ABC"/>
    <w:rsid w:val="00977F47"/>
    <w:rsid w:val="00980707"/>
    <w:rsid w:val="0098080D"/>
    <w:rsid w:val="00980A79"/>
    <w:rsid w:val="00980BCB"/>
    <w:rsid w:val="00980FD2"/>
    <w:rsid w:val="00982793"/>
    <w:rsid w:val="00982963"/>
    <w:rsid w:val="00982C54"/>
    <w:rsid w:val="009837EF"/>
    <w:rsid w:val="00983E09"/>
    <w:rsid w:val="00984016"/>
    <w:rsid w:val="00984BDC"/>
    <w:rsid w:val="00984C93"/>
    <w:rsid w:val="00985798"/>
    <w:rsid w:val="009857E0"/>
    <w:rsid w:val="00985A41"/>
    <w:rsid w:val="00987678"/>
    <w:rsid w:val="00987A1D"/>
    <w:rsid w:val="00987A56"/>
    <w:rsid w:val="009905F5"/>
    <w:rsid w:val="009918F8"/>
    <w:rsid w:val="009918FB"/>
    <w:rsid w:val="00991CE2"/>
    <w:rsid w:val="00991E4E"/>
    <w:rsid w:val="009920B7"/>
    <w:rsid w:val="00992BCD"/>
    <w:rsid w:val="00992E65"/>
    <w:rsid w:val="00994492"/>
    <w:rsid w:val="00994973"/>
    <w:rsid w:val="009956EB"/>
    <w:rsid w:val="009957DC"/>
    <w:rsid w:val="009961DF"/>
    <w:rsid w:val="00996637"/>
    <w:rsid w:val="00996B6C"/>
    <w:rsid w:val="00996E6F"/>
    <w:rsid w:val="00997868"/>
    <w:rsid w:val="00997B0C"/>
    <w:rsid w:val="00997C60"/>
    <w:rsid w:val="00997D07"/>
    <w:rsid w:val="009A01E8"/>
    <w:rsid w:val="009A0497"/>
    <w:rsid w:val="009A0F6A"/>
    <w:rsid w:val="009A1142"/>
    <w:rsid w:val="009A12EA"/>
    <w:rsid w:val="009A14B7"/>
    <w:rsid w:val="009A1825"/>
    <w:rsid w:val="009A1A9A"/>
    <w:rsid w:val="009A25B3"/>
    <w:rsid w:val="009A2930"/>
    <w:rsid w:val="009A2D21"/>
    <w:rsid w:val="009A3D03"/>
    <w:rsid w:val="009A42B9"/>
    <w:rsid w:val="009A4E6E"/>
    <w:rsid w:val="009A6F69"/>
    <w:rsid w:val="009B01C0"/>
    <w:rsid w:val="009B02A9"/>
    <w:rsid w:val="009B04DD"/>
    <w:rsid w:val="009B099A"/>
    <w:rsid w:val="009B0AFB"/>
    <w:rsid w:val="009B157C"/>
    <w:rsid w:val="009B1D90"/>
    <w:rsid w:val="009B2130"/>
    <w:rsid w:val="009B2293"/>
    <w:rsid w:val="009B233F"/>
    <w:rsid w:val="009B255E"/>
    <w:rsid w:val="009B25BD"/>
    <w:rsid w:val="009B2A45"/>
    <w:rsid w:val="009B2B7C"/>
    <w:rsid w:val="009B2C43"/>
    <w:rsid w:val="009B2E92"/>
    <w:rsid w:val="009B2FB1"/>
    <w:rsid w:val="009B3574"/>
    <w:rsid w:val="009B36BF"/>
    <w:rsid w:val="009B51C3"/>
    <w:rsid w:val="009B5872"/>
    <w:rsid w:val="009B5A80"/>
    <w:rsid w:val="009B6653"/>
    <w:rsid w:val="009B671B"/>
    <w:rsid w:val="009B6ACF"/>
    <w:rsid w:val="009B6B48"/>
    <w:rsid w:val="009B6D4E"/>
    <w:rsid w:val="009B7123"/>
    <w:rsid w:val="009B786F"/>
    <w:rsid w:val="009B7B65"/>
    <w:rsid w:val="009B7EB1"/>
    <w:rsid w:val="009B7FD0"/>
    <w:rsid w:val="009C0160"/>
    <w:rsid w:val="009C057B"/>
    <w:rsid w:val="009C0CEB"/>
    <w:rsid w:val="009C11D7"/>
    <w:rsid w:val="009C24B2"/>
    <w:rsid w:val="009C36CA"/>
    <w:rsid w:val="009C3E19"/>
    <w:rsid w:val="009C4967"/>
    <w:rsid w:val="009C4C06"/>
    <w:rsid w:val="009C4CD9"/>
    <w:rsid w:val="009C5537"/>
    <w:rsid w:val="009C597D"/>
    <w:rsid w:val="009C5BF6"/>
    <w:rsid w:val="009C5E96"/>
    <w:rsid w:val="009C6758"/>
    <w:rsid w:val="009C67BD"/>
    <w:rsid w:val="009C74B5"/>
    <w:rsid w:val="009C7BD2"/>
    <w:rsid w:val="009D0440"/>
    <w:rsid w:val="009D0615"/>
    <w:rsid w:val="009D0BE3"/>
    <w:rsid w:val="009D0E47"/>
    <w:rsid w:val="009D1A31"/>
    <w:rsid w:val="009D1F1C"/>
    <w:rsid w:val="009D21C6"/>
    <w:rsid w:val="009D2526"/>
    <w:rsid w:val="009D2620"/>
    <w:rsid w:val="009D2902"/>
    <w:rsid w:val="009D3AEC"/>
    <w:rsid w:val="009D4304"/>
    <w:rsid w:val="009D457E"/>
    <w:rsid w:val="009D45B2"/>
    <w:rsid w:val="009D46B1"/>
    <w:rsid w:val="009D5DA8"/>
    <w:rsid w:val="009D681E"/>
    <w:rsid w:val="009D6F18"/>
    <w:rsid w:val="009D7957"/>
    <w:rsid w:val="009D7CE6"/>
    <w:rsid w:val="009E008F"/>
    <w:rsid w:val="009E0870"/>
    <w:rsid w:val="009E0921"/>
    <w:rsid w:val="009E0D56"/>
    <w:rsid w:val="009E124F"/>
    <w:rsid w:val="009E1E03"/>
    <w:rsid w:val="009E262C"/>
    <w:rsid w:val="009E2EDA"/>
    <w:rsid w:val="009E347D"/>
    <w:rsid w:val="009E3B03"/>
    <w:rsid w:val="009E3FE8"/>
    <w:rsid w:val="009E45AC"/>
    <w:rsid w:val="009E470D"/>
    <w:rsid w:val="009E54A3"/>
    <w:rsid w:val="009E6057"/>
    <w:rsid w:val="009E6198"/>
    <w:rsid w:val="009E62B8"/>
    <w:rsid w:val="009E6430"/>
    <w:rsid w:val="009E6ECE"/>
    <w:rsid w:val="009E720C"/>
    <w:rsid w:val="009E733D"/>
    <w:rsid w:val="009E75F1"/>
    <w:rsid w:val="009E771F"/>
    <w:rsid w:val="009F03E5"/>
    <w:rsid w:val="009F0977"/>
    <w:rsid w:val="009F0E99"/>
    <w:rsid w:val="009F0F65"/>
    <w:rsid w:val="009F3214"/>
    <w:rsid w:val="009F39CE"/>
    <w:rsid w:val="009F4302"/>
    <w:rsid w:val="009F46D4"/>
    <w:rsid w:val="009F48BD"/>
    <w:rsid w:val="009F491E"/>
    <w:rsid w:val="009F53B0"/>
    <w:rsid w:val="009F5435"/>
    <w:rsid w:val="009F56A0"/>
    <w:rsid w:val="009F5965"/>
    <w:rsid w:val="009F5A4F"/>
    <w:rsid w:val="009F5C7B"/>
    <w:rsid w:val="009F6692"/>
    <w:rsid w:val="009F7221"/>
    <w:rsid w:val="009F749C"/>
    <w:rsid w:val="00A00ED6"/>
    <w:rsid w:val="00A00F82"/>
    <w:rsid w:val="00A012E8"/>
    <w:rsid w:val="00A01786"/>
    <w:rsid w:val="00A01D04"/>
    <w:rsid w:val="00A01D1B"/>
    <w:rsid w:val="00A02AB8"/>
    <w:rsid w:val="00A031C8"/>
    <w:rsid w:val="00A0341B"/>
    <w:rsid w:val="00A0444F"/>
    <w:rsid w:val="00A05393"/>
    <w:rsid w:val="00A0540A"/>
    <w:rsid w:val="00A05924"/>
    <w:rsid w:val="00A05948"/>
    <w:rsid w:val="00A06C94"/>
    <w:rsid w:val="00A0753C"/>
    <w:rsid w:val="00A10AAB"/>
    <w:rsid w:val="00A10FD3"/>
    <w:rsid w:val="00A11404"/>
    <w:rsid w:val="00A11675"/>
    <w:rsid w:val="00A12337"/>
    <w:rsid w:val="00A124D0"/>
    <w:rsid w:val="00A127AE"/>
    <w:rsid w:val="00A12D51"/>
    <w:rsid w:val="00A13C00"/>
    <w:rsid w:val="00A13E49"/>
    <w:rsid w:val="00A143E0"/>
    <w:rsid w:val="00A14548"/>
    <w:rsid w:val="00A1472E"/>
    <w:rsid w:val="00A14730"/>
    <w:rsid w:val="00A14C54"/>
    <w:rsid w:val="00A15360"/>
    <w:rsid w:val="00A15532"/>
    <w:rsid w:val="00A15B92"/>
    <w:rsid w:val="00A16E81"/>
    <w:rsid w:val="00A16F39"/>
    <w:rsid w:val="00A173E4"/>
    <w:rsid w:val="00A206F6"/>
    <w:rsid w:val="00A20E86"/>
    <w:rsid w:val="00A212FC"/>
    <w:rsid w:val="00A21C2A"/>
    <w:rsid w:val="00A21C3A"/>
    <w:rsid w:val="00A22274"/>
    <w:rsid w:val="00A222DA"/>
    <w:rsid w:val="00A223AF"/>
    <w:rsid w:val="00A2267C"/>
    <w:rsid w:val="00A23419"/>
    <w:rsid w:val="00A2467F"/>
    <w:rsid w:val="00A255BD"/>
    <w:rsid w:val="00A264F4"/>
    <w:rsid w:val="00A2678E"/>
    <w:rsid w:val="00A27289"/>
    <w:rsid w:val="00A27742"/>
    <w:rsid w:val="00A27F3C"/>
    <w:rsid w:val="00A30818"/>
    <w:rsid w:val="00A316E4"/>
    <w:rsid w:val="00A31C52"/>
    <w:rsid w:val="00A32793"/>
    <w:rsid w:val="00A32EE9"/>
    <w:rsid w:val="00A332F2"/>
    <w:rsid w:val="00A3385D"/>
    <w:rsid w:val="00A345EF"/>
    <w:rsid w:val="00A353C9"/>
    <w:rsid w:val="00A35521"/>
    <w:rsid w:val="00A35A3E"/>
    <w:rsid w:val="00A36099"/>
    <w:rsid w:val="00A36157"/>
    <w:rsid w:val="00A36896"/>
    <w:rsid w:val="00A36AD8"/>
    <w:rsid w:val="00A37290"/>
    <w:rsid w:val="00A376D1"/>
    <w:rsid w:val="00A379BA"/>
    <w:rsid w:val="00A379D5"/>
    <w:rsid w:val="00A40606"/>
    <w:rsid w:val="00A40A9F"/>
    <w:rsid w:val="00A411C7"/>
    <w:rsid w:val="00A412A4"/>
    <w:rsid w:val="00A418B1"/>
    <w:rsid w:val="00A41D46"/>
    <w:rsid w:val="00A4272B"/>
    <w:rsid w:val="00A42882"/>
    <w:rsid w:val="00A429CF"/>
    <w:rsid w:val="00A42A1D"/>
    <w:rsid w:val="00A42C7F"/>
    <w:rsid w:val="00A43E23"/>
    <w:rsid w:val="00A4432E"/>
    <w:rsid w:val="00A444EA"/>
    <w:rsid w:val="00A44E29"/>
    <w:rsid w:val="00A45752"/>
    <w:rsid w:val="00A461A9"/>
    <w:rsid w:val="00A4657D"/>
    <w:rsid w:val="00A46606"/>
    <w:rsid w:val="00A46ADD"/>
    <w:rsid w:val="00A46BA8"/>
    <w:rsid w:val="00A472EB"/>
    <w:rsid w:val="00A47AF9"/>
    <w:rsid w:val="00A502C9"/>
    <w:rsid w:val="00A50C36"/>
    <w:rsid w:val="00A51360"/>
    <w:rsid w:val="00A517EE"/>
    <w:rsid w:val="00A51861"/>
    <w:rsid w:val="00A51E1D"/>
    <w:rsid w:val="00A52BD9"/>
    <w:rsid w:val="00A53D81"/>
    <w:rsid w:val="00A54607"/>
    <w:rsid w:val="00A549AF"/>
    <w:rsid w:val="00A54A5D"/>
    <w:rsid w:val="00A54B0B"/>
    <w:rsid w:val="00A54BB1"/>
    <w:rsid w:val="00A54CD9"/>
    <w:rsid w:val="00A5615B"/>
    <w:rsid w:val="00A566F7"/>
    <w:rsid w:val="00A570C8"/>
    <w:rsid w:val="00A57A5D"/>
    <w:rsid w:val="00A60272"/>
    <w:rsid w:val="00A602A6"/>
    <w:rsid w:val="00A60423"/>
    <w:rsid w:val="00A60788"/>
    <w:rsid w:val="00A61225"/>
    <w:rsid w:val="00A614C9"/>
    <w:rsid w:val="00A6234A"/>
    <w:rsid w:val="00A624D4"/>
    <w:rsid w:val="00A626FE"/>
    <w:rsid w:val="00A62919"/>
    <w:rsid w:val="00A62BD8"/>
    <w:rsid w:val="00A636AF"/>
    <w:rsid w:val="00A63795"/>
    <w:rsid w:val="00A63817"/>
    <w:rsid w:val="00A63AEB"/>
    <w:rsid w:val="00A63DB6"/>
    <w:rsid w:val="00A63EB0"/>
    <w:rsid w:val="00A6450C"/>
    <w:rsid w:val="00A64BD2"/>
    <w:rsid w:val="00A64D55"/>
    <w:rsid w:val="00A64DFC"/>
    <w:rsid w:val="00A64E67"/>
    <w:rsid w:val="00A64E73"/>
    <w:rsid w:val="00A65708"/>
    <w:rsid w:val="00A6600F"/>
    <w:rsid w:val="00A66781"/>
    <w:rsid w:val="00A66CE1"/>
    <w:rsid w:val="00A66E7B"/>
    <w:rsid w:val="00A67C3F"/>
    <w:rsid w:val="00A7065D"/>
    <w:rsid w:val="00A70845"/>
    <w:rsid w:val="00A70C74"/>
    <w:rsid w:val="00A7125A"/>
    <w:rsid w:val="00A716A7"/>
    <w:rsid w:val="00A72344"/>
    <w:rsid w:val="00A72391"/>
    <w:rsid w:val="00A7311A"/>
    <w:rsid w:val="00A73821"/>
    <w:rsid w:val="00A74D53"/>
    <w:rsid w:val="00A74FE2"/>
    <w:rsid w:val="00A7503B"/>
    <w:rsid w:val="00A75DAF"/>
    <w:rsid w:val="00A75E53"/>
    <w:rsid w:val="00A76ACC"/>
    <w:rsid w:val="00A7718A"/>
    <w:rsid w:val="00A77244"/>
    <w:rsid w:val="00A77E9A"/>
    <w:rsid w:val="00A80316"/>
    <w:rsid w:val="00A80395"/>
    <w:rsid w:val="00A80DA2"/>
    <w:rsid w:val="00A80DCD"/>
    <w:rsid w:val="00A8110E"/>
    <w:rsid w:val="00A8225B"/>
    <w:rsid w:val="00A8360B"/>
    <w:rsid w:val="00A83691"/>
    <w:rsid w:val="00A83D76"/>
    <w:rsid w:val="00A84908"/>
    <w:rsid w:val="00A8520A"/>
    <w:rsid w:val="00A857D9"/>
    <w:rsid w:val="00A864EB"/>
    <w:rsid w:val="00A872F6"/>
    <w:rsid w:val="00A90857"/>
    <w:rsid w:val="00A908B5"/>
    <w:rsid w:val="00A90A64"/>
    <w:rsid w:val="00A91207"/>
    <w:rsid w:val="00A91448"/>
    <w:rsid w:val="00A918EA"/>
    <w:rsid w:val="00A91EA7"/>
    <w:rsid w:val="00A92245"/>
    <w:rsid w:val="00A93A78"/>
    <w:rsid w:val="00A941A0"/>
    <w:rsid w:val="00A94548"/>
    <w:rsid w:val="00A9552B"/>
    <w:rsid w:val="00A95869"/>
    <w:rsid w:val="00A96C78"/>
    <w:rsid w:val="00A97B2E"/>
    <w:rsid w:val="00AA0CF6"/>
    <w:rsid w:val="00AA0DA4"/>
    <w:rsid w:val="00AA165E"/>
    <w:rsid w:val="00AA18C0"/>
    <w:rsid w:val="00AA238B"/>
    <w:rsid w:val="00AA25A1"/>
    <w:rsid w:val="00AA280B"/>
    <w:rsid w:val="00AA2B6A"/>
    <w:rsid w:val="00AA2B8B"/>
    <w:rsid w:val="00AA3306"/>
    <w:rsid w:val="00AA3D6C"/>
    <w:rsid w:val="00AA47A4"/>
    <w:rsid w:val="00AA49FB"/>
    <w:rsid w:val="00AA4B70"/>
    <w:rsid w:val="00AA4CD0"/>
    <w:rsid w:val="00AA4D8B"/>
    <w:rsid w:val="00AA553A"/>
    <w:rsid w:val="00AA7756"/>
    <w:rsid w:val="00AA78F9"/>
    <w:rsid w:val="00AA7B2E"/>
    <w:rsid w:val="00AB2757"/>
    <w:rsid w:val="00AB2960"/>
    <w:rsid w:val="00AB2B31"/>
    <w:rsid w:val="00AB2EF4"/>
    <w:rsid w:val="00AB304F"/>
    <w:rsid w:val="00AB376D"/>
    <w:rsid w:val="00AB3EBC"/>
    <w:rsid w:val="00AB3F52"/>
    <w:rsid w:val="00AB4139"/>
    <w:rsid w:val="00AB4A42"/>
    <w:rsid w:val="00AB4F4E"/>
    <w:rsid w:val="00AB574B"/>
    <w:rsid w:val="00AB5833"/>
    <w:rsid w:val="00AB5B49"/>
    <w:rsid w:val="00AB6DF3"/>
    <w:rsid w:val="00AB776C"/>
    <w:rsid w:val="00AB7906"/>
    <w:rsid w:val="00AB79EC"/>
    <w:rsid w:val="00AB7DD6"/>
    <w:rsid w:val="00AB7FAB"/>
    <w:rsid w:val="00AC0629"/>
    <w:rsid w:val="00AC06AD"/>
    <w:rsid w:val="00AC07E9"/>
    <w:rsid w:val="00AC11E0"/>
    <w:rsid w:val="00AC1849"/>
    <w:rsid w:val="00AC1DB2"/>
    <w:rsid w:val="00AC1FA6"/>
    <w:rsid w:val="00AC23DD"/>
    <w:rsid w:val="00AC2BCD"/>
    <w:rsid w:val="00AC3937"/>
    <w:rsid w:val="00AC4096"/>
    <w:rsid w:val="00AC4436"/>
    <w:rsid w:val="00AC6197"/>
    <w:rsid w:val="00AC65AB"/>
    <w:rsid w:val="00AC6D7C"/>
    <w:rsid w:val="00AC758F"/>
    <w:rsid w:val="00AC7727"/>
    <w:rsid w:val="00AC7B18"/>
    <w:rsid w:val="00AD01BB"/>
    <w:rsid w:val="00AD02B4"/>
    <w:rsid w:val="00AD2D64"/>
    <w:rsid w:val="00AD2EC0"/>
    <w:rsid w:val="00AD2F11"/>
    <w:rsid w:val="00AD39A8"/>
    <w:rsid w:val="00AD3C78"/>
    <w:rsid w:val="00AD3FBA"/>
    <w:rsid w:val="00AD46E9"/>
    <w:rsid w:val="00AD4B1D"/>
    <w:rsid w:val="00AD4C0B"/>
    <w:rsid w:val="00AD4CDC"/>
    <w:rsid w:val="00AD52E4"/>
    <w:rsid w:val="00AD54EF"/>
    <w:rsid w:val="00AD5620"/>
    <w:rsid w:val="00AD56C8"/>
    <w:rsid w:val="00AD5C7A"/>
    <w:rsid w:val="00AD640D"/>
    <w:rsid w:val="00AD65D2"/>
    <w:rsid w:val="00AD6B21"/>
    <w:rsid w:val="00AD6D7F"/>
    <w:rsid w:val="00AD6EAD"/>
    <w:rsid w:val="00AD714E"/>
    <w:rsid w:val="00AD74CD"/>
    <w:rsid w:val="00AD77BD"/>
    <w:rsid w:val="00AE08C5"/>
    <w:rsid w:val="00AE0DAF"/>
    <w:rsid w:val="00AE14FF"/>
    <w:rsid w:val="00AE1E77"/>
    <w:rsid w:val="00AE2786"/>
    <w:rsid w:val="00AE300F"/>
    <w:rsid w:val="00AE311C"/>
    <w:rsid w:val="00AE32FC"/>
    <w:rsid w:val="00AE3778"/>
    <w:rsid w:val="00AE3926"/>
    <w:rsid w:val="00AE3ECD"/>
    <w:rsid w:val="00AE46AA"/>
    <w:rsid w:val="00AE4DC3"/>
    <w:rsid w:val="00AE5F4E"/>
    <w:rsid w:val="00AE6061"/>
    <w:rsid w:val="00AE62A1"/>
    <w:rsid w:val="00AE64F9"/>
    <w:rsid w:val="00AE6B36"/>
    <w:rsid w:val="00AE6D3A"/>
    <w:rsid w:val="00AE7367"/>
    <w:rsid w:val="00AE755D"/>
    <w:rsid w:val="00AE78D3"/>
    <w:rsid w:val="00AE7B5C"/>
    <w:rsid w:val="00AF0388"/>
    <w:rsid w:val="00AF048C"/>
    <w:rsid w:val="00AF05EF"/>
    <w:rsid w:val="00AF0863"/>
    <w:rsid w:val="00AF0CED"/>
    <w:rsid w:val="00AF0E5D"/>
    <w:rsid w:val="00AF1013"/>
    <w:rsid w:val="00AF2837"/>
    <w:rsid w:val="00AF29BB"/>
    <w:rsid w:val="00AF2B88"/>
    <w:rsid w:val="00AF42C4"/>
    <w:rsid w:val="00AF481A"/>
    <w:rsid w:val="00AF4C06"/>
    <w:rsid w:val="00AF54E4"/>
    <w:rsid w:val="00AF565D"/>
    <w:rsid w:val="00AF5F08"/>
    <w:rsid w:val="00AF5F2E"/>
    <w:rsid w:val="00AF63A9"/>
    <w:rsid w:val="00AF6482"/>
    <w:rsid w:val="00AF739D"/>
    <w:rsid w:val="00AF75A8"/>
    <w:rsid w:val="00AF75E9"/>
    <w:rsid w:val="00AF7EBD"/>
    <w:rsid w:val="00B0007A"/>
    <w:rsid w:val="00B00194"/>
    <w:rsid w:val="00B006A9"/>
    <w:rsid w:val="00B016A8"/>
    <w:rsid w:val="00B01ECE"/>
    <w:rsid w:val="00B02499"/>
    <w:rsid w:val="00B03017"/>
    <w:rsid w:val="00B03DE0"/>
    <w:rsid w:val="00B040C3"/>
    <w:rsid w:val="00B04672"/>
    <w:rsid w:val="00B04D7A"/>
    <w:rsid w:val="00B04E24"/>
    <w:rsid w:val="00B05901"/>
    <w:rsid w:val="00B06148"/>
    <w:rsid w:val="00B06302"/>
    <w:rsid w:val="00B068F2"/>
    <w:rsid w:val="00B07446"/>
    <w:rsid w:val="00B0761F"/>
    <w:rsid w:val="00B10278"/>
    <w:rsid w:val="00B105EC"/>
    <w:rsid w:val="00B107BA"/>
    <w:rsid w:val="00B11817"/>
    <w:rsid w:val="00B11987"/>
    <w:rsid w:val="00B11B3B"/>
    <w:rsid w:val="00B121F1"/>
    <w:rsid w:val="00B12922"/>
    <w:rsid w:val="00B1304F"/>
    <w:rsid w:val="00B13310"/>
    <w:rsid w:val="00B138B0"/>
    <w:rsid w:val="00B13F23"/>
    <w:rsid w:val="00B15408"/>
    <w:rsid w:val="00B154EA"/>
    <w:rsid w:val="00B15A74"/>
    <w:rsid w:val="00B164E4"/>
    <w:rsid w:val="00B16720"/>
    <w:rsid w:val="00B16824"/>
    <w:rsid w:val="00B168F6"/>
    <w:rsid w:val="00B16FAA"/>
    <w:rsid w:val="00B1735D"/>
    <w:rsid w:val="00B20054"/>
    <w:rsid w:val="00B20969"/>
    <w:rsid w:val="00B20C3B"/>
    <w:rsid w:val="00B2109F"/>
    <w:rsid w:val="00B21702"/>
    <w:rsid w:val="00B21C32"/>
    <w:rsid w:val="00B22390"/>
    <w:rsid w:val="00B2258D"/>
    <w:rsid w:val="00B225B0"/>
    <w:rsid w:val="00B22607"/>
    <w:rsid w:val="00B227F2"/>
    <w:rsid w:val="00B230AD"/>
    <w:rsid w:val="00B23129"/>
    <w:rsid w:val="00B23222"/>
    <w:rsid w:val="00B23252"/>
    <w:rsid w:val="00B24995"/>
    <w:rsid w:val="00B24BF6"/>
    <w:rsid w:val="00B26467"/>
    <w:rsid w:val="00B30950"/>
    <w:rsid w:val="00B31371"/>
    <w:rsid w:val="00B318B0"/>
    <w:rsid w:val="00B31925"/>
    <w:rsid w:val="00B31929"/>
    <w:rsid w:val="00B31E83"/>
    <w:rsid w:val="00B3230A"/>
    <w:rsid w:val="00B325B0"/>
    <w:rsid w:val="00B328FC"/>
    <w:rsid w:val="00B32A08"/>
    <w:rsid w:val="00B3347F"/>
    <w:rsid w:val="00B334B0"/>
    <w:rsid w:val="00B33AEF"/>
    <w:rsid w:val="00B33B3D"/>
    <w:rsid w:val="00B33D7E"/>
    <w:rsid w:val="00B3411C"/>
    <w:rsid w:val="00B34244"/>
    <w:rsid w:val="00B343A0"/>
    <w:rsid w:val="00B34707"/>
    <w:rsid w:val="00B34F44"/>
    <w:rsid w:val="00B35A86"/>
    <w:rsid w:val="00B36327"/>
    <w:rsid w:val="00B3640C"/>
    <w:rsid w:val="00B36711"/>
    <w:rsid w:val="00B378C5"/>
    <w:rsid w:val="00B37B22"/>
    <w:rsid w:val="00B37DC8"/>
    <w:rsid w:val="00B40436"/>
    <w:rsid w:val="00B40B38"/>
    <w:rsid w:val="00B4136C"/>
    <w:rsid w:val="00B41C54"/>
    <w:rsid w:val="00B41E9D"/>
    <w:rsid w:val="00B4271C"/>
    <w:rsid w:val="00B428E6"/>
    <w:rsid w:val="00B42A04"/>
    <w:rsid w:val="00B42A51"/>
    <w:rsid w:val="00B42AE4"/>
    <w:rsid w:val="00B42CA5"/>
    <w:rsid w:val="00B43453"/>
    <w:rsid w:val="00B4504C"/>
    <w:rsid w:val="00B450F8"/>
    <w:rsid w:val="00B4533D"/>
    <w:rsid w:val="00B45D41"/>
    <w:rsid w:val="00B477AC"/>
    <w:rsid w:val="00B47949"/>
    <w:rsid w:val="00B47A0F"/>
    <w:rsid w:val="00B47CFD"/>
    <w:rsid w:val="00B47E9A"/>
    <w:rsid w:val="00B50649"/>
    <w:rsid w:val="00B509C2"/>
    <w:rsid w:val="00B50F3A"/>
    <w:rsid w:val="00B511AA"/>
    <w:rsid w:val="00B513A9"/>
    <w:rsid w:val="00B51CD6"/>
    <w:rsid w:val="00B51DCA"/>
    <w:rsid w:val="00B51E06"/>
    <w:rsid w:val="00B51EDA"/>
    <w:rsid w:val="00B53563"/>
    <w:rsid w:val="00B53923"/>
    <w:rsid w:val="00B5400D"/>
    <w:rsid w:val="00B5424E"/>
    <w:rsid w:val="00B549A2"/>
    <w:rsid w:val="00B549E8"/>
    <w:rsid w:val="00B54B5B"/>
    <w:rsid w:val="00B54C46"/>
    <w:rsid w:val="00B55516"/>
    <w:rsid w:val="00B557B6"/>
    <w:rsid w:val="00B55E3F"/>
    <w:rsid w:val="00B55E95"/>
    <w:rsid w:val="00B5705D"/>
    <w:rsid w:val="00B5787D"/>
    <w:rsid w:val="00B57F44"/>
    <w:rsid w:val="00B60A1E"/>
    <w:rsid w:val="00B60E61"/>
    <w:rsid w:val="00B61595"/>
    <w:rsid w:val="00B61A6C"/>
    <w:rsid w:val="00B6327A"/>
    <w:rsid w:val="00B633CC"/>
    <w:rsid w:val="00B6344A"/>
    <w:rsid w:val="00B639F9"/>
    <w:rsid w:val="00B64526"/>
    <w:rsid w:val="00B64C90"/>
    <w:rsid w:val="00B653A9"/>
    <w:rsid w:val="00B65707"/>
    <w:rsid w:val="00B657A0"/>
    <w:rsid w:val="00B65934"/>
    <w:rsid w:val="00B65FA8"/>
    <w:rsid w:val="00B6636A"/>
    <w:rsid w:val="00B66384"/>
    <w:rsid w:val="00B664D8"/>
    <w:rsid w:val="00B66502"/>
    <w:rsid w:val="00B66868"/>
    <w:rsid w:val="00B669F8"/>
    <w:rsid w:val="00B67178"/>
    <w:rsid w:val="00B679DE"/>
    <w:rsid w:val="00B67D62"/>
    <w:rsid w:val="00B67EB0"/>
    <w:rsid w:val="00B7014D"/>
    <w:rsid w:val="00B7017B"/>
    <w:rsid w:val="00B703A1"/>
    <w:rsid w:val="00B70EC8"/>
    <w:rsid w:val="00B70F5F"/>
    <w:rsid w:val="00B722B5"/>
    <w:rsid w:val="00B72DC4"/>
    <w:rsid w:val="00B72EE5"/>
    <w:rsid w:val="00B73579"/>
    <w:rsid w:val="00B7378F"/>
    <w:rsid w:val="00B73CCA"/>
    <w:rsid w:val="00B73CD4"/>
    <w:rsid w:val="00B73F2E"/>
    <w:rsid w:val="00B74113"/>
    <w:rsid w:val="00B7478F"/>
    <w:rsid w:val="00B74981"/>
    <w:rsid w:val="00B74A55"/>
    <w:rsid w:val="00B75291"/>
    <w:rsid w:val="00B756C5"/>
    <w:rsid w:val="00B76930"/>
    <w:rsid w:val="00B76FC8"/>
    <w:rsid w:val="00B77376"/>
    <w:rsid w:val="00B7752C"/>
    <w:rsid w:val="00B8087E"/>
    <w:rsid w:val="00B80C58"/>
    <w:rsid w:val="00B80CEA"/>
    <w:rsid w:val="00B827C5"/>
    <w:rsid w:val="00B828A3"/>
    <w:rsid w:val="00B831DD"/>
    <w:rsid w:val="00B83A74"/>
    <w:rsid w:val="00B83B44"/>
    <w:rsid w:val="00B83D1F"/>
    <w:rsid w:val="00B83E06"/>
    <w:rsid w:val="00B8406D"/>
    <w:rsid w:val="00B84190"/>
    <w:rsid w:val="00B84D8C"/>
    <w:rsid w:val="00B8587F"/>
    <w:rsid w:val="00B863AE"/>
    <w:rsid w:val="00B866FE"/>
    <w:rsid w:val="00B87943"/>
    <w:rsid w:val="00B9057D"/>
    <w:rsid w:val="00B907A1"/>
    <w:rsid w:val="00B90A45"/>
    <w:rsid w:val="00B91213"/>
    <w:rsid w:val="00B91546"/>
    <w:rsid w:val="00B91738"/>
    <w:rsid w:val="00B919DC"/>
    <w:rsid w:val="00B91D3B"/>
    <w:rsid w:val="00B921A7"/>
    <w:rsid w:val="00B9286F"/>
    <w:rsid w:val="00B93466"/>
    <w:rsid w:val="00B93966"/>
    <w:rsid w:val="00B93B74"/>
    <w:rsid w:val="00B9413C"/>
    <w:rsid w:val="00B94293"/>
    <w:rsid w:val="00B94810"/>
    <w:rsid w:val="00B948DB"/>
    <w:rsid w:val="00B94B1E"/>
    <w:rsid w:val="00B94C3C"/>
    <w:rsid w:val="00B94C7C"/>
    <w:rsid w:val="00B94E57"/>
    <w:rsid w:val="00B95977"/>
    <w:rsid w:val="00B95E15"/>
    <w:rsid w:val="00B9649D"/>
    <w:rsid w:val="00B965DD"/>
    <w:rsid w:val="00B96E02"/>
    <w:rsid w:val="00B9718C"/>
    <w:rsid w:val="00B97249"/>
    <w:rsid w:val="00B97A64"/>
    <w:rsid w:val="00BA0176"/>
    <w:rsid w:val="00BA0D64"/>
    <w:rsid w:val="00BA0F5F"/>
    <w:rsid w:val="00BA11C5"/>
    <w:rsid w:val="00BA1691"/>
    <w:rsid w:val="00BA2000"/>
    <w:rsid w:val="00BA2270"/>
    <w:rsid w:val="00BA2497"/>
    <w:rsid w:val="00BA2618"/>
    <w:rsid w:val="00BA326C"/>
    <w:rsid w:val="00BA3475"/>
    <w:rsid w:val="00BA40C2"/>
    <w:rsid w:val="00BA4224"/>
    <w:rsid w:val="00BA5E54"/>
    <w:rsid w:val="00BA78FA"/>
    <w:rsid w:val="00BB0023"/>
    <w:rsid w:val="00BB0786"/>
    <w:rsid w:val="00BB0D36"/>
    <w:rsid w:val="00BB102B"/>
    <w:rsid w:val="00BB13A7"/>
    <w:rsid w:val="00BB1709"/>
    <w:rsid w:val="00BB2350"/>
    <w:rsid w:val="00BB2359"/>
    <w:rsid w:val="00BB249D"/>
    <w:rsid w:val="00BB2E7A"/>
    <w:rsid w:val="00BB3E07"/>
    <w:rsid w:val="00BB438F"/>
    <w:rsid w:val="00BB45FB"/>
    <w:rsid w:val="00BB6B10"/>
    <w:rsid w:val="00BB6E16"/>
    <w:rsid w:val="00BB6EB6"/>
    <w:rsid w:val="00BB729C"/>
    <w:rsid w:val="00BB76DF"/>
    <w:rsid w:val="00BC0A00"/>
    <w:rsid w:val="00BC0CBE"/>
    <w:rsid w:val="00BC0D74"/>
    <w:rsid w:val="00BC1511"/>
    <w:rsid w:val="00BC17AA"/>
    <w:rsid w:val="00BC17BE"/>
    <w:rsid w:val="00BC18F8"/>
    <w:rsid w:val="00BC2D4F"/>
    <w:rsid w:val="00BC2DEC"/>
    <w:rsid w:val="00BC2FCC"/>
    <w:rsid w:val="00BC3052"/>
    <w:rsid w:val="00BC366D"/>
    <w:rsid w:val="00BC3B51"/>
    <w:rsid w:val="00BC4187"/>
    <w:rsid w:val="00BC45CD"/>
    <w:rsid w:val="00BC468A"/>
    <w:rsid w:val="00BC4C7B"/>
    <w:rsid w:val="00BC501E"/>
    <w:rsid w:val="00BC5025"/>
    <w:rsid w:val="00BC61F0"/>
    <w:rsid w:val="00BC7728"/>
    <w:rsid w:val="00BC7D24"/>
    <w:rsid w:val="00BC7D34"/>
    <w:rsid w:val="00BD0413"/>
    <w:rsid w:val="00BD0C96"/>
    <w:rsid w:val="00BD128E"/>
    <w:rsid w:val="00BD1F29"/>
    <w:rsid w:val="00BD2230"/>
    <w:rsid w:val="00BD2989"/>
    <w:rsid w:val="00BD2E17"/>
    <w:rsid w:val="00BD36AC"/>
    <w:rsid w:val="00BD3CC2"/>
    <w:rsid w:val="00BD42B0"/>
    <w:rsid w:val="00BD4367"/>
    <w:rsid w:val="00BD43C3"/>
    <w:rsid w:val="00BD483E"/>
    <w:rsid w:val="00BD4B08"/>
    <w:rsid w:val="00BD633D"/>
    <w:rsid w:val="00BD6E3E"/>
    <w:rsid w:val="00BD6FE6"/>
    <w:rsid w:val="00BD7B1A"/>
    <w:rsid w:val="00BE08CE"/>
    <w:rsid w:val="00BE0BDD"/>
    <w:rsid w:val="00BE1842"/>
    <w:rsid w:val="00BE2171"/>
    <w:rsid w:val="00BE25A4"/>
    <w:rsid w:val="00BE2808"/>
    <w:rsid w:val="00BE2B80"/>
    <w:rsid w:val="00BE2ED0"/>
    <w:rsid w:val="00BE3370"/>
    <w:rsid w:val="00BE370A"/>
    <w:rsid w:val="00BE3B2E"/>
    <w:rsid w:val="00BE4286"/>
    <w:rsid w:val="00BE452E"/>
    <w:rsid w:val="00BE4622"/>
    <w:rsid w:val="00BE4E88"/>
    <w:rsid w:val="00BE51D2"/>
    <w:rsid w:val="00BE5595"/>
    <w:rsid w:val="00BE567D"/>
    <w:rsid w:val="00BE5C0C"/>
    <w:rsid w:val="00BE5FB9"/>
    <w:rsid w:val="00BE61B6"/>
    <w:rsid w:val="00BE647C"/>
    <w:rsid w:val="00BE650A"/>
    <w:rsid w:val="00BE655B"/>
    <w:rsid w:val="00BE6AEB"/>
    <w:rsid w:val="00BE7CC4"/>
    <w:rsid w:val="00BF00A2"/>
    <w:rsid w:val="00BF053C"/>
    <w:rsid w:val="00BF06E4"/>
    <w:rsid w:val="00BF0F81"/>
    <w:rsid w:val="00BF0FBB"/>
    <w:rsid w:val="00BF23DF"/>
    <w:rsid w:val="00BF268F"/>
    <w:rsid w:val="00BF2FAE"/>
    <w:rsid w:val="00BF385C"/>
    <w:rsid w:val="00BF3951"/>
    <w:rsid w:val="00BF5157"/>
    <w:rsid w:val="00BF6B8B"/>
    <w:rsid w:val="00BF6B96"/>
    <w:rsid w:val="00C005DB"/>
    <w:rsid w:val="00C01B5D"/>
    <w:rsid w:val="00C01D9A"/>
    <w:rsid w:val="00C01E5B"/>
    <w:rsid w:val="00C02696"/>
    <w:rsid w:val="00C02808"/>
    <w:rsid w:val="00C02D22"/>
    <w:rsid w:val="00C03042"/>
    <w:rsid w:val="00C0349A"/>
    <w:rsid w:val="00C04A7D"/>
    <w:rsid w:val="00C04D24"/>
    <w:rsid w:val="00C04D5A"/>
    <w:rsid w:val="00C04FDB"/>
    <w:rsid w:val="00C050E8"/>
    <w:rsid w:val="00C05301"/>
    <w:rsid w:val="00C05D0C"/>
    <w:rsid w:val="00C06A01"/>
    <w:rsid w:val="00C06B4D"/>
    <w:rsid w:val="00C0708A"/>
    <w:rsid w:val="00C07893"/>
    <w:rsid w:val="00C079DC"/>
    <w:rsid w:val="00C10E13"/>
    <w:rsid w:val="00C120C0"/>
    <w:rsid w:val="00C12508"/>
    <w:rsid w:val="00C1295B"/>
    <w:rsid w:val="00C13270"/>
    <w:rsid w:val="00C13E53"/>
    <w:rsid w:val="00C13EF0"/>
    <w:rsid w:val="00C1405A"/>
    <w:rsid w:val="00C14AF4"/>
    <w:rsid w:val="00C155A5"/>
    <w:rsid w:val="00C15700"/>
    <w:rsid w:val="00C15A21"/>
    <w:rsid w:val="00C15C8F"/>
    <w:rsid w:val="00C16447"/>
    <w:rsid w:val="00C17846"/>
    <w:rsid w:val="00C17AAA"/>
    <w:rsid w:val="00C202C8"/>
    <w:rsid w:val="00C210F5"/>
    <w:rsid w:val="00C22109"/>
    <w:rsid w:val="00C22301"/>
    <w:rsid w:val="00C2275A"/>
    <w:rsid w:val="00C22BE4"/>
    <w:rsid w:val="00C22E54"/>
    <w:rsid w:val="00C22EBB"/>
    <w:rsid w:val="00C23A28"/>
    <w:rsid w:val="00C23C31"/>
    <w:rsid w:val="00C23E7B"/>
    <w:rsid w:val="00C241EC"/>
    <w:rsid w:val="00C24706"/>
    <w:rsid w:val="00C24ED8"/>
    <w:rsid w:val="00C2539E"/>
    <w:rsid w:val="00C2545A"/>
    <w:rsid w:val="00C25785"/>
    <w:rsid w:val="00C2632A"/>
    <w:rsid w:val="00C26BA5"/>
    <w:rsid w:val="00C27254"/>
    <w:rsid w:val="00C3076E"/>
    <w:rsid w:val="00C30A2E"/>
    <w:rsid w:val="00C30AB4"/>
    <w:rsid w:val="00C30BBE"/>
    <w:rsid w:val="00C30D8F"/>
    <w:rsid w:val="00C316D8"/>
    <w:rsid w:val="00C318EC"/>
    <w:rsid w:val="00C31CC0"/>
    <w:rsid w:val="00C3203A"/>
    <w:rsid w:val="00C324EB"/>
    <w:rsid w:val="00C32E6B"/>
    <w:rsid w:val="00C33045"/>
    <w:rsid w:val="00C33394"/>
    <w:rsid w:val="00C33736"/>
    <w:rsid w:val="00C34B58"/>
    <w:rsid w:val="00C3578A"/>
    <w:rsid w:val="00C35974"/>
    <w:rsid w:val="00C35E92"/>
    <w:rsid w:val="00C35ED6"/>
    <w:rsid w:val="00C364F8"/>
    <w:rsid w:val="00C378CE"/>
    <w:rsid w:val="00C37C70"/>
    <w:rsid w:val="00C40B15"/>
    <w:rsid w:val="00C40C84"/>
    <w:rsid w:val="00C41A41"/>
    <w:rsid w:val="00C42BDA"/>
    <w:rsid w:val="00C42D06"/>
    <w:rsid w:val="00C4306B"/>
    <w:rsid w:val="00C43274"/>
    <w:rsid w:val="00C43E8C"/>
    <w:rsid w:val="00C450AD"/>
    <w:rsid w:val="00C45162"/>
    <w:rsid w:val="00C46EA7"/>
    <w:rsid w:val="00C505FF"/>
    <w:rsid w:val="00C509D3"/>
    <w:rsid w:val="00C5128D"/>
    <w:rsid w:val="00C51355"/>
    <w:rsid w:val="00C517C9"/>
    <w:rsid w:val="00C51880"/>
    <w:rsid w:val="00C522A9"/>
    <w:rsid w:val="00C52DC2"/>
    <w:rsid w:val="00C530A6"/>
    <w:rsid w:val="00C534C2"/>
    <w:rsid w:val="00C54490"/>
    <w:rsid w:val="00C54CA1"/>
    <w:rsid w:val="00C56A75"/>
    <w:rsid w:val="00C56F56"/>
    <w:rsid w:val="00C57111"/>
    <w:rsid w:val="00C60028"/>
    <w:rsid w:val="00C60191"/>
    <w:rsid w:val="00C60BBD"/>
    <w:rsid w:val="00C61C14"/>
    <w:rsid w:val="00C6256A"/>
    <w:rsid w:val="00C6287F"/>
    <w:rsid w:val="00C636E5"/>
    <w:rsid w:val="00C6393B"/>
    <w:rsid w:val="00C63CA5"/>
    <w:rsid w:val="00C63E94"/>
    <w:rsid w:val="00C64658"/>
    <w:rsid w:val="00C64CD0"/>
    <w:rsid w:val="00C66396"/>
    <w:rsid w:val="00C663E7"/>
    <w:rsid w:val="00C66A38"/>
    <w:rsid w:val="00C67184"/>
    <w:rsid w:val="00C67A0F"/>
    <w:rsid w:val="00C67CDD"/>
    <w:rsid w:val="00C71D74"/>
    <w:rsid w:val="00C7208B"/>
    <w:rsid w:val="00C724D2"/>
    <w:rsid w:val="00C7339C"/>
    <w:rsid w:val="00C734E1"/>
    <w:rsid w:val="00C73A58"/>
    <w:rsid w:val="00C74547"/>
    <w:rsid w:val="00C74661"/>
    <w:rsid w:val="00C746AE"/>
    <w:rsid w:val="00C74A91"/>
    <w:rsid w:val="00C74C26"/>
    <w:rsid w:val="00C759FF"/>
    <w:rsid w:val="00C75B33"/>
    <w:rsid w:val="00C75C12"/>
    <w:rsid w:val="00C77FF5"/>
    <w:rsid w:val="00C807C2"/>
    <w:rsid w:val="00C80971"/>
    <w:rsid w:val="00C80993"/>
    <w:rsid w:val="00C80A7A"/>
    <w:rsid w:val="00C80A99"/>
    <w:rsid w:val="00C81CB4"/>
    <w:rsid w:val="00C827B0"/>
    <w:rsid w:val="00C8480F"/>
    <w:rsid w:val="00C850F4"/>
    <w:rsid w:val="00C85510"/>
    <w:rsid w:val="00C87729"/>
    <w:rsid w:val="00C8797D"/>
    <w:rsid w:val="00C9016D"/>
    <w:rsid w:val="00C902D7"/>
    <w:rsid w:val="00C90F04"/>
    <w:rsid w:val="00C9260D"/>
    <w:rsid w:val="00C928AE"/>
    <w:rsid w:val="00C929A5"/>
    <w:rsid w:val="00C9304A"/>
    <w:rsid w:val="00C935EF"/>
    <w:rsid w:val="00C9381C"/>
    <w:rsid w:val="00C94463"/>
    <w:rsid w:val="00C945B1"/>
    <w:rsid w:val="00C94BC7"/>
    <w:rsid w:val="00C94C57"/>
    <w:rsid w:val="00C94CD6"/>
    <w:rsid w:val="00C94E16"/>
    <w:rsid w:val="00C9554A"/>
    <w:rsid w:val="00C96388"/>
    <w:rsid w:val="00C9661C"/>
    <w:rsid w:val="00C971CD"/>
    <w:rsid w:val="00C9775D"/>
    <w:rsid w:val="00CA10EB"/>
    <w:rsid w:val="00CA12BA"/>
    <w:rsid w:val="00CA23B4"/>
    <w:rsid w:val="00CA2ADC"/>
    <w:rsid w:val="00CA31D5"/>
    <w:rsid w:val="00CA33DE"/>
    <w:rsid w:val="00CA3D48"/>
    <w:rsid w:val="00CA4F76"/>
    <w:rsid w:val="00CA5B78"/>
    <w:rsid w:val="00CA62CF"/>
    <w:rsid w:val="00CA6695"/>
    <w:rsid w:val="00CA6D43"/>
    <w:rsid w:val="00CA6E61"/>
    <w:rsid w:val="00CA70B9"/>
    <w:rsid w:val="00CA7A09"/>
    <w:rsid w:val="00CA7AFD"/>
    <w:rsid w:val="00CB001D"/>
    <w:rsid w:val="00CB0E87"/>
    <w:rsid w:val="00CB1742"/>
    <w:rsid w:val="00CB19AD"/>
    <w:rsid w:val="00CB2E1A"/>
    <w:rsid w:val="00CB3A6F"/>
    <w:rsid w:val="00CB41EA"/>
    <w:rsid w:val="00CB4519"/>
    <w:rsid w:val="00CB4696"/>
    <w:rsid w:val="00CB511B"/>
    <w:rsid w:val="00CB5AC1"/>
    <w:rsid w:val="00CB6752"/>
    <w:rsid w:val="00CB6793"/>
    <w:rsid w:val="00CB6A0A"/>
    <w:rsid w:val="00CB6D6D"/>
    <w:rsid w:val="00CB79B7"/>
    <w:rsid w:val="00CB7E48"/>
    <w:rsid w:val="00CC0312"/>
    <w:rsid w:val="00CC08CC"/>
    <w:rsid w:val="00CC0F1C"/>
    <w:rsid w:val="00CC1544"/>
    <w:rsid w:val="00CC1815"/>
    <w:rsid w:val="00CC1999"/>
    <w:rsid w:val="00CC1A2C"/>
    <w:rsid w:val="00CC1C4A"/>
    <w:rsid w:val="00CC1DE3"/>
    <w:rsid w:val="00CC27C4"/>
    <w:rsid w:val="00CC3307"/>
    <w:rsid w:val="00CC3393"/>
    <w:rsid w:val="00CC3809"/>
    <w:rsid w:val="00CC3A89"/>
    <w:rsid w:val="00CC41F6"/>
    <w:rsid w:val="00CC4E6D"/>
    <w:rsid w:val="00CC53AA"/>
    <w:rsid w:val="00CC5D8E"/>
    <w:rsid w:val="00CC67BF"/>
    <w:rsid w:val="00CC6942"/>
    <w:rsid w:val="00CC6E03"/>
    <w:rsid w:val="00CC7744"/>
    <w:rsid w:val="00CC7751"/>
    <w:rsid w:val="00CCBBCF"/>
    <w:rsid w:val="00CD058E"/>
    <w:rsid w:val="00CD0B40"/>
    <w:rsid w:val="00CD0BD1"/>
    <w:rsid w:val="00CD2871"/>
    <w:rsid w:val="00CD2890"/>
    <w:rsid w:val="00CD2C94"/>
    <w:rsid w:val="00CD3DD1"/>
    <w:rsid w:val="00CD3F58"/>
    <w:rsid w:val="00CD4014"/>
    <w:rsid w:val="00CD44C8"/>
    <w:rsid w:val="00CD5A0E"/>
    <w:rsid w:val="00CD5DAE"/>
    <w:rsid w:val="00CD6401"/>
    <w:rsid w:val="00CD74B8"/>
    <w:rsid w:val="00CD789C"/>
    <w:rsid w:val="00CD7C25"/>
    <w:rsid w:val="00CE0689"/>
    <w:rsid w:val="00CE0C1F"/>
    <w:rsid w:val="00CE0DF1"/>
    <w:rsid w:val="00CE18AD"/>
    <w:rsid w:val="00CE1F0F"/>
    <w:rsid w:val="00CE30A6"/>
    <w:rsid w:val="00CE4254"/>
    <w:rsid w:val="00CE42A1"/>
    <w:rsid w:val="00CE4A83"/>
    <w:rsid w:val="00CE4F9A"/>
    <w:rsid w:val="00CE5B5B"/>
    <w:rsid w:val="00CE5BEF"/>
    <w:rsid w:val="00CE5FC9"/>
    <w:rsid w:val="00CE6109"/>
    <w:rsid w:val="00CE6738"/>
    <w:rsid w:val="00CE6796"/>
    <w:rsid w:val="00CE775C"/>
    <w:rsid w:val="00CE7A3A"/>
    <w:rsid w:val="00CE7C01"/>
    <w:rsid w:val="00CE7D67"/>
    <w:rsid w:val="00CF042A"/>
    <w:rsid w:val="00CF0EE5"/>
    <w:rsid w:val="00CF2024"/>
    <w:rsid w:val="00CF24BB"/>
    <w:rsid w:val="00CF340A"/>
    <w:rsid w:val="00CF3F30"/>
    <w:rsid w:val="00CF3FBF"/>
    <w:rsid w:val="00CF4298"/>
    <w:rsid w:val="00CF43B3"/>
    <w:rsid w:val="00CF4634"/>
    <w:rsid w:val="00CF4866"/>
    <w:rsid w:val="00CF4AD8"/>
    <w:rsid w:val="00CF4D3C"/>
    <w:rsid w:val="00CF55F3"/>
    <w:rsid w:val="00CF61B6"/>
    <w:rsid w:val="00CF61D9"/>
    <w:rsid w:val="00CF669B"/>
    <w:rsid w:val="00CF671F"/>
    <w:rsid w:val="00CF6BB9"/>
    <w:rsid w:val="00CF7194"/>
    <w:rsid w:val="00CF72CA"/>
    <w:rsid w:val="00CF7881"/>
    <w:rsid w:val="00CF79C7"/>
    <w:rsid w:val="00CF7EAB"/>
    <w:rsid w:val="00D000B1"/>
    <w:rsid w:val="00D00503"/>
    <w:rsid w:val="00D00846"/>
    <w:rsid w:val="00D01096"/>
    <w:rsid w:val="00D01950"/>
    <w:rsid w:val="00D02509"/>
    <w:rsid w:val="00D029E4"/>
    <w:rsid w:val="00D02C89"/>
    <w:rsid w:val="00D0319A"/>
    <w:rsid w:val="00D03B35"/>
    <w:rsid w:val="00D03CDD"/>
    <w:rsid w:val="00D03FA2"/>
    <w:rsid w:val="00D04238"/>
    <w:rsid w:val="00D04919"/>
    <w:rsid w:val="00D04F36"/>
    <w:rsid w:val="00D04FDE"/>
    <w:rsid w:val="00D052B4"/>
    <w:rsid w:val="00D05A27"/>
    <w:rsid w:val="00D067E8"/>
    <w:rsid w:val="00D06ADB"/>
    <w:rsid w:val="00D071B0"/>
    <w:rsid w:val="00D07E33"/>
    <w:rsid w:val="00D1000E"/>
    <w:rsid w:val="00D10076"/>
    <w:rsid w:val="00D11072"/>
    <w:rsid w:val="00D11AB7"/>
    <w:rsid w:val="00D12778"/>
    <w:rsid w:val="00D12781"/>
    <w:rsid w:val="00D13547"/>
    <w:rsid w:val="00D13692"/>
    <w:rsid w:val="00D13B5A"/>
    <w:rsid w:val="00D1488F"/>
    <w:rsid w:val="00D14C1A"/>
    <w:rsid w:val="00D15858"/>
    <w:rsid w:val="00D1603D"/>
    <w:rsid w:val="00D16690"/>
    <w:rsid w:val="00D16E66"/>
    <w:rsid w:val="00D1714C"/>
    <w:rsid w:val="00D1715C"/>
    <w:rsid w:val="00D17E15"/>
    <w:rsid w:val="00D20645"/>
    <w:rsid w:val="00D2071D"/>
    <w:rsid w:val="00D208D2"/>
    <w:rsid w:val="00D20D4C"/>
    <w:rsid w:val="00D20F40"/>
    <w:rsid w:val="00D222B4"/>
    <w:rsid w:val="00D22AD5"/>
    <w:rsid w:val="00D22E45"/>
    <w:rsid w:val="00D233EF"/>
    <w:rsid w:val="00D23895"/>
    <w:rsid w:val="00D23A87"/>
    <w:rsid w:val="00D23E73"/>
    <w:rsid w:val="00D2428C"/>
    <w:rsid w:val="00D2449C"/>
    <w:rsid w:val="00D24AAD"/>
    <w:rsid w:val="00D252D1"/>
    <w:rsid w:val="00D25C35"/>
    <w:rsid w:val="00D26E57"/>
    <w:rsid w:val="00D2734A"/>
    <w:rsid w:val="00D2758D"/>
    <w:rsid w:val="00D275AC"/>
    <w:rsid w:val="00D27839"/>
    <w:rsid w:val="00D27E19"/>
    <w:rsid w:val="00D3177D"/>
    <w:rsid w:val="00D32C5C"/>
    <w:rsid w:val="00D32E72"/>
    <w:rsid w:val="00D337D1"/>
    <w:rsid w:val="00D3392B"/>
    <w:rsid w:val="00D33EFF"/>
    <w:rsid w:val="00D342E7"/>
    <w:rsid w:val="00D343C2"/>
    <w:rsid w:val="00D34E2E"/>
    <w:rsid w:val="00D34EEF"/>
    <w:rsid w:val="00D34F4F"/>
    <w:rsid w:val="00D35165"/>
    <w:rsid w:val="00D3526C"/>
    <w:rsid w:val="00D354A3"/>
    <w:rsid w:val="00D357D2"/>
    <w:rsid w:val="00D35822"/>
    <w:rsid w:val="00D35E5E"/>
    <w:rsid w:val="00D37458"/>
    <w:rsid w:val="00D374F4"/>
    <w:rsid w:val="00D37A44"/>
    <w:rsid w:val="00D403B6"/>
    <w:rsid w:val="00D406B9"/>
    <w:rsid w:val="00D40AC2"/>
    <w:rsid w:val="00D40AF7"/>
    <w:rsid w:val="00D40BA0"/>
    <w:rsid w:val="00D4142A"/>
    <w:rsid w:val="00D41FA2"/>
    <w:rsid w:val="00D420DA"/>
    <w:rsid w:val="00D4246A"/>
    <w:rsid w:val="00D42C31"/>
    <w:rsid w:val="00D43E31"/>
    <w:rsid w:val="00D4436B"/>
    <w:rsid w:val="00D44B4F"/>
    <w:rsid w:val="00D4500D"/>
    <w:rsid w:val="00D45B4B"/>
    <w:rsid w:val="00D478C9"/>
    <w:rsid w:val="00D47F5E"/>
    <w:rsid w:val="00D50283"/>
    <w:rsid w:val="00D5090E"/>
    <w:rsid w:val="00D50E22"/>
    <w:rsid w:val="00D50F87"/>
    <w:rsid w:val="00D51030"/>
    <w:rsid w:val="00D5127D"/>
    <w:rsid w:val="00D516A0"/>
    <w:rsid w:val="00D517C1"/>
    <w:rsid w:val="00D527BA"/>
    <w:rsid w:val="00D52AA5"/>
    <w:rsid w:val="00D52B27"/>
    <w:rsid w:val="00D52FCC"/>
    <w:rsid w:val="00D540BE"/>
    <w:rsid w:val="00D54EFA"/>
    <w:rsid w:val="00D552DD"/>
    <w:rsid w:val="00D562E0"/>
    <w:rsid w:val="00D576EB"/>
    <w:rsid w:val="00D57864"/>
    <w:rsid w:val="00D57887"/>
    <w:rsid w:val="00D60604"/>
    <w:rsid w:val="00D6062B"/>
    <w:rsid w:val="00D61087"/>
    <w:rsid w:val="00D611DE"/>
    <w:rsid w:val="00D6128E"/>
    <w:rsid w:val="00D62942"/>
    <w:rsid w:val="00D62B67"/>
    <w:rsid w:val="00D63682"/>
    <w:rsid w:val="00D64154"/>
    <w:rsid w:val="00D64409"/>
    <w:rsid w:val="00D649CF"/>
    <w:rsid w:val="00D6581F"/>
    <w:rsid w:val="00D65FDE"/>
    <w:rsid w:val="00D675F9"/>
    <w:rsid w:val="00D6772B"/>
    <w:rsid w:val="00D6783C"/>
    <w:rsid w:val="00D67FEA"/>
    <w:rsid w:val="00D70300"/>
    <w:rsid w:val="00D70BCF"/>
    <w:rsid w:val="00D71F7D"/>
    <w:rsid w:val="00D71F97"/>
    <w:rsid w:val="00D72025"/>
    <w:rsid w:val="00D72260"/>
    <w:rsid w:val="00D7239D"/>
    <w:rsid w:val="00D726B6"/>
    <w:rsid w:val="00D72774"/>
    <w:rsid w:val="00D73421"/>
    <w:rsid w:val="00D734D6"/>
    <w:rsid w:val="00D741E3"/>
    <w:rsid w:val="00D7450E"/>
    <w:rsid w:val="00D7482B"/>
    <w:rsid w:val="00D74A41"/>
    <w:rsid w:val="00D75135"/>
    <w:rsid w:val="00D761C1"/>
    <w:rsid w:val="00D76907"/>
    <w:rsid w:val="00D76DF7"/>
    <w:rsid w:val="00D77770"/>
    <w:rsid w:val="00D80379"/>
    <w:rsid w:val="00D81644"/>
    <w:rsid w:val="00D81C6E"/>
    <w:rsid w:val="00D81D6C"/>
    <w:rsid w:val="00D82189"/>
    <w:rsid w:val="00D83119"/>
    <w:rsid w:val="00D8362D"/>
    <w:rsid w:val="00D84621"/>
    <w:rsid w:val="00D847D0"/>
    <w:rsid w:val="00D85D6C"/>
    <w:rsid w:val="00D85EDB"/>
    <w:rsid w:val="00D8640C"/>
    <w:rsid w:val="00D86BCE"/>
    <w:rsid w:val="00D8754E"/>
    <w:rsid w:val="00D87870"/>
    <w:rsid w:val="00D87A1C"/>
    <w:rsid w:val="00D87F3F"/>
    <w:rsid w:val="00D901FA"/>
    <w:rsid w:val="00D90615"/>
    <w:rsid w:val="00D9102F"/>
    <w:rsid w:val="00D911AA"/>
    <w:rsid w:val="00D9210E"/>
    <w:rsid w:val="00D92B16"/>
    <w:rsid w:val="00D92EA2"/>
    <w:rsid w:val="00D92F77"/>
    <w:rsid w:val="00D94014"/>
    <w:rsid w:val="00D94177"/>
    <w:rsid w:val="00D9441D"/>
    <w:rsid w:val="00D9456D"/>
    <w:rsid w:val="00D94877"/>
    <w:rsid w:val="00D9509E"/>
    <w:rsid w:val="00D954B4"/>
    <w:rsid w:val="00D95618"/>
    <w:rsid w:val="00D95A9D"/>
    <w:rsid w:val="00D95AEB"/>
    <w:rsid w:val="00D95CFF"/>
    <w:rsid w:val="00D966CC"/>
    <w:rsid w:val="00D96F59"/>
    <w:rsid w:val="00DA02FD"/>
    <w:rsid w:val="00DA04ED"/>
    <w:rsid w:val="00DA0C39"/>
    <w:rsid w:val="00DA166D"/>
    <w:rsid w:val="00DA169F"/>
    <w:rsid w:val="00DA1897"/>
    <w:rsid w:val="00DA23C1"/>
    <w:rsid w:val="00DA2586"/>
    <w:rsid w:val="00DA25D4"/>
    <w:rsid w:val="00DA354A"/>
    <w:rsid w:val="00DA35CD"/>
    <w:rsid w:val="00DA55F8"/>
    <w:rsid w:val="00DA5C45"/>
    <w:rsid w:val="00DA5F57"/>
    <w:rsid w:val="00DA5FC8"/>
    <w:rsid w:val="00DA664C"/>
    <w:rsid w:val="00DA6934"/>
    <w:rsid w:val="00DA728D"/>
    <w:rsid w:val="00DA791C"/>
    <w:rsid w:val="00DA7A25"/>
    <w:rsid w:val="00DA7F34"/>
    <w:rsid w:val="00DB1237"/>
    <w:rsid w:val="00DB1702"/>
    <w:rsid w:val="00DB17A2"/>
    <w:rsid w:val="00DB1847"/>
    <w:rsid w:val="00DB1D74"/>
    <w:rsid w:val="00DB25E4"/>
    <w:rsid w:val="00DB290B"/>
    <w:rsid w:val="00DB3167"/>
    <w:rsid w:val="00DB3596"/>
    <w:rsid w:val="00DB36C2"/>
    <w:rsid w:val="00DB3BB0"/>
    <w:rsid w:val="00DB41FB"/>
    <w:rsid w:val="00DB41FF"/>
    <w:rsid w:val="00DB45EC"/>
    <w:rsid w:val="00DB4917"/>
    <w:rsid w:val="00DB50F7"/>
    <w:rsid w:val="00DB5F07"/>
    <w:rsid w:val="00DB6524"/>
    <w:rsid w:val="00DB6AC8"/>
    <w:rsid w:val="00DB6B99"/>
    <w:rsid w:val="00DB6C93"/>
    <w:rsid w:val="00DB6D0F"/>
    <w:rsid w:val="00DB7DBC"/>
    <w:rsid w:val="00DC01BD"/>
    <w:rsid w:val="00DC097F"/>
    <w:rsid w:val="00DC0B3A"/>
    <w:rsid w:val="00DC14F0"/>
    <w:rsid w:val="00DC1945"/>
    <w:rsid w:val="00DC34CE"/>
    <w:rsid w:val="00DC38E2"/>
    <w:rsid w:val="00DC3DE0"/>
    <w:rsid w:val="00DC42FC"/>
    <w:rsid w:val="00DC4D19"/>
    <w:rsid w:val="00DC53E6"/>
    <w:rsid w:val="00DC5CCE"/>
    <w:rsid w:val="00DC5D87"/>
    <w:rsid w:val="00DC5F0C"/>
    <w:rsid w:val="00DC68C9"/>
    <w:rsid w:val="00DC6DF8"/>
    <w:rsid w:val="00DC7006"/>
    <w:rsid w:val="00DC710D"/>
    <w:rsid w:val="00DC78B1"/>
    <w:rsid w:val="00DD05E5"/>
    <w:rsid w:val="00DD082C"/>
    <w:rsid w:val="00DD0BC0"/>
    <w:rsid w:val="00DD10F8"/>
    <w:rsid w:val="00DD121F"/>
    <w:rsid w:val="00DD1507"/>
    <w:rsid w:val="00DD1B1B"/>
    <w:rsid w:val="00DD20F3"/>
    <w:rsid w:val="00DD32DC"/>
    <w:rsid w:val="00DD3BEA"/>
    <w:rsid w:val="00DD4009"/>
    <w:rsid w:val="00DD4296"/>
    <w:rsid w:val="00DD467E"/>
    <w:rsid w:val="00DD49A4"/>
    <w:rsid w:val="00DD4DC6"/>
    <w:rsid w:val="00DD4FFD"/>
    <w:rsid w:val="00DD617D"/>
    <w:rsid w:val="00DD61F5"/>
    <w:rsid w:val="00DD692C"/>
    <w:rsid w:val="00DD6CA4"/>
    <w:rsid w:val="00DE04E0"/>
    <w:rsid w:val="00DE04EF"/>
    <w:rsid w:val="00DE06E0"/>
    <w:rsid w:val="00DE095E"/>
    <w:rsid w:val="00DE1B0A"/>
    <w:rsid w:val="00DE2192"/>
    <w:rsid w:val="00DE2D05"/>
    <w:rsid w:val="00DE33C1"/>
    <w:rsid w:val="00DE3984"/>
    <w:rsid w:val="00DE39BF"/>
    <w:rsid w:val="00DE39C4"/>
    <w:rsid w:val="00DE3D0B"/>
    <w:rsid w:val="00DE3D5C"/>
    <w:rsid w:val="00DE55FF"/>
    <w:rsid w:val="00DE56F4"/>
    <w:rsid w:val="00DE5F6F"/>
    <w:rsid w:val="00DE71CE"/>
    <w:rsid w:val="00DE79D3"/>
    <w:rsid w:val="00DE7C4E"/>
    <w:rsid w:val="00DE7C5D"/>
    <w:rsid w:val="00DE7F03"/>
    <w:rsid w:val="00DF0142"/>
    <w:rsid w:val="00DF0F9D"/>
    <w:rsid w:val="00DF109E"/>
    <w:rsid w:val="00DF1C80"/>
    <w:rsid w:val="00DF2D8A"/>
    <w:rsid w:val="00DF2F4B"/>
    <w:rsid w:val="00DF3C49"/>
    <w:rsid w:val="00DF62FE"/>
    <w:rsid w:val="00DF71A3"/>
    <w:rsid w:val="00DF7BA5"/>
    <w:rsid w:val="00E000AA"/>
    <w:rsid w:val="00E0013C"/>
    <w:rsid w:val="00E00448"/>
    <w:rsid w:val="00E0051B"/>
    <w:rsid w:val="00E00B23"/>
    <w:rsid w:val="00E0117D"/>
    <w:rsid w:val="00E01242"/>
    <w:rsid w:val="00E01729"/>
    <w:rsid w:val="00E0181D"/>
    <w:rsid w:val="00E01E8F"/>
    <w:rsid w:val="00E023A6"/>
    <w:rsid w:val="00E02DDF"/>
    <w:rsid w:val="00E0310F"/>
    <w:rsid w:val="00E03125"/>
    <w:rsid w:val="00E04D0E"/>
    <w:rsid w:val="00E04D95"/>
    <w:rsid w:val="00E04F6A"/>
    <w:rsid w:val="00E05BB9"/>
    <w:rsid w:val="00E068D6"/>
    <w:rsid w:val="00E06F4E"/>
    <w:rsid w:val="00E071EE"/>
    <w:rsid w:val="00E072DD"/>
    <w:rsid w:val="00E07442"/>
    <w:rsid w:val="00E0769B"/>
    <w:rsid w:val="00E07A52"/>
    <w:rsid w:val="00E10081"/>
    <w:rsid w:val="00E10B5C"/>
    <w:rsid w:val="00E10BFD"/>
    <w:rsid w:val="00E111CF"/>
    <w:rsid w:val="00E11760"/>
    <w:rsid w:val="00E11945"/>
    <w:rsid w:val="00E119E8"/>
    <w:rsid w:val="00E11AE7"/>
    <w:rsid w:val="00E12062"/>
    <w:rsid w:val="00E127B5"/>
    <w:rsid w:val="00E12973"/>
    <w:rsid w:val="00E12A2D"/>
    <w:rsid w:val="00E137C0"/>
    <w:rsid w:val="00E141EC"/>
    <w:rsid w:val="00E14792"/>
    <w:rsid w:val="00E14DAE"/>
    <w:rsid w:val="00E155FA"/>
    <w:rsid w:val="00E1575E"/>
    <w:rsid w:val="00E15D93"/>
    <w:rsid w:val="00E1641B"/>
    <w:rsid w:val="00E16600"/>
    <w:rsid w:val="00E169CD"/>
    <w:rsid w:val="00E16BED"/>
    <w:rsid w:val="00E17A25"/>
    <w:rsid w:val="00E17BC2"/>
    <w:rsid w:val="00E205A2"/>
    <w:rsid w:val="00E20CAB"/>
    <w:rsid w:val="00E217A2"/>
    <w:rsid w:val="00E2280E"/>
    <w:rsid w:val="00E228DE"/>
    <w:rsid w:val="00E23208"/>
    <w:rsid w:val="00E238C6"/>
    <w:rsid w:val="00E244E4"/>
    <w:rsid w:val="00E24758"/>
    <w:rsid w:val="00E24D7A"/>
    <w:rsid w:val="00E25087"/>
    <w:rsid w:val="00E259A2"/>
    <w:rsid w:val="00E259D6"/>
    <w:rsid w:val="00E26D7A"/>
    <w:rsid w:val="00E2763D"/>
    <w:rsid w:val="00E2798C"/>
    <w:rsid w:val="00E3099A"/>
    <w:rsid w:val="00E30E47"/>
    <w:rsid w:val="00E311B7"/>
    <w:rsid w:val="00E32D10"/>
    <w:rsid w:val="00E3374A"/>
    <w:rsid w:val="00E33EDC"/>
    <w:rsid w:val="00E33FAF"/>
    <w:rsid w:val="00E345DB"/>
    <w:rsid w:val="00E3545D"/>
    <w:rsid w:val="00E3574A"/>
    <w:rsid w:val="00E3586A"/>
    <w:rsid w:val="00E35A46"/>
    <w:rsid w:val="00E36123"/>
    <w:rsid w:val="00E36925"/>
    <w:rsid w:val="00E3761A"/>
    <w:rsid w:val="00E404F2"/>
    <w:rsid w:val="00E40533"/>
    <w:rsid w:val="00E405B8"/>
    <w:rsid w:val="00E4083F"/>
    <w:rsid w:val="00E40DC4"/>
    <w:rsid w:val="00E42DE5"/>
    <w:rsid w:val="00E43399"/>
    <w:rsid w:val="00E435D8"/>
    <w:rsid w:val="00E43611"/>
    <w:rsid w:val="00E43C1B"/>
    <w:rsid w:val="00E43FBE"/>
    <w:rsid w:val="00E4448D"/>
    <w:rsid w:val="00E452A5"/>
    <w:rsid w:val="00E45FDE"/>
    <w:rsid w:val="00E46461"/>
    <w:rsid w:val="00E46F96"/>
    <w:rsid w:val="00E47347"/>
    <w:rsid w:val="00E475AC"/>
    <w:rsid w:val="00E47608"/>
    <w:rsid w:val="00E47F9F"/>
    <w:rsid w:val="00E50D28"/>
    <w:rsid w:val="00E50F44"/>
    <w:rsid w:val="00E510DD"/>
    <w:rsid w:val="00E51807"/>
    <w:rsid w:val="00E51DC4"/>
    <w:rsid w:val="00E5238B"/>
    <w:rsid w:val="00E52EAD"/>
    <w:rsid w:val="00E52F74"/>
    <w:rsid w:val="00E53301"/>
    <w:rsid w:val="00E53642"/>
    <w:rsid w:val="00E53896"/>
    <w:rsid w:val="00E54172"/>
    <w:rsid w:val="00E542F5"/>
    <w:rsid w:val="00E54314"/>
    <w:rsid w:val="00E54BE5"/>
    <w:rsid w:val="00E55072"/>
    <w:rsid w:val="00E557E5"/>
    <w:rsid w:val="00E5597A"/>
    <w:rsid w:val="00E55ABB"/>
    <w:rsid w:val="00E55F87"/>
    <w:rsid w:val="00E56688"/>
    <w:rsid w:val="00E5686D"/>
    <w:rsid w:val="00E56CA9"/>
    <w:rsid w:val="00E575D1"/>
    <w:rsid w:val="00E57E09"/>
    <w:rsid w:val="00E60070"/>
    <w:rsid w:val="00E6030D"/>
    <w:rsid w:val="00E6038C"/>
    <w:rsid w:val="00E60876"/>
    <w:rsid w:val="00E60BCA"/>
    <w:rsid w:val="00E61459"/>
    <w:rsid w:val="00E6163B"/>
    <w:rsid w:val="00E6171F"/>
    <w:rsid w:val="00E6205E"/>
    <w:rsid w:val="00E6240E"/>
    <w:rsid w:val="00E626A9"/>
    <w:rsid w:val="00E62B1A"/>
    <w:rsid w:val="00E62FEA"/>
    <w:rsid w:val="00E6414E"/>
    <w:rsid w:val="00E6444B"/>
    <w:rsid w:val="00E644BF"/>
    <w:rsid w:val="00E64602"/>
    <w:rsid w:val="00E64AB3"/>
    <w:rsid w:val="00E6566A"/>
    <w:rsid w:val="00E65963"/>
    <w:rsid w:val="00E659E5"/>
    <w:rsid w:val="00E65DE2"/>
    <w:rsid w:val="00E65EC0"/>
    <w:rsid w:val="00E660DE"/>
    <w:rsid w:val="00E66433"/>
    <w:rsid w:val="00E6732F"/>
    <w:rsid w:val="00E67995"/>
    <w:rsid w:val="00E67A57"/>
    <w:rsid w:val="00E67B60"/>
    <w:rsid w:val="00E67D90"/>
    <w:rsid w:val="00E70F9D"/>
    <w:rsid w:val="00E71437"/>
    <w:rsid w:val="00E7144F"/>
    <w:rsid w:val="00E720CA"/>
    <w:rsid w:val="00E72931"/>
    <w:rsid w:val="00E72AB3"/>
    <w:rsid w:val="00E7353D"/>
    <w:rsid w:val="00E74B87"/>
    <w:rsid w:val="00E74DC5"/>
    <w:rsid w:val="00E74FDF"/>
    <w:rsid w:val="00E750BA"/>
    <w:rsid w:val="00E75380"/>
    <w:rsid w:val="00E75F3A"/>
    <w:rsid w:val="00E7665D"/>
    <w:rsid w:val="00E766DF"/>
    <w:rsid w:val="00E7698F"/>
    <w:rsid w:val="00E777A3"/>
    <w:rsid w:val="00E77B66"/>
    <w:rsid w:val="00E8012E"/>
    <w:rsid w:val="00E8172C"/>
    <w:rsid w:val="00E81F35"/>
    <w:rsid w:val="00E8294F"/>
    <w:rsid w:val="00E82A56"/>
    <w:rsid w:val="00E82B1A"/>
    <w:rsid w:val="00E836DC"/>
    <w:rsid w:val="00E8372D"/>
    <w:rsid w:val="00E83D8A"/>
    <w:rsid w:val="00E840FE"/>
    <w:rsid w:val="00E84900"/>
    <w:rsid w:val="00E84B37"/>
    <w:rsid w:val="00E850A2"/>
    <w:rsid w:val="00E859F7"/>
    <w:rsid w:val="00E85E30"/>
    <w:rsid w:val="00E86156"/>
    <w:rsid w:val="00E877CA"/>
    <w:rsid w:val="00E87B74"/>
    <w:rsid w:val="00E90217"/>
    <w:rsid w:val="00E90731"/>
    <w:rsid w:val="00E9141F"/>
    <w:rsid w:val="00E9173D"/>
    <w:rsid w:val="00E9198A"/>
    <w:rsid w:val="00E91E84"/>
    <w:rsid w:val="00E92092"/>
    <w:rsid w:val="00E927C0"/>
    <w:rsid w:val="00E938CE"/>
    <w:rsid w:val="00E93C53"/>
    <w:rsid w:val="00E94019"/>
    <w:rsid w:val="00E94B90"/>
    <w:rsid w:val="00E951CB"/>
    <w:rsid w:val="00E95A84"/>
    <w:rsid w:val="00E96CB5"/>
    <w:rsid w:val="00E96D30"/>
    <w:rsid w:val="00E96D94"/>
    <w:rsid w:val="00E971A5"/>
    <w:rsid w:val="00E97503"/>
    <w:rsid w:val="00E9789E"/>
    <w:rsid w:val="00E97B0E"/>
    <w:rsid w:val="00E97BF4"/>
    <w:rsid w:val="00E97C8E"/>
    <w:rsid w:val="00E97FA3"/>
    <w:rsid w:val="00EA03CE"/>
    <w:rsid w:val="00EA0B74"/>
    <w:rsid w:val="00EA132D"/>
    <w:rsid w:val="00EA1494"/>
    <w:rsid w:val="00EA257D"/>
    <w:rsid w:val="00EA2A88"/>
    <w:rsid w:val="00EA2BE4"/>
    <w:rsid w:val="00EA3317"/>
    <w:rsid w:val="00EA372F"/>
    <w:rsid w:val="00EA3989"/>
    <w:rsid w:val="00EA3E93"/>
    <w:rsid w:val="00EA4238"/>
    <w:rsid w:val="00EA507E"/>
    <w:rsid w:val="00EA5C83"/>
    <w:rsid w:val="00EA5D92"/>
    <w:rsid w:val="00EA5FB5"/>
    <w:rsid w:val="00EA6552"/>
    <w:rsid w:val="00EA76EF"/>
    <w:rsid w:val="00EA78FF"/>
    <w:rsid w:val="00EA7E52"/>
    <w:rsid w:val="00EB002B"/>
    <w:rsid w:val="00EB0046"/>
    <w:rsid w:val="00EB0434"/>
    <w:rsid w:val="00EB066D"/>
    <w:rsid w:val="00EB08D1"/>
    <w:rsid w:val="00EB094A"/>
    <w:rsid w:val="00EB0FDF"/>
    <w:rsid w:val="00EB1407"/>
    <w:rsid w:val="00EB1FA5"/>
    <w:rsid w:val="00EB279B"/>
    <w:rsid w:val="00EB2855"/>
    <w:rsid w:val="00EB2CA5"/>
    <w:rsid w:val="00EB306C"/>
    <w:rsid w:val="00EB3574"/>
    <w:rsid w:val="00EB43FD"/>
    <w:rsid w:val="00EB44BE"/>
    <w:rsid w:val="00EB4682"/>
    <w:rsid w:val="00EB477D"/>
    <w:rsid w:val="00EB5A9A"/>
    <w:rsid w:val="00EB5C90"/>
    <w:rsid w:val="00EB5CE1"/>
    <w:rsid w:val="00EB63C5"/>
    <w:rsid w:val="00EB6C2D"/>
    <w:rsid w:val="00EB76C6"/>
    <w:rsid w:val="00EB7FCF"/>
    <w:rsid w:val="00EC00AE"/>
    <w:rsid w:val="00EC0175"/>
    <w:rsid w:val="00EC141A"/>
    <w:rsid w:val="00EC28E5"/>
    <w:rsid w:val="00EC4124"/>
    <w:rsid w:val="00EC5183"/>
    <w:rsid w:val="00EC6350"/>
    <w:rsid w:val="00EC6703"/>
    <w:rsid w:val="00EC6B93"/>
    <w:rsid w:val="00EC71FB"/>
    <w:rsid w:val="00EC741D"/>
    <w:rsid w:val="00ED1258"/>
    <w:rsid w:val="00ED1A37"/>
    <w:rsid w:val="00ED33F9"/>
    <w:rsid w:val="00ED348B"/>
    <w:rsid w:val="00ED368F"/>
    <w:rsid w:val="00ED4E6B"/>
    <w:rsid w:val="00ED53EE"/>
    <w:rsid w:val="00ED5A97"/>
    <w:rsid w:val="00ED5CF1"/>
    <w:rsid w:val="00ED602A"/>
    <w:rsid w:val="00ED70B4"/>
    <w:rsid w:val="00ED7273"/>
    <w:rsid w:val="00ED728A"/>
    <w:rsid w:val="00ED73D9"/>
    <w:rsid w:val="00EE0868"/>
    <w:rsid w:val="00EE0D2B"/>
    <w:rsid w:val="00EE0DA9"/>
    <w:rsid w:val="00EE1372"/>
    <w:rsid w:val="00EE1647"/>
    <w:rsid w:val="00EE1AA4"/>
    <w:rsid w:val="00EE1BFF"/>
    <w:rsid w:val="00EE1F4E"/>
    <w:rsid w:val="00EE225B"/>
    <w:rsid w:val="00EE318F"/>
    <w:rsid w:val="00EE3B31"/>
    <w:rsid w:val="00EE3D3F"/>
    <w:rsid w:val="00EE522F"/>
    <w:rsid w:val="00EE523C"/>
    <w:rsid w:val="00EE585D"/>
    <w:rsid w:val="00EE699A"/>
    <w:rsid w:val="00EE6BD9"/>
    <w:rsid w:val="00EE7B9B"/>
    <w:rsid w:val="00EF0849"/>
    <w:rsid w:val="00EF09D4"/>
    <w:rsid w:val="00EF0B54"/>
    <w:rsid w:val="00EF0B62"/>
    <w:rsid w:val="00EF1135"/>
    <w:rsid w:val="00EF1989"/>
    <w:rsid w:val="00EF24C4"/>
    <w:rsid w:val="00EF30E4"/>
    <w:rsid w:val="00EF3A40"/>
    <w:rsid w:val="00EF3D9F"/>
    <w:rsid w:val="00EF468B"/>
    <w:rsid w:val="00EF5429"/>
    <w:rsid w:val="00EF5902"/>
    <w:rsid w:val="00EF64B4"/>
    <w:rsid w:val="00EF65B2"/>
    <w:rsid w:val="00EF67AA"/>
    <w:rsid w:val="00EF6B25"/>
    <w:rsid w:val="00EF6C88"/>
    <w:rsid w:val="00F00505"/>
    <w:rsid w:val="00F0078E"/>
    <w:rsid w:val="00F0110A"/>
    <w:rsid w:val="00F01371"/>
    <w:rsid w:val="00F01947"/>
    <w:rsid w:val="00F021D6"/>
    <w:rsid w:val="00F02857"/>
    <w:rsid w:val="00F029D9"/>
    <w:rsid w:val="00F02AC9"/>
    <w:rsid w:val="00F02EA5"/>
    <w:rsid w:val="00F031F6"/>
    <w:rsid w:val="00F03424"/>
    <w:rsid w:val="00F03520"/>
    <w:rsid w:val="00F04B14"/>
    <w:rsid w:val="00F04CDD"/>
    <w:rsid w:val="00F04D45"/>
    <w:rsid w:val="00F04E55"/>
    <w:rsid w:val="00F0606D"/>
    <w:rsid w:val="00F06858"/>
    <w:rsid w:val="00F071A7"/>
    <w:rsid w:val="00F07291"/>
    <w:rsid w:val="00F072E6"/>
    <w:rsid w:val="00F0778D"/>
    <w:rsid w:val="00F077D3"/>
    <w:rsid w:val="00F07E0C"/>
    <w:rsid w:val="00F1025E"/>
    <w:rsid w:val="00F10B1C"/>
    <w:rsid w:val="00F113C4"/>
    <w:rsid w:val="00F11898"/>
    <w:rsid w:val="00F1239E"/>
    <w:rsid w:val="00F1285E"/>
    <w:rsid w:val="00F1328C"/>
    <w:rsid w:val="00F132CB"/>
    <w:rsid w:val="00F13817"/>
    <w:rsid w:val="00F13939"/>
    <w:rsid w:val="00F13B21"/>
    <w:rsid w:val="00F13C16"/>
    <w:rsid w:val="00F13D16"/>
    <w:rsid w:val="00F1431D"/>
    <w:rsid w:val="00F14463"/>
    <w:rsid w:val="00F14A60"/>
    <w:rsid w:val="00F14DA1"/>
    <w:rsid w:val="00F151EE"/>
    <w:rsid w:val="00F1653E"/>
    <w:rsid w:val="00F1671E"/>
    <w:rsid w:val="00F16BD5"/>
    <w:rsid w:val="00F16C75"/>
    <w:rsid w:val="00F17962"/>
    <w:rsid w:val="00F179E9"/>
    <w:rsid w:val="00F17FE9"/>
    <w:rsid w:val="00F20243"/>
    <w:rsid w:val="00F2026B"/>
    <w:rsid w:val="00F20A17"/>
    <w:rsid w:val="00F20D01"/>
    <w:rsid w:val="00F2128C"/>
    <w:rsid w:val="00F21405"/>
    <w:rsid w:val="00F21A98"/>
    <w:rsid w:val="00F2299C"/>
    <w:rsid w:val="00F23291"/>
    <w:rsid w:val="00F24AFD"/>
    <w:rsid w:val="00F24C1C"/>
    <w:rsid w:val="00F25284"/>
    <w:rsid w:val="00F254B0"/>
    <w:rsid w:val="00F255CD"/>
    <w:rsid w:val="00F25CDB"/>
    <w:rsid w:val="00F26CA1"/>
    <w:rsid w:val="00F26CEF"/>
    <w:rsid w:val="00F26ECE"/>
    <w:rsid w:val="00F27BDE"/>
    <w:rsid w:val="00F302AE"/>
    <w:rsid w:val="00F30B46"/>
    <w:rsid w:val="00F30C02"/>
    <w:rsid w:val="00F30DBF"/>
    <w:rsid w:val="00F31416"/>
    <w:rsid w:val="00F31643"/>
    <w:rsid w:val="00F3270D"/>
    <w:rsid w:val="00F32788"/>
    <w:rsid w:val="00F33190"/>
    <w:rsid w:val="00F331EC"/>
    <w:rsid w:val="00F3327D"/>
    <w:rsid w:val="00F332A2"/>
    <w:rsid w:val="00F337B2"/>
    <w:rsid w:val="00F33D36"/>
    <w:rsid w:val="00F3514B"/>
    <w:rsid w:val="00F35CF9"/>
    <w:rsid w:val="00F364E9"/>
    <w:rsid w:val="00F36C8F"/>
    <w:rsid w:val="00F37C5C"/>
    <w:rsid w:val="00F401DD"/>
    <w:rsid w:val="00F40291"/>
    <w:rsid w:val="00F4031B"/>
    <w:rsid w:val="00F406D8"/>
    <w:rsid w:val="00F4080E"/>
    <w:rsid w:val="00F4172B"/>
    <w:rsid w:val="00F41DE4"/>
    <w:rsid w:val="00F432CA"/>
    <w:rsid w:val="00F43668"/>
    <w:rsid w:val="00F438FE"/>
    <w:rsid w:val="00F440D2"/>
    <w:rsid w:val="00F44AB8"/>
    <w:rsid w:val="00F44B63"/>
    <w:rsid w:val="00F4555D"/>
    <w:rsid w:val="00F45627"/>
    <w:rsid w:val="00F45799"/>
    <w:rsid w:val="00F4602D"/>
    <w:rsid w:val="00F46C39"/>
    <w:rsid w:val="00F46D45"/>
    <w:rsid w:val="00F4755A"/>
    <w:rsid w:val="00F5088F"/>
    <w:rsid w:val="00F51040"/>
    <w:rsid w:val="00F52ACE"/>
    <w:rsid w:val="00F52EA3"/>
    <w:rsid w:val="00F53DFF"/>
    <w:rsid w:val="00F5405B"/>
    <w:rsid w:val="00F5435D"/>
    <w:rsid w:val="00F54763"/>
    <w:rsid w:val="00F547A2"/>
    <w:rsid w:val="00F54CD9"/>
    <w:rsid w:val="00F5511B"/>
    <w:rsid w:val="00F5521C"/>
    <w:rsid w:val="00F555C6"/>
    <w:rsid w:val="00F556AD"/>
    <w:rsid w:val="00F560E4"/>
    <w:rsid w:val="00F56522"/>
    <w:rsid w:val="00F569AB"/>
    <w:rsid w:val="00F57892"/>
    <w:rsid w:val="00F57D34"/>
    <w:rsid w:val="00F57F26"/>
    <w:rsid w:val="00F60505"/>
    <w:rsid w:val="00F60727"/>
    <w:rsid w:val="00F60CC6"/>
    <w:rsid w:val="00F61231"/>
    <w:rsid w:val="00F61F7B"/>
    <w:rsid w:val="00F622E8"/>
    <w:rsid w:val="00F62BF3"/>
    <w:rsid w:val="00F62CB8"/>
    <w:rsid w:val="00F63083"/>
    <w:rsid w:val="00F63895"/>
    <w:rsid w:val="00F63F4E"/>
    <w:rsid w:val="00F64822"/>
    <w:rsid w:val="00F649B6"/>
    <w:rsid w:val="00F64FA3"/>
    <w:rsid w:val="00F65B8B"/>
    <w:rsid w:val="00F65CB3"/>
    <w:rsid w:val="00F65D4F"/>
    <w:rsid w:val="00F663C7"/>
    <w:rsid w:val="00F66B4C"/>
    <w:rsid w:val="00F67023"/>
    <w:rsid w:val="00F6759D"/>
    <w:rsid w:val="00F675D3"/>
    <w:rsid w:val="00F67729"/>
    <w:rsid w:val="00F67980"/>
    <w:rsid w:val="00F707E3"/>
    <w:rsid w:val="00F70A77"/>
    <w:rsid w:val="00F70ABC"/>
    <w:rsid w:val="00F713CA"/>
    <w:rsid w:val="00F7169B"/>
    <w:rsid w:val="00F7192D"/>
    <w:rsid w:val="00F71CD0"/>
    <w:rsid w:val="00F71FC5"/>
    <w:rsid w:val="00F722E2"/>
    <w:rsid w:val="00F73049"/>
    <w:rsid w:val="00F7378F"/>
    <w:rsid w:val="00F75419"/>
    <w:rsid w:val="00F7704D"/>
    <w:rsid w:val="00F77609"/>
    <w:rsid w:val="00F80AE5"/>
    <w:rsid w:val="00F8112D"/>
    <w:rsid w:val="00F818FE"/>
    <w:rsid w:val="00F82126"/>
    <w:rsid w:val="00F836DE"/>
    <w:rsid w:val="00F8427D"/>
    <w:rsid w:val="00F843EC"/>
    <w:rsid w:val="00F846D6"/>
    <w:rsid w:val="00F84745"/>
    <w:rsid w:val="00F84E50"/>
    <w:rsid w:val="00F84EF0"/>
    <w:rsid w:val="00F855A2"/>
    <w:rsid w:val="00F86765"/>
    <w:rsid w:val="00F87076"/>
    <w:rsid w:val="00F87914"/>
    <w:rsid w:val="00F879BE"/>
    <w:rsid w:val="00F9065F"/>
    <w:rsid w:val="00F91056"/>
    <w:rsid w:val="00F91134"/>
    <w:rsid w:val="00F9142F"/>
    <w:rsid w:val="00F91E85"/>
    <w:rsid w:val="00F91F5A"/>
    <w:rsid w:val="00F92893"/>
    <w:rsid w:val="00F92F01"/>
    <w:rsid w:val="00F93BBC"/>
    <w:rsid w:val="00F941C2"/>
    <w:rsid w:val="00F9426E"/>
    <w:rsid w:val="00F9441A"/>
    <w:rsid w:val="00F9516D"/>
    <w:rsid w:val="00F9563E"/>
    <w:rsid w:val="00F95A37"/>
    <w:rsid w:val="00F95B2C"/>
    <w:rsid w:val="00F96357"/>
    <w:rsid w:val="00F96DF7"/>
    <w:rsid w:val="00F970BC"/>
    <w:rsid w:val="00F971E5"/>
    <w:rsid w:val="00F977ED"/>
    <w:rsid w:val="00FA016C"/>
    <w:rsid w:val="00FA0AA2"/>
    <w:rsid w:val="00FA0D6D"/>
    <w:rsid w:val="00FA16D5"/>
    <w:rsid w:val="00FA1A73"/>
    <w:rsid w:val="00FA1E24"/>
    <w:rsid w:val="00FA33D9"/>
    <w:rsid w:val="00FA3BB0"/>
    <w:rsid w:val="00FA438A"/>
    <w:rsid w:val="00FA4CA5"/>
    <w:rsid w:val="00FA509B"/>
    <w:rsid w:val="00FA5F7C"/>
    <w:rsid w:val="00FA61EB"/>
    <w:rsid w:val="00FA6709"/>
    <w:rsid w:val="00FB0090"/>
    <w:rsid w:val="00FB0B48"/>
    <w:rsid w:val="00FB0D50"/>
    <w:rsid w:val="00FB0F81"/>
    <w:rsid w:val="00FB17F6"/>
    <w:rsid w:val="00FB1D21"/>
    <w:rsid w:val="00FB1D9C"/>
    <w:rsid w:val="00FB222D"/>
    <w:rsid w:val="00FB2718"/>
    <w:rsid w:val="00FB2D81"/>
    <w:rsid w:val="00FB3263"/>
    <w:rsid w:val="00FB3B3A"/>
    <w:rsid w:val="00FB3DBA"/>
    <w:rsid w:val="00FB5622"/>
    <w:rsid w:val="00FB5CFE"/>
    <w:rsid w:val="00FB6ED3"/>
    <w:rsid w:val="00FB6FDC"/>
    <w:rsid w:val="00FB72CD"/>
    <w:rsid w:val="00FB7959"/>
    <w:rsid w:val="00FB79B3"/>
    <w:rsid w:val="00FB79D5"/>
    <w:rsid w:val="00FC059D"/>
    <w:rsid w:val="00FC0707"/>
    <w:rsid w:val="00FC07D5"/>
    <w:rsid w:val="00FC0D50"/>
    <w:rsid w:val="00FC2E22"/>
    <w:rsid w:val="00FC3832"/>
    <w:rsid w:val="00FC3AEC"/>
    <w:rsid w:val="00FC438E"/>
    <w:rsid w:val="00FC4514"/>
    <w:rsid w:val="00FC4754"/>
    <w:rsid w:val="00FC5EF5"/>
    <w:rsid w:val="00FC64C0"/>
    <w:rsid w:val="00FC6BFA"/>
    <w:rsid w:val="00FC7272"/>
    <w:rsid w:val="00FC7932"/>
    <w:rsid w:val="00FC79FD"/>
    <w:rsid w:val="00FD04C3"/>
    <w:rsid w:val="00FD10E2"/>
    <w:rsid w:val="00FD133B"/>
    <w:rsid w:val="00FD1F2A"/>
    <w:rsid w:val="00FD2243"/>
    <w:rsid w:val="00FD396E"/>
    <w:rsid w:val="00FD4195"/>
    <w:rsid w:val="00FD55B7"/>
    <w:rsid w:val="00FD5BDA"/>
    <w:rsid w:val="00FD5FBF"/>
    <w:rsid w:val="00FD7543"/>
    <w:rsid w:val="00FD775B"/>
    <w:rsid w:val="00FE0C92"/>
    <w:rsid w:val="00FE17BD"/>
    <w:rsid w:val="00FE2060"/>
    <w:rsid w:val="00FE41CB"/>
    <w:rsid w:val="00FE574F"/>
    <w:rsid w:val="00FE5856"/>
    <w:rsid w:val="00FE59DC"/>
    <w:rsid w:val="00FE610F"/>
    <w:rsid w:val="00FE6264"/>
    <w:rsid w:val="00FE658C"/>
    <w:rsid w:val="00FE68BD"/>
    <w:rsid w:val="00FE6BE3"/>
    <w:rsid w:val="00FE7170"/>
    <w:rsid w:val="00FE761F"/>
    <w:rsid w:val="00FF029E"/>
    <w:rsid w:val="00FF0918"/>
    <w:rsid w:val="00FF0A64"/>
    <w:rsid w:val="00FF0A78"/>
    <w:rsid w:val="00FF13B7"/>
    <w:rsid w:val="00FF160F"/>
    <w:rsid w:val="00FF2332"/>
    <w:rsid w:val="00FF2BFB"/>
    <w:rsid w:val="00FF36D7"/>
    <w:rsid w:val="00FF48F9"/>
    <w:rsid w:val="00FF5032"/>
    <w:rsid w:val="00FF6708"/>
    <w:rsid w:val="00FF6F4D"/>
    <w:rsid w:val="00FF745C"/>
    <w:rsid w:val="00FF7B29"/>
    <w:rsid w:val="0141B15D"/>
    <w:rsid w:val="015541EC"/>
    <w:rsid w:val="03F182C7"/>
    <w:rsid w:val="041DED36"/>
    <w:rsid w:val="04260376"/>
    <w:rsid w:val="0466D7FB"/>
    <w:rsid w:val="06D525FB"/>
    <w:rsid w:val="07BF5A0E"/>
    <w:rsid w:val="0AC7ECF0"/>
    <w:rsid w:val="0AC9A830"/>
    <w:rsid w:val="0ADB5FC7"/>
    <w:rsid w:val="0B434EFC"/>
    <w:rsid w:val="0BF18BC3"/>
    <w:rsid w:val="0BF57F73"/>
    <w:rsid w:val="0EC4454C"/>
    <w:rsid w:val="0F571F28"/>
    <w:rsid w:val="100C1D3A"/>
    <w:rsid w:val="1028A229"/>
    <w:rsid w:val="1085D5AD"/>
    <w:rsid w:val="10D25D56"/>
    <w:rsid w:val="1359B386"/>
    <w:rsid w:val="1475CAE8"/>
    <w:rsid w:val="163ACC7F"/>
    <w:rsid w:val="169BE0D3"/>
    <w:rsid w:val="16A7827D"/>
    <w:rsid w:val="170E087C"/>
    <w:rsid w:val="198D040A"/>
    <w:rsid w:val="199AF512"/>
    <w:rsid w:val="19B9ACEE"/>
    <w:rsid w:val="1AA0F486"/>
    <w:rsid w:val="1AC22C54"/>
    <w:rsid w:val="1AFAEB7E"/>
    <w:rsid w:val="1B3FE5F2"/>
    <w:rsid w:val="1C2BA183"/>
    <w:rsid w:val="1C6D23B6"/>
    <w:rsid w:val="1C8CFAF2"/>
    <w:rsid w:val="1CA5D1A2"/>
    <w:rsid w:val="1D157B68"/>
    <w:rsid w:val="1DC226C8"/>
    <w:rsid w:val="1DE7E275"/>
    <w:rsid w:val="2058F481"/>
    <w:rsid w:val="222749E8"/>
    <w:rsid w:val="22C34FAB"/>
    <w:rsid w:val="22CCA29C"/>
    <w:rsid w:val="23A98DD9"/>
    <w:rsid w:val="241230E4"/>
    <w:rsid w:val="24A5B5CA"/>
    <w:rsid w:val="24BC5FEA"/>
    <w:rsid w:val="25B7B8EF"/>
    <w:rsid w:val="2805F31A"/>
    <w:rsid w:val="295B3435"/>
    <w:rsid w:val="29B4FE59"/>
    <w:rsid w:val="2C11DDCE"/>
    <w:rsid w:val="2C1C8C59"/>
    <w:rsid w:val="2CE2B61C"/>
    <w:rsid w:val="2DF09E22"/>
    <w:rsid w:val="2E384956"/>
    <w:rsid w:val="2EC9723C"/>
    <w:rsid w:val="2EDA7C0C"/>
    <w:rsid w:val="2F271531"/>
    <w:rsid w:val="2F7E068C"/>
    <w:rsid w:val="30036282"/>
    <w:rsid w:val="30505134"/>
    <w:rsid w:val="30776E0D"/>
    <w:rsid w:val="31CF70F0"/>
    <w:rsid w:val="32E0175A"/>
    <w:rsid w:val="33341501"/>
    <w:rsid w:val="33D01A2B"/>
    <w:rsid w:val="33DDAC96"/>
    <w:rsid w:val="342644AC"/>
    <w:rsid w:val="342993F1"/>
    <w:rsid w:val="34618EE4"/>
    <w:rsid w:val="357D930B"/>
    <w:rsid w:val="36119E2F"/>
    <w:rsid w:val="36D84D5F"/>
    <w:rsid w:val="36FE1BB9"/>
    <w:rsid w:val="37271FAC"/>
    <w:rsid w:val="37E210C0"/>
    <w:rsid w:val="37EF4BBD"/>
    <w:rsid w:val="396938A3"/>
    <w:rsid w:val="397C0F0A"/>
    <w:rsid w:val="3A1828AA"/>
    <w:rsid w:val="3A4F0501"/>
    <w:rsid w:val="3C495E09"/>
    <w:rsid w:val="3D754436"/>
    <w:rsid w:val="3E0456EC"/>
    <w:rsid w:val="3E35ABE9"/>
    <w:rsid w:val="3F8ED18E"/>
    <w:rsid w:val="4064B5E7"/>
    <w:rsid w:val="40B57B73"/>
    <w:rsid w:val="415F0363"/>
    <w:rsid w:val="417CB023"/>
    <w:rsid w:val="445C23D3"/>
    <w:rsid w:val="44AE1EAC"/>
    <w:rsid w:val="44B8D1F4"/>
    <w:rsid w:val="44F156EB"/>
    <w:rsid w:val="4654F114"/>
    <w:rsid w:val="4668C1AA"/>
    <w:rsid w:val="467A83DB"/>
    <w:rsid w:val="46EF9743"/>
    <w:rsid w:val="47FB0EFE"/>
    <w:rsid w:val="49CBBB29"/>
    <w:rsid w:val="4B013D14"/>
    <w:rsid w:val="4B629CA4"/>
    <w:rsid w:val="4BAACF13"/>
    <w:rsid w:val="4BBD7B91"/>
    <w:rsid w:val="4C1B62AA"/>
    <w:rsid w:val="4D7F5A81"/>
    <w:rsid w:val="4DEA4606"/>
    <w:rsid w:val="4EFC67C7"/>
    <w:rsid w:val="4F37D16B"/>
    <w:rsid w:val="4FB7C3F5"/>
    <w:rsid w:val="5107D682"/>
    <w:rsid w:val="51AB97A3"/>
    <w:rsid w:val="51D133FC"/>
    <w:rsid w:val="523E972B"/>
    <w:rsid w:val="5291F79C"/>
    <w:rsid w:val="53476804"/>
    <w:rsid w:val="53875CF4"/>
    <w:rsid w:val="53B455BC"/>
    <w:rsid w:val="53BBB95A"/>
    <w:rsid w:val="54F54FAB"/>
    <w:rsid w:val="553B2C98"/>
    <w:rsid w:val="55EAE4F5"/>
    <w:rsid w:val="56EECB51"/>
    <w:rsid w:val="5763237E"/>
    <w:rsid w:val="57642B41"/>
    <w:rsid w:val="58150C45"/>
    <w:rsid w:val="581563B3"/>
    <w:rsid w:val="5865E050"/>
    <w:rsid w:val="58B70E06"/>
    <w:rsid w:val="5A4A0A3D"/>
    <w:rsid w:val="5A78387D"/>
    <w:rsid w:val="5AE86649"/>
    <w:rsid w:val="5B3B695C"/>
    <w:rsid w:val="5BFCA7FB"/>
    <w:rsid w:val="5C6F60B4"/>
    <w:rsid w:val="5CC145ED"/>
    <w:rsid w:val="5CF6F419"/>
    <w:rsid w:val="5DE4F076"/>
    <w:rsid w:val="5E31F5DB"/>
    <w:rsid w:val="5F20806D"/>
    <w:rsid w:val="5F3398BE"/>
    <w:rsid w:val="5F3FE768"/>
    <w:rsid w:val="5F423400"/>
    <w:rsid w:val="5F9F802D"/>
    <w:rsid w:val="5FCB1B54"/>
    <w:rsid w:val="604D2ACE"/>
    <w:rsid w:val="605DB620"/>
    <w:rsid w:val="60A7BD16"/>
    <w:rsid w:val="60EE64A7"/>
    <w:rsid w:val="60F1A7B0"/>
    <w:rsid w:val="61422006"/>
    <w:rsid w:val="61D66729"/>
    <w:rsid w:val="6390CE2C"/>
    <w:rsid w:val="641D0B6B"/>
    <w:rsid w:val="64AA38E1"/>
    <w:rsid w:val="6526D3AC"/>
    <w:rsid w:val="672BFF27"/>
    <w:rsid w:val="67363F27"/>
    <w:rsid w:val="67AD1D92"/>
    <w:rsid w:val="67C5D0BD"/>
    <w:rsid w:val="684FF722"/>
    <w:rsid w:val="688660C5"/>
    <w:rsid w:val="68CFE8BC"/>
    <w:rsid w:val="69ABF66E"/>
    <w:rsid w:val="69B58835"/>
    <w:rsid w:val="6ACCA01D"/>
    <w:rsid w:val="6D88FC4A"/>
    <w:rsid w:val="6DE72BB4"/>
    <w:rsid w:val="6E535A00"/>
    <w:rsid w:val="6E5E7FEA"/>
    <w:rsid w:val="6EA7F15D"/>
    <w:rsid w:val="6EC32362"/>
    <w:rsid w:val="6EDC4154"/>
    <w:rsid w:val="6F0F249B"/>
    <w:rsid w:val="6F750C29"/>
    <w:rsid w:val="6FD17825"/>
    <w:rsid w:val="6FF00532"/>
    <w:rsid w:val="704CBFC9"/>
    <w:rsid w:val="70EF0809"/>
    <w:rsid w:val="716E5C2B"/>
    <w:rsid w:val="71E8249B"/>
    <w:rsid w:val="7210BB9E"/>
    <w:rsid w:val="7237A3F1"/>
    <w:rsid w:val="74F23595"/>
    <w:rsid w:val="75C07439"/>
    <w:rsid w:val="771CF432"/>
    <w:rsid w:val="7740EE4B"/>
    <w:rsid w:val="775BFE11"/>
    <w:rsid w:val="777AECB8"/>
    <w:rsid w:val="77925EEC"/>
    <w:rsid w:val="77C965E5"/>
    <w:rsid w:val="7956EBC5"/>
    <w:rsid w:val="7B5CEB9B"/>
    <w:rsid w:val="7C5DC73A"/>
    <w:rsid w:val="7D713CD2"/>
    <w:rsid w:val="7EA7E2B1"/>
    <w:rsid w:val="7F2EC75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D1B49E2"/>
  <w14:defaultImageDpi w14:val="0"/>
  <w15:docId w15:val="{63B61631-6B84-4330-929E-FC3F79364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page number" w:uiPriority="99"/>
    <w:lsdException w:name="Title" w:uiPriority="10" w:qFormat="1"/>
    <w:lsdException w:name="Default Paragraph Font" w:uiPriority="1"/>
    <w:lsdException w:name="Body Text" w:uiPriority="99"/>
    <w:lsdException w:name="Subtitle" w:qFormat="1"/>
    <w:lsdException w:name="Hyperlink" w:uiPriority="99"/>
    <w:lsdException w:name="FollowedHyperlink" w:uiPriority="99"/>
    <w:lsdException w:name="Strong" w:qFormat="1"/>
    <w:lsdException w:name="Emphasis"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08D9"/>
    <w:rPr>
      <w:rFonts w:ascii="Arial" w:hAnsi="Arial"/>
      <w:sz w:val="24"/>
      <w:szCs w:val="24"/>
      <w:lang w:eastAsia="en-US"/>
    </w:rPr>
  </w:style>
  <w:style w:type="paragraph" w:styleId="Heading1">
    <w:name w:val="heading 1"/>
    <w:basedOn w:val="Normal"/>
    <w:next w:val="Normal"/>
    <w:link w:val="Heading1Char"/>
    <w:uiPriority w:val="9"/>
    <w:qFormat/>
    <w:rsid w:val="00E3545D"/>
    <w:pPr>
      <w:keepNext/>
      <w:tabs>
        <w:tab w:val="right" w:pos="10206"/>
      </w:tabs>
      <w:spacing w:before="240" w:after="60"/>
      <w:outlineLvl w:val="0"/>
    </w:pPr>
    <w:rPr>
      <w:rFonts w:ascii="Arial Bold" w:hAnsi="Arial Bold" w:cs="Arial"/>
      <w:b/>
      <w:bCs/>
      <w:spacing w:val="-4"/>
      <w:kern w:val="32"/>
      <w:sz w:val="32"/>
      <w:szCs w:val="32"/>
    </w:rPr>
  </w:style>
  <w:style w:type="paragraph" w:styleId="Heading2">
    <w:name w:val="heading 2"/>
    <w:aliases w:val="EBHeading1"/>
    <w:basedOn w:val="Normal"/>
    <w:next w:val="EBBodyPara"/>
    <w:link w:val="Heading2Char"/>
    <w:uiPriority w:val="9"/>
    <w:qFormat/>
    <w:rsid w:val="00A549AF"/>
    <w:pPr>
      <w:keepNext/>
      <w:keepLines/>
      <w:spacing w:before="240" w:after="120"/>
      <w:outlineLvl w:val="1"/>
    </w:pPr>
    <w:rPr>
      <w:rFonts w:ascii="Arial Bold" w:hAnsi="Arial Bold" w:cs="Arial"/>
      <w:b/>
      <w:bCs/>
      <w:color w:val="000000"/>
      <w:sz w:val="26"/>
      <w:szCs w:val="22"/>
      <w:lang w:eastAsia="en-GB"/>
    </w:rPr>
  </w:style>
  <w:style w:type="paragraph" w:styleId="Heading3">
    <w:name w:val="heading 3"/>
    <w:aliases w:val="EBHeading2"/>
    <w:basedOn w:val="Normal"/>
    <w:next w:val="EBBodyPara"/>
    <w:link w:val="Heading3Char"/>
    <w:uiPriority w:val="9"/>
    <w:qFormat/>
    <w:rsid w:val="002B7335"/>
    <w:pPr>
      <w:keepNext/>
      <w:keepLines/>
      <w:spacing w:before="360" w:after="240"/>
      <w:outlineLvl w:val="2"/>
    </w:pPr>
    <w:rPr>
      <w:rFonts w:cs="Arial"/>
      <w:b/>
      <w:bCs/>
      <w:color w:val="000000"/>
      <w:szCs w:val="22"/>
      <w:lang w:eastAsia="en-GB"/>
    </w:rPr>
  </w:style>
  <w:style w:type="paragraph" w:styleId="Heading4">
    <w:name w:val="heading 4"/>
    <w:aliases w:val="EBHeading3"/>
    <w:basedOn w:val="EBBodyPara"/>
    <w:next w:val="Normal"/>
    <w:link w:val="Heading4Char"/>
    <w:uiPriority w:val="9"/>
    <w:qFormat/>
    <w:rsid w:val="002B7335"/>
    <w:pPr>
      <w:spacing w:before="240"/>
      <w:outlineLvl w:val="3"/>
    </w:pPr>
    <w:rPr>
      <w:b/>
    </w:rPr>
  </w:style>
  <w:style w:type="paragraph" w:styleId="Heading5">
    <w:name w:val="heading 5"/>
    <w:aliases w:val="EBHeading4"/>
    <w:basedOn w:val="Normal"/>
    <w:next w:val="Normal"/>
    <w:link w:val="Heading5Char"/>
    <w:uiPriority w:val="9"/>
    <w:qFormat/>
    <w:rsid w:val="002B7335"/>
    <w:pPr>
      <w:spacing w:before="240" w:after="120"/>
      <w:outlineLvl w:val="4"/>
    </w:pPr>
    <w:rPr>
      <w:bCs/>
      <w:i/>
      <w:i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x-none" w:eastAsia="en-US"/>
    </w:rPr>
  </w:style>
  <w:style w:type="character" w:customStyle="1" w:styleId="Heading2Char">
    <w:name w:val="Heading 2 Char"/>
    <w:aliases w:val="EBHeading1 Char"/>
    <w:basedOn w:val="DefaultParagraphFont"/>
    <w:link w:val="Heading2"/>
    <w:uiPriority w:val="9"/>
    <w:locked/>
    <w:rsid w:val="00A549AF"/>
    <w:rPr>
      <w:rFonts w:ascii="Arial Bold" w:hAnsi="Arial Bold" w:cs="Arial"/>
      <w:b/>
      <w:bCs/>
      <w:color w:val="000000"/>
      <w:sz w:val="26"/>
      <w:szCs w:val="22"/>
    </w:rPr>
  </w:style>
  <w:style w:type="character" w:customStyle="1" w:styleId="Heading3Char">
    <w:name w:val="Heading 3 Char"/>
    <w:aliases w:val="EBHeading2 Char"/>
    <w:basedOn w:val="DefaultParagraphFont"/>
    <w:link w:val="Heading3"/>
    <w:uiPriority w:val="9"/>
    <w:semiHidden/>
    <w:locked/>
    <w:rPr>
      <w:rFonts w:asciiTheme="majorHAnsi" w:eastAsiaTheme="majorEastAsia" w:hAnsiTheme="majorHAnsi" w:cs="Times New Roman"/>
      <w:b/>
      <w:bCs/>
      <w:sz w:val="26"/>
      <w:szCs w:val="26"/>
      <w:lang w:val="x-none" w:eastAsia="en-US"/>
    </w:rPr>
  </w:style>
  <w:style w:type="character" w:customStyle="1" w:styleId="Heading4Char">
    <w:name w:val="Heading 4 Char"/>
    <w:aliases w:val="EBHeading3 Char"/>
    <w:basedOn w:val="DefaultParagraphFont"/>
    <w:link w:val="Heading4"/>
    <w:uiPriority w:val="9"/>
    <w:semiHidden/>
    <w:locked/>
    <w:rPr>
      <w:rFonts w:asciiTheme="minorHAnsi" w:eastAsiaTheme="minorEastAsia" w:hAnsiTheme="minorHAnsi" w:cs="Times New Roman"/>
      <w:b/>
      <w:bCs/>
      <w:sz w:val="28"/>
      <w:szCs w:val="28"/>
      <w:lang w:val="x-none" w:eastAsia="en-US"/>
    </w:rPr>
  </w:style>
  <w:style w:type="character" w:customStyle="1" w:styleId="Heading5Char">
    <w:name w:val="Heading 5 Char"/>
    <w:aliases w:val="EBHeading4 Char"/>
    <w:basedOn w:val="DefaultParagraphFont"/>
    <w:link w:val="Heading5"/>
    <w:uiPriority w:val="9"/>
    <w:semiHidden/>
    <w:locked/>
    <w:rPr>
      <w:rFonts w:asciiTheme="minorHAnsi" w:eastAsiaTheme="minorEastAsia" w:hAnsiTheme="minorHAnsi" w:cs="Times New Roman"/>
      <w:b/>
      <w:bCs/>
      <w:i/>
      <w:iCs/>
      <w:sz w:val="26"/>
      <w:szCs w:val="26"/>
      <w:lang w:val="x-none" w:eastAsia="en-US"/>
    </w:rPr>
  </w:style>
  <w:style w:type="paragraph" w:customStyle="1" w:styleId="IATableLabel">
    <w:name w:val="IATableLabel"/>
    <w:basedOn w:val="Normal"/>
    <w:link w:val="IATableLabelCharChar"/>
    <w:rsid w:val="00402E80"/>
    <w:pPr>
      <w:spacing w:before="50" w:after="50"/>
      <w:ind w:left="113" w:right="113"/>
    </w:pPr>
    <w:rPr>
      <w:rFonts w:eastAsia="SimSun"/>
      <w:b/>
      <w:color w:val="000000"/>
      <w:spacing w:val="-5"/>
      <w:sz w:val="20"/>
      <w:szCs w:val="20"/>
      <w:lang w:eastAsia="zh-CN"/>
    </w:rPr>
  </w:style>
  <w:style w:type="character" w:customStyle="1" w:styleId="IATableLabelCharChar">
    <w:name w:val="IATableLabel Char Char"/>
    <w:link w:val="IATableLabel"/>
    <w:locked/>
    <w:rsid w:val="00402E80"/>
    <w:rPr>
      <w:rFonts w:ascii="Arial" w:eastAsia="SimSun" w:hAnsi="Arial"/>
      <w:b/>
      <w:color w:val="000000"/>
      <w:spacing w:val="-5"/>
      <w:lang w:val="en-GB" w:eastAsia="zh-CN"/>
    </w:rPr>
  </w:style>
  <w:style w:type="paragraph" w:customStyle="1" w:styleId="IASpacer">
    <w:name w:val="IASpacer"/>
    <w:basedOn w:val="Normal"/>
    <w:rsid w:val="007208D9"/>
    <w:pPr>
      <w:spacing w:line="80" w:lineRule="exact"/>
    </w:pPr>
    <w:rPr>
      <w:rFonts w:eastAsia="SimSun"/>
      <w:sz w:val="22"/>
      <w:lang w:eastAsia="zh-CN"/>
    </w:rPr>
  </w:style>
  <w:style w:type="paragraph" w:customStyle="1" w:styleId="IATableText">
    <w:name w:val="IATableText"/>
    <w:basedOn w:val="IATableLabel"/>
    <w:link w:val="IATableTextChar"/>
    <w:rsid w:val="00220F29"/>
    <w:rPr>
      <w:b w:val="0"/>
      <w:color w:val="auto"/>
      <w:sz w:val="22"/>
    </w:rPr>
  </w:style>
  <w:style w:type="character" w:customStyle="1" w:styleId="IATableTextChar">
    <w:name w:val="IATableText Char"/>
    <w:link w:val="IATableText"/>
    <w:locked/>
    <w:rsid w:val="00220F29"/>
    <w:rPr>
      <w:rFonts w:ascii="Arial" w:eastAsia="SimSun" w:hAnsi="Arial"/>
      <w:b/>
      <w:color w:val="000000"/>
      <w:spacing w:val="-5"/>
      <w:sz w:val="22"/>
      <w:lang w:val="en-GB" w:eastAsia="zh-CN"/>
    </w:rPr>
  </w:style>
  <w:style w:type="paragraph" w:styleId="BodyText">
    <w:name w:val="Body Text"/>
    <w:basedOn w:val="Normal"/>
    <w:link w:val="BodyTextChar"/>
    <w:uiPriority w:val="99"/>
    <w:rsid w:val="003E54B6"/>
    <w:pPr>
      <w:spacing w:after="120"/>
    </w:pPr>
    <w:rPr>
      <w:rFonts w:cs="Arial"/>
      <w:bCs/>
      <w:color w:val="000000"/>
      <w:sz w:val="22"/>
      <w:szCs w:val="22"/>
      <w:lang w:eastAsia="en-GB"/>
    </w:rPr>
  </w:style>
  <w:style w:type="character" w:customStyle="1" w:styleId="BodyTextChar">
    <w:name w:val="Body Text Char"/>
    <w:basedOn w:val="DefaultParagraphFont"/>
    <w:link w:val="BodyText"/>
    <w:uiPriority w:val="99"/>
    <w:locked/>
    <w:rsid w:val="0049416F"/>
    <w:rPr>
      <w:rFonts w:ascii="Arial" w:hAnsi="Arial" w:cs="Times New Roman"/>
      <w:color w:val="000000"/>
      <w:sz w:val="22"/>
      <w:lang w:val="en-GB" w:eastAsia="en-GB"/>
    </w:rPr>
  </w:style>
  <w:style w:type="table" w:styleId="TableGrid">
    <w:name w:val="Table Grid"/>
    <w:basedOn w:val="TableNormal"/>
    <w:uiPriority w:val="39"/>
    <w:rsid w:val="000265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0"/>
    <w:qFormat/>
    <w:rsid w:val="007F64C7"/>
    <w:pPr>
      <w:ind w:left="113"/>
      <w:outlineLvl w:val="0"/>
    </w:pPr>
    <w:rPr>
      <w:rFonts w:cs="Arial"/>
      <w:bCs/>
      <w:color w:val="FFFFFF"/>
      <w:kern w:val="28"/>
      <w:sz w:val="32"/>
      <w:szCs w:val="32"/>
    </w:rPr>
  </w:style>
  <w:style w:type="character" w:customStyle="1" w:styleId="TitleChar">
    <w:name w:val="Title Char"/>
    <w:basedOn w:val="DefaultParagraphFont"/>
    <w:link w:val="Title"/>
    <w:uiPriority w:val="10"/>
    <w:locked/>
    <w:rsid w:val="00174C10"/>
    <w:rPr>
      <w:rFonts w:ascii="Arial" w:hAnsi="Arial" w:cs="Times New Roman"/>
      <w:color w:val="FFFFFF"/>
      <w:kern w:val="28"/>
      <w:sz w:val="32"/>
      <w:lang w:val="en-GB" w:eastAsia="en-US"/>
    </w:rPr>
  </w:style>
  <w:style w:type="paragraph" w:customStyle="1" w:styleId="IAHeadDept">
    <w:name w:val="IAHeadDept"/>
    <w:basedOn w:val="IATableText"/>
    <w:link w:val="IAHeadDeptChar"/>
    <w:rsid w:val="00C120C0"/>
    <w:pPr>
      <w:spacing w:after="120"/>
      <w:ind w:left="0" w:right="57"/>
    </w:pPr>
    <w:rPr>
      <w:spacing w:val="-6"/>
      <w:szCs w:val="22"/>
    </w:rPr>
  </w:style>
  <w:style w:type="paragraph" w:customStyle="1" w:styleId="IAHeadLabel">
    <w:name w:val="IAHeadLabel"/>
    <w:basedOn w:val="IATableLabel"/>
    <w:link w:val="IAHeadLabelChar"/>
    <w:rsid w:val="00570F8E"/>
    <w:pPr>
      <w:spacing w:before="110"/>
      <w:ind w:left="0" w:right="0"/>
    </w:pPr>
  </w:style>
  <w:style w:type="character" w:customStyle="1" w:styleId="IAHeadLabelChar">
    <w:name w:val="IAHeadLabel Char"/>
    <w:basedOn w:val="IATableLabelCharChar"/>
    <w:link w:val="IAHeadLabel"/>
    <w:locked/>
    <w:rsid w:val="00570F8E"/>
    <w:rPr>
      <w:rFonts w:ascii="Arial" w:eastAsia="SimSun" w:hAnsi="Arial" w:cs="Times New Roman"/>
      <w:b/>
      <w:color w:val="000000"/>
      <w:spacing w:val="-5"/>
      <w:lang w:val="en-GB" w:eastAsia="zh-CN" w:bidi="ar-SA"/>
    </w:rPr>
  </w:style>
  <w:style w:type="table" w:customStyle="1" w:styleId="TableIAHeading">
    <w:name w:val="Table_IAHeading"/>
    <w:basedOn w:val="TableNormal"/>
    <w:semiHidden/>
    <w:rsid w:val="006A5A2E"/>
    <w:rPr>
      <w:rFonts w:eastAsia="SimSun"/>
      <w:color w:val="FFFFFF"/>
    </w:rPr>
    <w:tblPr>
      <w:tblBorders>
        <w:top w:val="single" w:sz="12" w:space="0" w:color="008080"/>
        <w:left w:val="single" w:sz="12" w:space="0" w:color="008080"/>
        <w:bottom w:val="single" w:sz="12" w:space="0" w:color="008080"/>
        <w:right w:val="single" w:sz="12" w:space="0" w:color="008080"/>
        <w:insideH w:val="single" w:sz="12" w:space="0" w:color="008080"/>
      </w:tblBorders>
      <w:tblCellMar>
        <w:left w:w="0" w:type="dxa"/>
        <w:right w:w="0" w:type="dxa"/>
      </w:tblCellMar>
    </w:tblPr>
    <w:tcPr>
      <w:shd w:val="clear" w:color="auto" w:fill="008080"/>
    </w:tcPr>
  </w:style>
  <w:style w:type="paragraph" w:customStyle="1" w:styleId="IATableNotes">
    <w:name w:val="IATableNotes"/>
    <w:basedOn w:val="Normal"/>
    <w:link w:val="IATableNotesChar"/>
    <w:rsid w:val="006A5A2E"/>
    <w:pPr>
      <w:spacing w:before="60" w:after="60"/>
      <w:ind w:left="113" w:right="113"/>
    </w:pPr>
    <w:rPr>
      <w:rFonts w:eastAsia="SimSun"/>
      <w:sz w:val="18"/>
      <w:szCs w:val="20"/>
      <w:lang w:eastAsia="zh-CN"/>
    </w:rPr>
  </w:style>
  <w:style w:type="character" w:customStyle="1" w:styleId="IATableNotesChar">
    <w:name w:val="IATableNotes Char"/>
    <w:link w:val="IATableNotes"/>
    <w:locked/>
    <w:rsid w:val="006A5A2E"/>
    <w:rPr>
      <w:rFonts w:ascii="Arial" w:eastAsia="SimSun" w:hAnsi="Arial"/>
      <w:sz w:val="18"/>
      <w:lang w:val="en-GB" w:eastAsia="zh-CN"/>
    </w:rPr>
  </w:style>
  <w:style w:type="paragraph" w:customStyle="1" w:styleId="IASignOff">
    <w:name w:val="IASignOff"/>
    <w:basedOn w:val="IATableNotes"/>
    <w:next w:val="IATableNotes"/>
    <w:link w:val="IASignOffChar"/>
    <w:semiHidden/>
    <w:rsid w:val="006A5A2E"/>
    <w:pPr>
      <w:spacing w:before="120" w:after="120"/>
      <w:ind w:left="567" w:right="567"/>
    </w:pPr>
    <w:rPr>
      <w:b/>
      <w:bCs/>
      <w:i/>
      <w:iCs/>
    </w:rPr>
  </w:style>
  <w:style w:type="character" w:customStyle="1" w:styleId="IASignOffChar">
    <w:name w:val="IASignOff Char"/>
    <w:link w:val="IASignOff"/>
    <w:locked/>
    <w:rsid w:val="006A5A2E"/>
    <w:rPr>
      <w:rFonts w:ascii="Arial" w:eastAsia="SimSun" w:hAnsi="Arial"/>
      <w:b/>
      <w:i/>
      <w:sz w:val="18"/>
      <w:lang w:val="en-GB" w:eastAsia="zh-CN"/>
    </w:rPr>
  </w:style>
  <w:style w:type="paragraph" w:customStyle="1" w:styleId="IAHeadTitle">
    <w:name w:val="IAHeadTitle"/>
    <w:basedOn w:val="IAHeadDept"/>
    <w:link w:val="IAHeadTitleChar"/>
    <w:rsid w:val="008228A5"/>
    <w:pPr>
      <w:spacing w:before="0" w:after="0"/>
    </w:pPr>
    <w:rPr>
      <w:b/>
      <w:sz w:val="28"/>
      <w:szCs w:val="28"/>
    </w:rPr>
  </w:style>
  <w:style w:type="paragraph" w:customStyle="1" w:styleId="IASignature">
    <w:name w:val="IA Signature"/>
    <w:basedOn w:val="IATableText"/>
    <w:rsid w:val="00C67CDD"/>
    <w:pPr>
      <w:tabs>
        <w:tab w:val="left" w:leader="dot" w:pos="6804"/>
        <w:tab w:val="right" w:leader="dot" w:pos="10206"/>
      </w:tabs>
      <w:spacing w:before="0" w:after="0"/>
      <w:ind w:left="0"/>
    </w:pPr>
  </w:style>
  <w:style w:type="paragraph" w:customStyle="1" w:styleId="IASign-offlabel">
    <w:name w:val="IA Sign-off label"/>
    <w:basedOn w:val="IAHeadLabel"/>
    <w:link w:val="IASign-offlabelChar"/>
    <w:rsid w:val="00FB5CFE"/>
    <w:pPr>
      <w:spacing w:after="120"/>
    </w:pPr>
    <w:rPr>
      <w:szCs w:val="22"/>
      <w:u w:val="single"/>
    </w:rPr>
  </w:style>
  <w:style w:type="character" w:customStyle="1" w:styleId="IASign-offlabelChar">
    <w:name w:val="IA Sign-off label Char"/>
    <w:link w:val="IASign-offlabel"/>
    <w:locked/>
    <w:rsid w:val="009050B9"/>
    <w:rPr>
      <w:rFonts w:ascii="Arial" w:eastAsia="SimSun" w:hAnsi="Arial"/>
      <w:b/>
      <w:color w:val="000000"/>
      <w:spacing w:val="-5"/>
      <w:sz w:val="22"/>
      <w:u w:val="single"/>
      <w:lang w:val="en-GB" w:eastAsia="zh-CN"/>
    </w:rPr>
  </w:style>
  <w:style w:type="paragraph" w:customStyle="1" w:styleId="IASign-off">
    <w:name w:val="IA Sign-off"/>
    <w:basedOn w:val="IATableText"/>
    <w:rsid w:val="00C67CDD"/>
    <w:pPr>
      <w:spacing w:before="0" w:after="0"/>
      <w:ind w:left="0" w:right="284"/>
    </w:pPr>
    <w:rPr>
      <w:b/>
      <w:i/>
    </w:rPr>
  </w:style>
  <w:style w:type="paragraph" w:customStyle="1" w:styleId="IAHeading2">
    <w:name w:val="IAHeading2"/>
    <w:basedOn w:val="Normal"/>
    <w:semiHidden/>
    <w:rsid w:val="000A79FC"/>
    <w:pPr>
      <w:keepNext/>
      <w:keepLines/>
      <w:spacing w:before="60" w:after="60"/>
      <w:ind w:left="113" w:right="113"/>
    </w:pPr>
    <w:rPr>
      <w:rFonts w:eastAsia="SimSun"/>
      <w:b/>
      <w:sz w:val="20"/>
      <w:lang w:eastAsia="zh-CN"/>
    </w:rPr>
  </w:style>
  <w:style w:type="table" w:customStyle="1" w:styleId="TableIABox">
    <w:name w:val="Table_IABox"/>
    <w:basedOn w:val="TableNormal"/>
    <w:rsid w:val="007777A1"/>
    <w:rPr>
      <w:rFonts w:eastAsia="SimSun"/>
    </w:rPr>
    <w:tblPr>
      <w:tblBorders>
        <w:top w:val="single" w:sz="4" w:space="0" w:color="auto"/>
        <w:left w:val="single" w:sz="4" w:space="0" w:color="auto"/>
        <w:bottom w:val="single" w:sz="4" w:space="0" w:color="auto"/>
        <w:right w:val="single" w:sz="4" w:space="0" w:color="auto"/>
      </w:tblBorders>
      <w:tblCellMar>
        <w:left w:w="0" w:type="dxa"/>
        <w:right w:w="0" w:type="dxa"/>
      </w:tblCellMar>
    </w:tblPr>
  </w:style>
  <w:style w:type="paragraph" w:styleId="Header">
    <w:name w:val="header"/>
    <w:basedOn w:val="Normal"/>
    <w:link w:val="HeaderChar"/>
    <w:uiPriority w:val="99"/>
    <w:rsid w:val="00E96CB5"/>
    <w:pPr>
      <w:jc w:val="center"/>
    </w:pPr>
    <w:rPr>
      <w:caps/>
    </w:rPr>
  </w:style>
  <w:style w:type="character" w:customStyle="1" w:styleId="HeaderChar">
    <w:name w:val="Header Char"/>
    <w:basedOn w:val="DefaultParagraphFont"/>
    <w:link w:val="Header"/>
    <w:uiPriority w:val="99"/>
    <w:semiHidden/>
    <w:locked/>
    <w:rPr>
      <w:rFonts w:ascii="Arial" w:hAnsi="Arial" w:cs="Times New Roman"/>
      <w:sz w:val="24"/>
      <w:szCs w:val="24"/>
      <w:lang w:val="x-none" w:eastAsia="en-US"/>
    </w:rPr>
  </w:style>
  <w:style w:type="paragraph" w:styleId="Footer">
    <w:name w:val="footer"/>
    <w:basedOn w:val="Normal"/>
    <w:link w:val="FooterChar"/>
    <w:uiPriority w:val="99"/>
    <w:rsid w:val="000407D8"/>
    <w:pPr>
      <w:tabs>
        <w:tab w:val="center" w:pos="5132"/>
        <w:tab w:val="right" w:pos="10260"/>
      </w:tabs>
      <w:jc w:val="center"/>
    </w:pPr>
    <w:rPr>
      <w:b/>
      <w:sz w:val="18"/>
    </w:rPr>
  </w:style>
  <w:style w:type="character" w:customStyle="1" w:styleId="FooterChar">
    <w:name w:val="Footer Char"/>
    <w:basedOn w:val="DefaultParagraphFont"/>
    <w:link w:val="Footer"/>
    <w:uiPriority w:val="99"/>
    <w:semiHidden/>
    <w:locked/>
    <w:rPr>
      <w:rFonts w:ascii="Arial" w:hAnsi="Arial" w:cs="Times New Roman"/>
      <w:sz w:val="24"/>
      <w:szCs w:val="24"/>
      <w:lang w:val="x-none" w:eastAsia="en-US"/>
    </w:rPr>
  </w:style>
  <w:style w:type="character" w:styleId="PageNumber">
    <w:name w:val="page number"/>
    <w:basedOn w:val="DefaultParagraphFont"/>
    <w:uiPriority w:val="99"/>
    <w:rsid w:val="00EB43FD"/>
    <w:rPr>
      <w:rFonts w:cs="Times New Roman"/>
    </w:rPr>
  </w:style>
  <w:style w:type="paragraph" w:customStyle="1" w:styleId="IANotes">
    <w:name w:val="IANotes"/>
    <w:basedOn w:val="Normal"/>
    <w:semiHidden/>
    <w:rsid w:val="00650282"/>
    <w:rPr>
      <w:rFonts w:eastAsia="SimSun"/>
      <w:color w:val="008080"/>
      <w:sz w:val="22"/>
      <w:lang w:eastAsia="zh-CN"/>
    </w:rPr>
  </w:style>
  <w:style w:type="paragraph" w:customStyle="1" w:styleId="IATableHeading">
    <w:name w:val="IATableHeading"/>
    <w:basedOn w:val="IATableLabel"/>
    <w:rsid w:val="00716D5C"/>
    <w:rPr>
      <w:sz w:val="22"/>
      <w:szCs w:val="24"/>
    </w:rPr>
  </w:style>
  <w:style w:type="paragraph" w:styleId="FootnoteText">
    <w:name w:val="footnote text"/>
    <w:basedOn w:val="Normal"/>
    <w:link w:val="FootnoteTextChar"/>
    <w:uiPriority w:val="99"/>
    <w:semiHidden/>
    <w:rsid w:val="00490FF7"/>
    <w:rPr>
      <w:rFonts w:eastAsia="SimSun"/>
      <w:sz w:val="16"/>
      <w:szCs w:val="20"/>
      <w:lang w:eastAsia="zh-CN"/>
    </w:rPr>
  </w:style>
  <w:style w:type="character" w:customStyle="1" w:styleId="FootnoteTextChar">
    <w:name w:val="Footnote Text Char"/>
    <w:basedOn w:val="DefaultParagraphFont"/>
    <w:link w:val="FootnoteText"/>
    <w:uiPriority w:val="99"/>
    <w:semiHidden/>
    <w:locked/>
    <w:rPr>
      <w:rFonts w:ascii="Arial" w:hAnsi="Arial" w:cs="Times New Roman"/>
      <w:lang w:val="x-none" w:eastAsia="en-US"/>
    </w:rPr>
  </w:style>
  <w:style w:type="character" w:styleId="FootnoteReference">
    <w:name w:val="footnote reference"/>
    <w:basedOn w:val="DefaultParagraphFont"/>
    <w:uiPriority w:val="99"/>
    <w:rsid w:val="00B84190"/>
    <w:rPr>
      <w:rFonts w:cs="Times New Roman"/>
      <w:sz w:val="22"/>
      <w:vertAlign w:val="superscript"/>
    </w:rPr>
  </w:style>
  <w:style w:type="paragraph" w:customStyle="1" w:styleId="EBBodyPara">
    <w:name w:val="EBBodyPara"/>
    <w:basedOn w:val="BodyText"/>
    <w:rsid w:val="005A2FC0"/>
  </w:style>
  <w:style w:type="paragraph" w:styleId="BalloonText">
    <w:name w:val="Balloon Text"/>
    <w:basedOn w:val="Normal"/>
    <w:link w:val="BalloonTextChar"/>
    <w:uiPriority w:val="99"/>
    <w:semiHidden/>
    <w:rsid w:val="00300C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Segoe UI" w:hAnsi="Segoe UI" w:cs="Segoe UI"/>
      <w:sz w:val="18"/>
      <w:szCs w:val="18"/>
      <w:lang w:val="x-none" w:eastAsia="en-US"/>
    </w:rPr>
  </w:style>
  <w:style w:type="paragraph" w:customStyle="1" w:styleId="EBNumber">
    <w:name w:val="EBNumber"/>
    <w:basedOn w:val="BodyText"/>
    <w:rsid w:val="002B7335"/>
    <w:pPr>
      <w:numPr>
        <w:ilvl w:val="1"/>
        <w:numId w:val="1"/>
      </w:numPr>
    </w:pPr>
  </w:style>
  <w:style w:type="paragraph" w:customStyle="1" w:styleId="EBNumberRestart">
    <w:name w:val="EBNumberRestart"/>
    <w:basedOn w:val="BodyText"/>
    <w:next w:val="EBNumber"/>
    <w:rsid w:val="002B7335"/>
    <w:pPr>
      <w:numPr>
        <w:numId w:val="1"/>
      </w:numPr>
    </w:pPr>
  </w:style>
  <w:style w:type="paragraph" w:customStyle="1" w:styleId="StyleIATableText10ptRight">
    <w:name w:val="Style IATableText + 10 pt Right"/>
    <w:basedOn w:val="IATableText"/>
    <w:rsid w:val="008D39AA"/>
    <w:pPr>
      <w:ind w:left="0" w:right="57"/>
      <w:jc w:val="right"/>
    </w:pPr>
    <w:rPr>
      <w:rFonts w:eastAsia="Times New Roman"/>
      <w:sz w:val="20"/>
    </w:rPr>
  </w:style>
  <w:style w:type="paragraph" w:customStyle="1" w:styleId="SecurityClass">
    <w:name w:val="SecurityClass"/>
    <w:basedOn w:val="Header"/>
    <w:rsid w:val="00AE46AA"/>
  </w:style>
  <w:style w:type="paragraph" w:customStyle="1" w:styleId="IARefNumber">
    <w:name w:val="IARefNumber"/>
    <w:basedOn w:val="IATableText"/>
    <w:rsid w:val="001E152A"/>
    <w:pPr>
      <w:numPr>
        <w:numId w:val="2"/>
      </w:numPr>
    </w:pPr>
  </w:style>
  <w:style w:type="character" w:styleId="Hyperlink">
    <w:name w:val="Hyperlink"/>
    <w:basedOn w:val="DefaultParagraphFont"/>
    <w:uiPriority w:val="99"/>
    <w:rsid w:val="00B4136C"/>
    <w:rPr>
      <w:rFonts w:cs="Times New Roman"/>
      <w:color w:val="auto"/>
      <w:u w:val="single"/>
    </w:rPr>
  </w:style>
  <w:style w:type="paragraph" w:customStyle="1" w:styleId="POPBY">
    <w:name w:val="POPBY"/>
    <w:basedOn w:val="IATableLabel"/>
    <w:rsid w:val="00AB574B"/>
  </w:style>
  <w:style w:type="paragraph" w:customStyle="1" w:styleId="EBBullet">
    <w:name w:val="EBBullet"/>
    <w:basedOn w:val="BodyText"/>
    <w:rsid w:val="002B7335"/>
    <w:pPr>
      <w:numPr>
        <w:numId w:val="8"/>
      </w:numPr>
    </w:pPr>
  </w:style>
  <w:style w:type="paragraph" w:customStyle="1" w:styleId="IAHeadText">
    <w:name w:val="IAHeadText"/>
    <w:basedOn w:val="IATableText"/>
    <w:rsid w:val="00632CB9"/>
    <w:pPr>
      <w:spacing w:before="0" w:after="0"/>
      <w:ind w:left="0" w:right="57"/>
    </w:pPr>
    <w:rPr>
      <w:spacing w:val="-6"/>
    </w:rPr>
  </w:style>
  <w:style w:type="paragraph" w:customStyle="1" w:styleId="IAHeadLabel0">
    <w:name w:val="IAHeadLabel0"/>
    <w:basedOn w:val="IAHeadLabel"/>
    <w:next w:val="IAHeadTitle"/>
    <w:rsid w:val="00632CB9"/>
    <w:pPr>
      <w:spacing w:before="0"/>
    </w:pPr>
  </w:style>
  <w:style w:type="paragraph" w:customStyle="1" w:styleId="IATableLines">
    <w:name w:val="IATableLines"/>
    <w:basedOn w:val="IATableText"/>
    <w:link w:val="IATableLinesChar"/>
    <w:rsid w:val="00E82A56"/>
    <w:pPr>
      <w:spacing w:before="0" w:after="0"/>
    </w:pPr>
  </w:style>
  <w:style w:type="paragraph" w:customStyle="1" w:styleId="EvidenceHeadPIR">
    <w:name w:val="EvidenceHeadPIR"/>
    <w:rsid w:val="00BE650A"/>
    <w:pPr>
      <w:spacing w:after="120"/>
    </w:pPr>
    <w:rPr>
      <w:rFonts w:ascii="Arial" w:hAnsi="Arial" w:cs="Arial"/>
      <w:bCs/>
      <w:color w:val="000000"/>
      <w:sz w:val="22"/>
      <w:szCs w:val="22"/>
    </w:rPr>
  </w:style>
  <w:style w:type="character" w:styleId="FollowedHyperlink">
    <w:name w:val="FollowedHyperlink"/>
    <w:basedOn w:val="DefaultParagraphFont"/>
    <w:uiPriority w:val="99"/>
    <w:rsid w:val="006D37CF"/>
    <w:rPr>
      <w:rFonts w:cs="Times New Roman"/>
      <w:color w:val="auto"/>
      <w:u w:val="single"/>
    </w:rPr>
  </w:style>
  <w:style w:type="paragraph" w:customStyle="1" w:styleId="IASpacer2">
    <w:name w:val="IASpacer2"/>
    <w:basedOn w:val="IASpacer"/>
    <w:rsid w:val="00311373"/>
    <w:pPr>
      <w:spacing w:line="40" w:lineRule="exact"/>
    </w:pPr>
  </w:style>
  <w:style w:type="paragraph" w:customStyle="1" w:styleId="POPVBY">
    <w:name w:val="POPVBY"/>
    <w:basedOn w:val="IATableLabel"/>
    <w:rsid w:val="00AB574B"/>
  </w:style>
  <w:style w:type="paragraph" w:customStyle="1" w:styleId="POTPY">
    <w:name w:val="POTPY"/>
    <w:basedOn w:val="IATableLabel"/>
    <w:rsid w:val="00F622E8"/>
  </w:style>
  <w:style w:type="paragraph" w:customStyle="1" w:styleId="PONBLow">
    <w:name w:val="PONBLow"/>
    <w:basedOn w:val="IATableLabel"/>
    <w:link w:val="PONBLowCharChar"/>
    <w:rsid w:val="00F622E8"/>
    <w:rPr>
      <w:b w:val="0"/>
      <w:szCs w:val="22"/>
    </w:rPr>
  </w:style>
  <w:style w:type="character" w:customStyle="1" w:styleId="PONBLowCharChar">
    <w:name w:val="PONBLow Char Char"/>
    <w:link w:val="PONBLow"/>
    <w:locked/>
    <w:rsid w:val="00F622E8"/>
    <w:rPr>
      <w:rFonts w:ascii="Arial" w:eastAsia="SimSun" w:hAnsi="Arial"/>
      <w:b/>
      <w:color w:val="000000"/>
      <w:spacing w:val="-5"/>
      <w:sz w:val="22"/>
      <w:lang w:val="en-GB" w:eastAsia="zh-CN"/>
    </w:rPr>
  </w:style>
  <w:style w:type="paragraph" w:customStyle="1" w:styleId="PONBHigh">
    <w:name w:val="PONBHigh"/>
    <w:basedOn w:val="IATableLabel"/>
    <w:link w:val="PONBHighChar"/>
    <w:rsid w:val="00F622E8"/>
    <w:rPr>
      <w:b w:val="0"/>
      <w:szCs w:val="22"/>
    </w:rPr>
  </w:style>
  <w:style w:type="character" w:customStyle="1" w:styleId="PONBHighChar">
    <w:name w:val="PONBHigh Char"/>
    <w:link w:val="PONBHigh"/>
    <w:locked/>
    <w:rsid w:val="00F622E8"/>
    <w:rPr>
      <w:rFonts w:ascii="Arial" w:eastAsia="SimSun" w:hAnsi="Arial"/>
      <w:b/>
      <w:color w:val="000000"/>
      <w:spacing w:val="-5"/>
      <w:sz w:val="22"/>
      <w:lang w:val="en-GB" w:eastAsia="zh-CN"/>
    </w:rPr>
  </w:style>
  <w:style w:type="paragraph" w:customStyle="1" w:styleId="PONBBestEst">
    <w:name w:val="PONBBestEst"/>
    <w:basedOn w:val="IATableLabel"/>
    <w:link w:val="PONBBestEstChar"/>
    <w:rsid w:val="00F622E8"/>
    <w:rPr>
      <w:b w:val="0"/>
      <w:szCs w:val="22"/>
    </w:rPr>
  </w:style>
  <w:style w:type="character" w:customStyle="1" w:styleId="PONBBestEstChar">
    <w:name w:val="PONBBestEst Char"/>
    <w:link w:val="PONBBestEst"/>
    <w:locked/>
    <w:rsid w:val="00F622E8"/>
    <w:rPr>
      <w:rFonts w:ascii="Arial" w:eastAsia="SimSun" w:hAnsi="Arial"/>
      <w:b/>
      <w:color w:val="000000"/>
      <w:spacing w:val="-5"/>
      <w:sz w:val="22"/>
      <w:lang w:val="en-GB" w:eastAsia="zh-CN"/>
    </w:rPr>
  </w:style>
  <w:style w:type="paragraph" w:customStyle="1" w:styleId="POTTCostsHigh">
    <w:name w:val="POTTCostsHigh"/>
    <w:basedOn w:val="IATableText"/>
    <w:rsid w:val="00B318B0"/>
    <w:pPr>
      <w:jc w:val="right"/>
    </w:pPr>
  </w:style>
  <w:style w:type="paragraph" w:customStyle="1" w:styleId="POTTCostsLow">
    <w:name w:val="POTTCostsLow"/>
    <w:basedOn w:val="POTTCostsHigh"/>
    <w:rsid w:val="00B318B0"/>
  </w:style>
  <w:style w:type="paragraph" w:customStyle="1" w:styleId="POTTCostsBest">
    <w:name w:val="POTTCostsBest"/>
    <w:basedOn w:val="IATableText"/>
    <w:rsid w:val="00B318B0"/>
    <w:pPr>
      <w:jc w:val="right"/>
    </w:pPr>
  </w:style>
  <w:style w:type="paragraph" w:customStyle="1" w:styleId="POTTCostsYear">
    <w:name w:val="POTTCostsYear"/>
    <w:basedOn w:val="IATableText"/>
    <w:rsid w:val="00B318B0"/>
    <w:pPr>
      <w:jc w:val="center"/>
    </w:pPr>
    <w:rPr>
      <w:szCs w:val="18"/>
    </w:rPr>
  </w:style>
  <w:style w:type="paragraph" w:customStyle="1" w:styleId="POAACostsLow">
    <w:name w:val="POAACostsLow"/>
    <w:basedOn w:val="IATableText"/>
    <w:rsid w:val="00B318B0"/>
    <w:pPr>
      <w:jc w:val="right"/>
    </w:pPr>
  </w:style>
  <w:style w:type="paragraph" w:customStyle="1" w:styleId="POAACostsHigh">
    <w:name w:val="POAACostsHigh"/>
    <w:basedOn w:val="POAACostsLow"/>
    <w:rsid w:val="00B318B0"/>
  </w:style>
  <w:style w:type="paragraph" w:customStyle="1" w:styleId="POAACostsBest">
    <w:name w:val="POAACostsBest"/>
    <w:basedOn w:val="IATableText"/>
    <w:rsid w:val="00B318B0"/>
    <w:pPr>
      <w:jc w:val="right"/>
    </w:pPr>
  </w:style>
  <w:style w:type="paragraph" w:customStyle="1" w:styleId="POTCCostsLow">
    <w:name w:val="POTCCostsLow"/>
    <w:basedOn w:val="IATableText"/>
    <w:rsid w:val="00B318B0"/>
    <w:pPr>
      <w:jc w:val="right"/>
    </w:pPr>
    <w:rPr>
      <w:b/>
    </w:rPr>
  </w:style>
  <w:style w:type="paragraph" w:customStyle="1" w:styleId="POTCCostsHigh">
    <w:name w:val="POTCCostsHigh"/>
    <w:basedOn w:val="IATableText"/>
    <w:rsid w:val="00B318B0"/>
    <w:pPr>
      <w:jc w:val="right"/>
    </w:pPr>
    <w:rPr>
      <w:b/>
    </w:rPr>
  </w:style>
  <w:style w:type="paragraph" w:customStyle="1" w:styleId="POTCCostsBest">
    <w:name w:val="POTCCostsBest"/>
    <w:basedOn w:val="IATableText"/>
    <w:rsid w:val="00B318B0"/>
    <w:pPr>
      <w:jc w:val="right"/>
    </w:pPr>
    <w:rPr>
      <w:b/>
    </w:rPr>
  </w:style>
  <w:style w:type="paragraph" w:customStyle="1" w:styleId="IAPOQ1">
    <w:name w:val="IAPOQ1"/>
    <w:basedOn w:val="IATableLabel"/>
    <w:rsid w:val="00B006A9"/>
  </w:style>
  <w:style w:type="paragraph" w:customStyle="1" w:styleId="IAPOA1">
    <w:name w:val="IAPOA1"/>
    <w:basedOn w:val="IATableLines"/>
    <w:rsid w:val="00B006A9"/>
  </w:style>
  <w:style w:type="paragraph" w:customStyle="1" w:styleId="IAPOQ2">
    <w:name w:val="IAPOQ2"/>
    <w:basedOn w:val="IATableLabel"/>
    <w:link w:val="IAPOQ2Char"/>
    <w:rsid w:val="00B006A9"/>
  </w:style>
  <w:style w:type="paragraph" w:customStyle="1" w:styleId="IAPOA2">
    <w:name w:val="IAPOA2"/>
    <w:basedOn w:val="IATableLines"/>
    <w:rsid w:val="00B006A9"/>
  </w:style>
  <w:style w:type="paragraph" w:customStyle="1" w:styleId="POTTBenLow">
    <w:name w:val="POTTBenLow"/>
    <w:basedOn w:val="POTTCostsLow"/>
    <w:rsid w:val="00B006A9"/>
  </w:style>
  <w:style w:type="paragraph" w:customStyle="1" w:styleId="POTTBenHigh">
    <w:name w:val="POTTBenHigh"/>
    <w:basedOn w:val="POTTCostsHigh"/>
    <w:rsid w:val="00B006A9"/>
  </w:style>
  <w:style w:type="paragraph" w:customStyle="1" w:styleId="POTTBenBest">
    <w:name w:val="POTTBenBest"/>
    <w:basedOn w:val="POTTCostsBest"/>
    <w:rsid w:val="00B006A9"/>
  </w:style>
  <w:style w:type="paragraph" w:customStyle="1" w:styleId="POAABenLow">
    <w:name w:val="POAABenLow"/>
    <w:basedOn w:val="POAACostsLow"/>
    <w:rsid w:val="00B006A9"/>
  </w:style>
  <w:style w:type="paragraph" w:customStyle="1" w:styleId="POAABenHigh">
    <w:name w:val="POAABenHigh"/>
    <w:basedOn w:val="POAABenLow"/>
    <w:rsid w:val="00B006A9"/>
  </w:style>
  <w:style w:type="paragraph" w:customStyle="1" w:styleId="POAABenBest">
    <w:name w:val="POAABenBest"/>
    <w:basedOn w:val="POAABenHigh"/>
    <w:rsid w:val="00B006A9"/>
  </w:style>
  <w:style w:type="paragraph" w:customStyle="1" w:styleId="POTBBenLow">
    <w:name w:val="POTBBenLow"/>
    <w:basedOn w:val="POTCCostsLow"/>
    <w:rsid w:val="00B006A9"/>
  </w:style>
  <w:style w:type="paragraph" w:customStyle="1" w:styleId="POTBBenHigh">
    <w:name w:val="POTBBenHigh"/>
    <w:basedOn w:val="POTBBenLow"/>
    <w:rsid w:val="00B006A9"/>
  </w:style>
  <w:style w:type="paragraph" w:customStyle="1" w:styleId="POTBBenBest">
    <w:name w:val="POTBBenBest"/>
    <w:basedOn w:val="POTBBenHigh"/>
    <w:rsid w:val="00B006A9"/>
  </w:style>
  <w:style w:type="paragraph" w:customStyle="1" w:styleId="IPPOQ3">
    <w:name w:val="IPPOQ3"/>
    <w:basedOn w:val="IAPOQ2"/>
    <w:link w:val="IPPOQ3Char"/>
    <w:rsid w:val="00F1653E"/>
  </w:style>
  <w:style w:type="paragraph" w:customStyle="1" w:styleId="IAPOQ4">
    <w:name w:val="IAPOQ4"/>
    <w:basedOn w:val="IPPOQ3"/>
    <w:link w:val="IAPOQ4Char"/>
    <w:rsid w:val="00F1653E"/>
  </w:style>
  <w:style w:type="paragraph" w:customStyle="1" w:styleId="IAPOA3">
    <w:name w:val="IAPOA3"/>
    <w:basedOn w:val="IAPOA2"/>
    <w:rsid w:val="00F1653E"/>
  </w:style>
  <w:style w:type="paragraph" w:customStyle="1" w:styleId="IAPOA4">
    <w:name w:val="IAPOA4"/>
    <w:basedOn w:val="IAPOA3"/>
    <w:rsid w:val="00F1653E"/>
  </w:style>
  <w:style w:type="paragraph" w:customStyle="1" w:styleId="IAPOA5">
    <w:name w:val="IAPOA5"/>
    <w:basedOn w:val="IAPOA4"/>
    <w:rsid w:val="00F1653E"/>
  </w:style>
  <w:style w:type="paragraph" w:customStyle="1" w:styleId="IAPOQ5">
    <w:name w:val="IAPOQ5"/>
    <w:basedOn w:val="IAPOQ4"/>
    <w:link w:val="IAPOQ5Char"/>
    <w:rsid w:val="00F1653E"/>
  </w:style>
  <w:style w:type="character" w:customStyle="1" w:styleId="IAPOQ2Char">
    <w:name w:val="IAPOQ2 Char"/>
    <w:basedOn w:val="IATableLabelCharChar"/>
    <w:link w:val="IAPOQ2"/>
    <w:locked/>
    <w:rsid w:val="00F1653E"/>
    <w:rPr>
      <w:rFonts w:ascii="Arial" w:eastAsia="SimSun" w:hAnsi="Arial" w:cs="Times New Roman"/>
      <w:b/>
      <w:color w:val="000000"/>
      <w:spacing w:val="-5"/>
      <w:lang w:val="en-GB" w:eastAsia="zh-CN" w:bidi="ar-SA"/>
    </w:rPr>
  </w:style>
  <w:style w:type="character" w:customStyle="1" w:styleId="IPPOQ3Char">
    <w:name w:val="IPPOQ3 Char"/>
    <w:basedOn w:val="IAPOQ2Char"/>
    <w:link w:val="IPPOQ3"/>
    <w:locked/>
    <w:rsid w:val="00F1653E"/>
    <w:rPr>
      <w:rFonts w:ascii="Arial" w:eastAsia="SimSun" w:hAnsi="Arial" w:cs="Times New Roman"/>
      <w:b/>
      <w:color w:val="000000"/>
      <w:spacing w:val="-5"/>
      <w:lang w:val="en-GB" w:eastAsia="zh-CN" w:bidi="ar-SA"/>
    </w:rPr>
  </w:style>
  <w:style w:type="character" w:customStyle="1" w:styleId="IAPOQ4Char">
    <w:name w:val="IAPOQ4 Char"/>
    <w:basedOn w:val="IPPOQ3Char"/>
    <w:link w:val="IAPOQ4"/>
    <w:locked/>
    <w:rsid w:val="00F1653E"/>
    <w:rPr>
      <w:rFonts w:ascii="Arial" w:eastAsia="SimSun" w:hAnsi="Arial" w:cs="Times New Roman"/>
      <w:b/>
      <w:color w:val="000000"/>
      <w:spacing w:val="-5"/>
      <w:lang w:val="en-GB" w:eastAsia="zh-CN" w:bidi="ar-SA"/>
    </w:rPr>
  </w:style>
  <w:style w:type="character" w:customStyle="1" w:styleId="IAPOQ5Char">
    <w:name w:val="IAPOQ5 Char"/>
    <w:basedOn w:val="IAPOQ4Char"/>
    <w:link w:val="IAPOQ5"/>
    <w:locked/>
    <w:rsid w:val="00F1653E"/>
    <w:rPr>
      <w:rFonts w:ascii="Arial" w:eastAsia="SimSun" w:hAnsi="Arial" w:cs="Times New Roman"/>
      <w:b/>
      <w:color w:val="000000"/>
      <w:spacing w:val="-5"/>
      <w:lang w:val="en-GB" w:eastAsia="zh-CN" w:bidi="ar-SA"/>
    </w:rPr>
  </w:style>
  <w:style w:type="paragraph" w:customStyle="1" w:styleId="IAPODisRate">
    <w:name w:val="IAPODisRate"/>
    <w:basedOn w:val="IATableLabel"/>
    <w:rsid w:val="00F1653E"/>
    <w:pPr>
      <w:ind w:left="0"/>
      <w:jc w:val="center"/>
    </w:pPr>
    <w:rPr>
      <w:b w:val="0"/>
    </w:rPr>
  </w:style>
  <w:style w:type="paragraph" w:customStyle="1" w:styleId="IAPODICost">
    <w:name w:val="IAPODICost"/>
    <w:basedOn w:val="IATableLabel"/>
    <w:link w:val="IAPODICostChar"/>
    <w:rsid w:val="000E3FD7"/>
    <w:rPr>
      <w:b w:val="0"/>
      <w:sz w:val="22"/>
      <w:szCs w:val="22"/>
    </w:rPr>
  </w:style>
  <w:style w:type="character" w:customStyle="1" w:styleId="IAPODICostChar">
    <w:name w:val="IAPODICost Char"/>
    <w:link w:val="IAPODICost"/>
    <w:locked/>
    <w:rsid w:val="000E3FD7"/>
    <w:rPr>
      <w:rFonts w:ascii="Arial" w:eastAsia="SimSun" w:hAnsi="Arial"/>
      <w:b/>
      <w:color w:val="000000"/>
      <w:spacing w:val="-5"/>
      <w:sz w:val="22"/>
      <w:lang w:val="en-GB" w:eastAsia="zh-CN"/>
    </w:rPr>
  </w:style>
  <w:style w:type="paragraph" w:customStyle="1" w:styleId="IAPODIBen">
    <w:name w:val="IAPODIBen"/>
    <w:basedOn w:val="IATableLabel"/>
    <w:link w:val="IAPODIBenChar"/>
    <w:rsid w:val="000E3FD7"/>
    <w:rPr>
      <w:b w:val="0"/>
      <w:sz w:val="22"/>
      <w:szCs w:val="22"/>
    </w:rPr>
  </w:style>
  <w:style w:type="paragraph" w:customStyle="1" w:styleId="IAPODINet">
    <w:name w:val="IAPODINet"/>
    <w:basedOn w:val="IATableLabel"/>
    <w:link w:val="IAPODINetChar"/>
    <w:rsid w:val="000E3FD7"/>
    <w:rPr>
      <w:b w:val="0"/>
      <w:sz w:val="22"/>
      <w:szCs w:val="22"/>
    </w:rPr>
  </w:style>
  <w:style w:type="paragraph" w:customStyle="1" w:styleId="IAPODIOIOO">
    <w:name w:val="IAPODIOIOO"/>
    <w:basedOn w:val="IATableLabel"/>
    <w:rsid w:val="000E3FD7"/>
    <w:rPr>
      <w:b w:val="0"/>
      <w:sz w:val="22"/>
      <w:szCs w:val="22"/>
    </w:rPr>
  </w:style>
  <w:style w:type="character" w:customStyle="1" w:styleId="IAPODINetChar">
    <w:name w:val="IAPODINet Char"/>
    <w:link w:val="IAPODINet"/>
    <w:locked/>
    <w:rsid w:val="000E3FD7"/>
    <w:rPr>
      <w:rFonts w:ascii="Arial" w:eastAsia="SimSun" w:hAnsi="Arial"/>
      <w:b/>
      <w:color w:val="000000"/>
      <w:spacing w:val="-5"/>
      <w:sz w:val="22"/>
      <w:lang w:val="en-GB" w:eastAsia="zh-CN"/>
    </w:rPr>
  </w:style>
  <w:style w:type="character" w:customStyle="1" w:styleId="IAPODIBenChar">
    <w:name w:val="IAPODIBen Char"/>
    <w:link w:val="IAPODIBen"/>
    <w:locked/>
    <w:rsid w:val="000E3FD7"/>
    <w:rPr>
      <w:rFonts w:ascii="Arial" w:eastAsia="SimSun" w:hAnsi="Arial"/>
      <w:b/>
      <w:color w:val="000000"/>
      <w:spacing w:val="-5"/>
      <w:sz w:val="22"/>
      <w:lang w:val="en-GB" w:eastAsia="zh-CN"/>
    </w:rPr>
  </w:style>
  <w:style w:type="paragraph" w:customStyle="1" w:styleId="IAPODIMQ">
    <w:name w:val="IAPODIMQ"/>
    <w:basedOn w:val="IATableText"/>
    <w:rsid w:val="000E3FD7"/>
    <w:rPr>
      <w:color w:val="000000"/>
      <w:sz w:val="20"/>
    </w:rPr>
  </w:style>
  <w:style w:type="paragraph" w:customStyle="1" w:styleId="ebbullet0">
    <w:name w:val="ebbullet"/>
    <w:basedOn w:val="Normal"/>
    <w:rsid w:val="001F5423"/>
    <w:pPr>
      <w:spacing w:before="100" w:beforeAutospacing="1" w:after="100" w:afterAutospacing="1"/>
    </w:pPr>
    <w:rPr>
      <w:rFonts w:ascii="Times New Roman" w:hAnsi="Times New Roman"/>
      <w:lang w:eastAsia="en-GB"/>
    </w:rPr>
  </w:style>
  <w:style w:type="paragraph" w:customStyle="1" w:styleId="IATitle">
    <w:name w:val="IATitle"/>
    <w:basedOn w:val="Normal"/>
    <w:rsid w:val="005F32E7"/>
    <w:pPr>
      <w:ind w:left="113"/>
    </w:pPr>
    <w:rPr>
      <w:rFonts w:eastAsia="SimSun" w:cs="Arial"/>
      <w:sz w:val="20"/>
    </w:rPr>
  </w:style>
  <w:style w:type="paragraph" w:customStyle="1" w:styleId="IANo">
    <w:name w:val="IANo"/>
    <w:basedOn w:val="Normal"/>
    <w:link w:val="IANoChar"/>
    <w:rsid w:val="005F32E7"/>
    <w:pPr>
      <w:ind w:left="113"/>
    </w:pPr>
    <w:rPr>
      <w:sz w:val="20"/>
      <w:szCs w:val="22"/>
    </w:rPr>
  </w:style>
  <w:style w:type="character" w:customStyle="1" w:styleId="IAHeadDeptChar">
    <w:name w:val="IAHeadDept Char"/>
    <w:link w:val="IAHeadDept"/>
    <w:locked/>
    <w:rsid w:val="008031EC"/>
    <w:rPr>
      <w:rFonts w:ascii="Arial" w:eastAsia="SimSun" w:hAnsi="Arial"/>
      <w:b/>
      <w:color w:val="000000"/>
      <w:spacing w:val="-6"/>
      <w:sz w:val="22"/>
      <w:lang w:val="en-GB" w:eastAsia="zh-CN"/>
    </w:rPr>
  </w:style>
  <w:style w:type="character" w:customStyle="1" w:styleId="IAHeadTitleChar">
    <w:name w:val="IAHeadTitle Char"/>
    <w:link w:val="IAHeadTitle"/>
    <w:locked/>
    <w:rsid w:val="008031EC"/>
    <w:rPr>
      <w:rFonts w:ascii="Arial" w:eastAsia="SimSun" w:hAnsi="Arial"/>
      <w:b/>
      <w:color w:val="000000"/>
      <w:spacing w:val="-6"/>
      <w:sz w:val="28"/>
      <w:lang w:val="en-GB" w:eastAsia="zh-CN"/>
    </w:rPr>
  </w:style>
  <w:style w:type="character" w:customStyle="1" w:styleId="IANoChar">
    <w:name w:val="IANo Char"/>
    <w:link w:val="IANo"/>
    <w:locked/>
    <w:rsid w:val="005F32E7"/>
    <w:rPr>
      <w:rFonts w:ascii="Arial" w:eastAsia="SimSun" w:hAnsi="Arial"/>
      <w:b/>
      <w:color w:val="000000"/>
      <w:spacing w:val="-6"/>
      <w:sz w:val="22"/>
      <w:lang w:val="en-GB" w:eastAsia="en-US"/>
    </w:rPr>
  </w:style>
  <w:style w:type="paragraph" w:customStyle="1" w:styleId="IALeadDept">
    <w:name w:val="IALeadDept"/>
    <w:basedOn w:val="Normal"/>
    <w:rsid w:val="005F32E7"/>
    <w:pPr>
      <w:ind w:left="113"/>
    </w:pPr>
    <w:rPr>
      <w:rFonts w:cs="Arial"/>
      <w:noProof/>
      <w:sz w:val="20"/>
    </w:rPr>
  </w:style>
  <w:style w:type="paragraph" w:customStyle="1" w:styleId="IAOtherDepts">
    <w:name w:val="IAOtherDepts"/>
    <w:basedOn w:val="IATableLabel"/>
    <w:rsid w:val="008031EC"/>
    <w:pPr>
      <w:spacing w:after="0"/>
    </w:pPr>
    <w:rPr>
      <w:b w:val="0"/>
    </w:rPr>
  </w:style>
  <w:style w:type="paragraph" w:customStyle="1" w:styleId="IADate">
    <w:name w:val="IADate"/>
    <w:basedOn w:val="IATableLabel"/>
    <w:link w:val="IADateChar"/>
    <w:rsid w:val="008031EC"/>
    <w:rPr>
      <w:b w:val="0"/>
      <w:sz w:val="22"/>
      <w:szCs w:val="22"/>
    </w:rPr>
  </w:style>
  <w:style w:type="paragraph" w:customStyle="1" w:styleId="IAStage">
    <w:name w:val="IAStage"/>
    <w:basedOn w:val="IATableLabel"/>
    <w:link w:val="IAStageChar"/>
    <w:rsid w:val="008031EC"/>
    <w:rPr>
      <w:b w:val="0"/>
      <w:sz w:val="22"/>
    </w:rPr>
  </w:style>
  <w:style w:type="paragraph" w:customStyle="1" w:styleId="IASOI">
    <w:name w:val="IASOI"/>
    <w:basedOn w:val="IATableLabel"/>
    <w:link w:val="IASOIChar"/>
    <w:rsid w:val="008031EC"/>
    <w:rPr>
      <w:b w:val="0"/>
      <w:sz w:val="22"/>
    </w:rPr>
  </w:style>
  <w:style w:type="paragraph" w:customStyle="1" w:styleId="IATOM">
    <w:name w:val="IATOM"/>
    <w:basedOn w:val="IATableLabel"/>
    <w:link w:val="IATOMChar"/>
    <w:rsid w:val="008031EC"/>
    <w:rPr>
      <w:b w:val="0"/>
      <w:sz w:val="22"/>
    </w:rPr>
  </w:style>
  <w:style w:type="paragraph" w:customStyle="1" w:styleId="IACOE">
    <w:name w:val="IACOE"/>
    <w:basedOn w:val="Normal"/>
    <w:link w:val="IACOEChar"/>
    <w:autoRedefine/>
    <w:rsid w:val="00B225B0"/>
    <w:rPr>
      <w:rFonts w:eastAsia="SimSun"/>
      <w:spacing w:val="-5"/>
      <w:sz w:val="20"/>
      <w:lang w:eastAsia="zh-CN"/>
    </w:rPr>
  </w:style>
  <w:style w:type="paragraph" w:customStyle="1" w:styleId="IARPC">
    <w:name w:val="IARPC"/>
    <w:basedOn w:val="Title"/>
    <w:link w:val="IARPCChar"/>
    <w:rsid w:val="00174C10"/>
    <w:rPr>
      <w:rFonts w:eastAsia="SimSun"/>
      <w:color w:val="000000"/>
      <w:sz w:val="24"/>
      <w:szCs w:val="24"/>
    </w:rPr>
  </w:style>
  <w:style w:type="paragraph" w:customStyle="1" w:styleId="IAIIOTNPV">
    <w:name w:val="IAIIOTNPV"/>
    <w:basedOn w:val="IATableLabel"/>
    <w:rsid w:val="008031EC"/>
    <w:pPr>
      <w:spacing w:before="0" w:after="0"/>
      <w:jc w:val="both"/>
    </w:pPr>
    <w:rPr>
      <w:b w:val="0"/>
      <w:sz w:val="22"/>
      <w:szCs w:val="22"/>
    </w:rPr>
  </w:style>
  <w:style w:type="paragraph" w:customStyle="1" w:styleId="IAIOBNPV">
    <w:name w:val="IAIOBNPV"/>
    <w:basedOn w:val="IATableLabel"/>
    <w:rsid w:val="008031EC"/>
    <w:pPr>
      <w:spacing w:before="0" w:after="0"/>
    </w:pPr>
    <w:rPr>
      <w:b w:val="0"/>
      <w:sz w:val="22"/>
      <w:szCs w:val="22"/>
    </w:rPr>
  </w:style>
  <w:style w:type="paragraph" w:customStyle="1" w:styleId="IAIONCTBPY">
    <w:name w:val="IAIONCTBPY"/>
    <w:basedOn w:val="IATableLabel"/>
    <w:rsid w:val="008031EC"/>
    <w:pPr>
      <w:spacing w:before="0" w:after="0"/>
    </w:pPr>
    <w:rPr>
      <w:b w:val="0"/>
      <w:sz w:val="22"/>
      <w:szCs w:val="22"/>
    </w:rPr>
  </w:style>
  <w:style w:type="paragraph" w:customStyle="1" w:styleId="IAIOInScopeInOut">
    <w:name w:val="IAIOInScopeInOut"/>
    <w:basedOn w:val="IATableLabel"/>
    <w:rsid w:val="008369A3"/>
    <w:pPr>
      <w:spacing w:before="0" w:after="0"/>
    </w:pPr>
    <w:rPr>
      <w:b w:val="0"/>
      <w:sz w:val="22"/>
      <w:szCs w:val="22"/>
    </w:rPr>
  </w:style>
  <w:style w:type="paragraph" w:customStyle="1" w:styleId="IAIOPrefMQ">
    <w:name w:val="IAIOPrefMQ"/>
    <w:basedOn w:val="IATableText"/>
    <w:rsid w:val="008369A3"/>
    <w:pPr>
      <w:spacing w:before="0" w:after="0"/>
    </w:pPr>
    <w:rPr>
      <w:color w:val="000000"/>
      <w:szCs w:val="22"/>
    </w:rPr>
  </w:style>
  <w:style w:type="paragraph" w:customStyle="1" w:styleId="IAIOQ1">
    <w:name w:val="IAIOQ1"/>
    <w:basedOn w:val="IATableLabel"/>
    <w:rsid w:val="008369A3"/>
  </w:style>
  <w:style w:type="paragraph" w:customStyle="1" w:styleId="IAIOA1">
    <w:name w:val="IAIOA1"/>
    <w:basedOn w:val="IATableLines"/>
    <w:rsid w:val="008369A3"/>
  </w:style>
  <w:style w:type="paragraph" w:customStyle="1" w:styleId="IAIOQ2">
    <w:name w:val="IAIOQ2"/>
    <w:basedOn w:val="IATableLabel"/>
    <w:rsid w:val="008369A3"/>
  </w:style>
  <w:style w:type="paragraph" w:customStyle="1" w:styleId="IAIOA2">
    <w:name w:val="IAIOA2"/>
    <w:basedOn w:val="IATableLines"/>
    <w:rsid w:val="008369A3"/>
  </w:style>
  <w:style w:type="paragraph" w:customStyle="1" w:styleId="IAIOQ3">
    <w:name w:val="IAIOQ3"/>
    <w:basedOn w:val="IATableLabel"/>
    <w:rsid w:val="008369A3"/>
  </w:style>
  <w:style w:type="paragraph" w:customStyle="1" w:styleId="IAIOA3">
    <w:name w:val="IAIOA3"/>
    <w:basedOn w:val="IATableLines"/>
    <w:rsid w:val="008369A3"/>
  </w:style>
  <w:style w:type="paragraph" w:customStyle="1" w:styleId="IAIOPolicyReview">
    <w:name w:val="IAIOPolicyReview"/>
    <w:basedOn w:val="IATableLabel"/>
    <w:link w:val="IAIOPolicyReviewChar"/>
    <w:rsid w:val="00F91F5A"/>
    <w:rPr>
      <w:b w:val="0"/>
      <w:sz w:val="22"/>
      <w:szCs w:val="22"/>
    </w:rPr>
  </w:style>
  <w:style w:type="character" w:customStyle="1" w:styleId="IAIOPolicyReviewChar">
    <w:name w:val="IAIOPolicyReview Char"/>
    <w:link w:val="IAIOPolicyReview"/>
    <w:locked/>
    <w:rsid w:val="00F91F5A"/>
    <w:rPr>
      <w:rFonts w:ascii="Arial" w:eastAsia="SimSun" w:hAnsi="Arial"/>
      <w:b/>
      <w:color w:val="000000"/>
      <w:spacing w:val="-5"/>
      <w:sz w:val="22"/>
      <w:lang w:val="en-GB" w:eastAsia="zh-CN"/>
    </w:rPr>
  </w:style>
  <w:style w:type="paragraph" w:customStyle="1" w:styleId="IAIOReviewMonth">
    <w:name w:val="IAIOReviewMonth"/>
    <w:basedOn w:val="IATableLabel"/>
    <w:link w:val="IAIOReviewMonthChar"/>
    <w:rsid w:val="00F91F5A"/>
    <w:rPr>
      <w:b w:val="0"/>
      <w:sz w:val="22"/>
      <w:szCs w:val="22"/>
    </w:rPr>
  </w:style>
  <w:style w:type="paragraph" w:customStyle="1" w:styleId="IAIOReviewYear">
    <w:name w:val="IAIOReviewYear"/>
    <w:basedOn w:val="IATableLabel"/>
    <w:link w:val="IAIOReviewYearChar"/>
    <w:rsid w:val="00F91F5A"/>
    <w:rPr>
      <w:b w:val="0"/>
      <w:sz w:val="22"/>
      <w:szCs w:val="22"/>
    </w:rPr>
  </w:style>
  <w:style w:type="paragraph" w:customStyle="1" w:styleId="IAIOCheckEU">
    <w:name w:val="IAIOCheckEU"/>
    <w:basedOn w:val="IATableText"/>
    <w:rsid w:val="00F91F5A"/>
    <w:pPr>
      <w:spacing w:before="0" w:after="0"/>
    </w:pPr>
    <w:rPr>
      <w:sz w:val="20"/>
    </w:rPr>
  </w:style>
  <w:style w:type="character" w:customStyle="1" w:styleId="IAIOReviewYearChar">
    <w:name w:val="IAIOReviewYear Char"/>
    <w:link w:val="IAIOReviewYear"/>
    <w:locked/>
    <w:rsid w:val="00F91F5A"/>
    <w:rPr>
      <w:rFonts w:ascii="Arial" w:eastAsia="SimSun" w:hAnsi="Arial"/>
      <w:b/>
      <w:color w:val="000000"/>
      <w:spacing w:val="-5"/>
      <w:sz w:val="22"/>
      <w:lang w:val="en-GB" w:eastAsia="zh-CN"/>
    </w:rPr>
  </w:style>
  <w:style w:type="character" w:customStyle="1" w:styleId="IAIOReviewMonthChar">
    <w:name w:val="IAIOReviewMonth Char"/>
    <w:link w:val="IAIOReviewMonth"/>
    <w:locked/>
    <w:rsid w:val="00F91F5A"/>
    <w:rPr>
      <w:rFonts w:ascii="Arial" w:eastAsia="SimSun" w:hAnsi="Arial"/>
      <w:b/>
      <w:color w:val="000000"/>
      <w:spacing w:val="-5"/>
      <w:sz w:val="22"/>
      <w:lang w:val="en-GB" w:eastAsia="zh-CN"/>
    </w:rPr>
  </w:style>
  <w:style w:type="paragraph" w:customStyle="1" w:styleId="IAIOCheckMicro">
    <w:name w:val="IAIOCheckMicro"/>
    <w:basedOn w:val="IATableLines"/>
    <w:link w:val="IAIOCheckMicroChar"/>
    <w:rsid w:val="00F91F5A"/>
    <w:rPr>
      <w:sz w:val="20"/>
    </w:rPr>
  </w:style>
  <w:style w:type="paragraph" w:customStyle="1" w:styleId="IAIOCheck20">
    <w:name w:val="IAIOCheck20"/>
    <w:basedOn w:val="IATableLines"/>
    <w:rsid w:val="00F91F5A"/>
    <w:rPr>
      <w:sz w:val="20"/>
    </w:rPr>
  </w:style>
  <w:style w:type="paragraph" w:customStyle="1" w:styleId="IAIOCheckSmall">
    <w:name w:val="IAIOCheckSmall"/>
    <w:basedOn w:val="IATableLines"/>
    <w:link w:val="IAIOCheckSmallChar"/>
    <w:rsid w:val="00F91F5A"/>
    <w:rPr>
      <w:sz w:val="20"/>
    </w:rPr>
  </w:style>
  <w:style w:type="paragraph" w:customStyle="1" w:styleId="IAIOCheckMedium">
    <w:name w:val="IAIOCheckMedium"/>
    <w:basedOn w:val="IATableLines"/>
    <w:link w:val="IAIOCheckMediumChar"/>
    <w:rsid w:val="00F91F5A"/>
    <w:rPr>
      <w:sz w:val="20"/>
    </w:rPr>
  </w:style>
  <w:style w:type="paragraph" w:customStyle="1" w:styleId="IAIOCheckLarge">
    <w:name w:val="IAIOCheckLarge"/>
    <w:basedOn w:val="IATableLines"/>
    <w:link w:val="IAIOCheckLargeChar"/>
    <w:rsid w:val="00F91F5A"/>
    <w:rPr>
      <w:sz w:val="20"/>
    </w:rPr>
  </w:style>
  <w:style w:type="paragraph" w:customStyle="1" w:styleId="IAIOCO2Traded">
    <w:name w:val="IAIOCO2Traded"/>
    <w:basedOn w:val="IATableLabel"/>
    <w:link w:val="IAIOCO2TradedChar"/>
    <w:rsid w:val="00F91F5A"/>
    <w:rPr>
      <w:b w:val="0"/>
      <w:sz w:val="22"/>
    </w:rPr>
  </w:style>
  <w:style w:type="paragraph" w:customStyle="1" w:styleId="IAIOCO2NonTraded">
    <w:name w:val="IAIOCO2NonTraded"/>
    <w:basedOn w:val="IAIOCO2Traded"/>
    <w:rsid w:val="008155E3"/>
    <w:rPr>
      <w:sz w:val="20"/>
    </w:rPr>
  </w:style>
  <w:style w:type="paragraph" w:customStyle="1" w:styleId="IAIOtextSign">
    <w:name w:val="IAIOtextSign"/>
    <w:basedOn w:val="Normal"/>
    <w:rsid w:val="00F91F5A"/>
    <w:pPr>
      <w:jc w:val="center"/>
    </w:pPr>
  </w:style>
  <w:style w:type="paragraph" w:customStyle="1" w:styleId="IAIOSigDate">
    <w:name w:val="IAIOSigDate"/>
    <w:basedOn w:val="Normal"/>
    <w:rsid w:val="00F91F5A"/>
    <w:pPr>
      <w:jc w:val="center"/>
    </w:pPr>
    <w:rPr>
      <w:sz w:val="22"/>
      <w:szCs w:val="22"/>
    </w:rPr>
  </w:style>
  <w:style w:type="paragraph" w:customStyle="1" w:styleId="IAPODescription">
    <w:name w:val="IAPODescription"/>
    <w:basedOn w:val="IAHeadLabel"/>
    <w:link w:val="IAPODescriptionCharChar"/>
    <w:rsid w:val="00D00846"/>
    <w:pPr>
      <w:spacing w:before="50"/>
    </w:pPr>
    <w:rPr>
      <w:b w:val="0"/>
    </w:rPr>
  </w:style>
  <w:style w:type="character" w:customStyle="1" w:styleId="IAPODescriptionCharChar">
    <w:name w:val="IAPODescription Char Char"/>
    <w:basedOn w:val="IAHeadLabelChar"/>
    <w:link w:val="IAPODescription"/>
    <w:locked/>
    <w:rsid w:val="00D00846"/>
    <w:rPr>
      <w:rFonts w:ascii="Arial" w:eastAsia="SimSun" w:hAnsi="Arial" w:cs="Times New Roman"/>
      <w:b/>
      <w:color w:val="000000"/>
      <w:spacing w:val="-5"/>
      <w:lang w:val="en-GB" w:eastAsia="zh-CN" w:bidi="ar-SA"/>
    </w:rPr>
  </w:style>
  <w:style w:type="character" w:customStyle="1" w:styleId="IADateChar">
    <w:name w:val="IADate Char"/>
    <w:link w:val="IADate"/>
    <w:locked/>
    <w:rsid w:val="00174C10"/>
    <w:rPr>
      <w:rFonts w:ascii="Arial" w:eastAsia="SimSun" w:hAnsi="Arial"/>
      <w:b/>
      <w:color w:val="000000"/>
      <w:spacing w:val="-5"/>
      <w:sz w:val="22"/>
      <w:lang w:val="en-GB" w:eastAsia="zh-CN"/>
    </w:rPr>
  </w:style>
  <w:style w:type="character" w:customStyle="1" w:styleId="IATableLinesChar">
    <w:name w:val="IATableLines Char"/>
    <w:basedOn w:val="IATableTextChar"/>
    <w:link w:val="IATableLines"/>
    <w:locked/>
    <w:rsid w:val="00174C10"/>
    <w:rPr>
      <w:rFonts w:ascii="Arial" w:eastAsia="SimSun" w:hAnsi="Arial" w:cs="Times New Roman"/>
      <w:b/>
      <w:color w:val="000000"/>
      <w:spacing w:val="-5"/>
      <w:sz w:val="22"/>
      <w:lang w:val="en-GB" w:eastAsia="zh-CN" w:bidi="ar-SA"/>
    </w:rPr>
  </w:style>
  <w:style w:type="character" w:customStyle="1" w:styleId="IACOEChar">
    <w:name w:val="IACOE Char"/>
    <w:link w:val="IACOE"/>
    <w:locked/>
    <w:rsid w:val="00B225B0"/>
    <w:rPr>
      <w:rFonts w:ascii="Arial" w:eastAsia="SimSun" w:hAnsi="Arial"/>
      <w:b/>
      <w:color w:val="000000"/>
      <w:spacing w:val="-5"/>
      <w:sz w:val="24"/>
      <w:lang w:val="en-GB" w:eastAsia="zh-CN"/>
    </w:rPr>
  </w:style>
  <w:style w:type="character" w:customStyle="1" w:styleId="IAStageChar">
    <w:name w:val="IAStage Char"/>
    <w:link w:val="IAStage"/>
    <w:locked/>
    <w:rsid w:val="00174C10"/>
    <w:rPr>
      <w:rFonts w:ascii="Arial" w:eastAsia="SimSun" w:hAnsi="Arial"/>
      <w:b/>
      <w:color w:val="000000"/>
      <w:spacing w:val="-5"/>
      <w:sz w:val="22"/>
      <w:lang w:val="en-GB" w:eastAsia="zh-CN"/>
    </w:rPr>
  </w:style>
  <w:style w:type="character" w:customStyle="1" w:styleId="IASOIChar">
    <w:name w:val="IASOI Char"/>
    <w:link w:val="IASOI"/>
    <w:locked/>
    <w:rsid w:val="00174C10"/>
    <w:rPr>
      <w:rFonts w:ascii="Arial" w:eastAsia="SimSun" w:hAnsi="Arial"/>
      <w:b/>
      <w:color w:val="000000"/>
      <w:spacing w:val="-5"/>
      <w:sz w:val="22"/>
      <w:lang w:val="en-GB" w:eastAsia="zh-CN"/>
    </w:rPr>
  </w:style>
  <w:style w:type="character" w:customStyle="1" w:styleId="IATOMChar">
    <w:name w:val="IATOM Char"/>
    <w:link w:val="IATOM"/>
    <w:locked/>
    <w:rsid w:val="00174C10"/>
    <w:rPr>
      <w:rFonts w:ascii="Arial" w:eastAsia="SimSun" w:hAnsi="Arial"/>
      <w:b/>
      <w:color w:val="000000"/>
      <w:spacing w:val="-5"/>
      <w:sz w:val="22"/>
      <w:lang w:val="en-GB" w:eastAsia="zh-CN"/>
    </w:rPr>
  </w:style>
  <w:style w:type="character" w:customStyle="1" w:styleId="IARPCChar">
    <w:name w:val="IARPC Char"/>
    <w:link w:val="IARPC"/>
    <w:locked/>
    <w:rsid w:val="00174C10"/>
    <w:rPr>
      <w:rFonts w:ascii="Arial" w:eastAsia="SimSun" w:hAnsi="Arial"/>
      <w:color w:val="000000"/>
      <w:kern w:val="28"/>
      <w:sz w:val="24"/>
      <w:lang w:val="en-GB" w:eastAsia="en-US"/>
    </w:rPr>
  </w:style>
  <w:style w:type="character" w:customStyle="1" w:styleId="IAIOCheckMicroChar">
    <w:name w:val="IAIOCheckMicro Char"/>
    <w:basedOn w:val="IATableLinesChar"/>
    <w:link w:val="IAIOCheckMicro"/>
    <w:locked/>
    <w:rsid w:val="00D478C9"/>
    <w:rPr>
      <w:rFonts w:ascii="Arial" w:eastAsia="SimSun" w:hAnsi="Arial" w:cs="Times New Roman"/>
      <w:b/>
      <w:color w:val="000000"/>
      <w:spacing w:val="-5"/>
      <w:sz w:val="22"/>
      <w:lang w:val="en-GB" w:eastAsia="zh-CN" w:bidi="ar-SA"/>
    </w:rPr>
  </w:style>
  <w:style w:type="character" w:customStyle="1" w:styleId="IAIOCheckSmallChar">
    <w:name w:val="IAIOCheckSmall Char"/>
    <w:basedOn w:val="IATableLinesChar"/>
    <w:link w:val="IAIOCheckSmall"/>
    <w:locked/>
    <w:rsid w:val="00D478C9"/>
    <w:rPr>
      <w:rFonts w:ascii="Arial" w:eastAsia="SimSun" w:hAnsi="Arial" w:cs="Times New Roman"/>
      <w:b/>
      <w:color w:val="000000"/>
      <w:spacing w:val="-5"/>
      <w:sz w:val="22"/>
      <w:lang w:val="en-GB" w:eastAsia="zh-CN" w:bidi="ar-SA"/>
    </w:rPr>
  </w:style>
  <w:style w:type="character" w:customStyle="1" w:styleId="IAIOCheckMediumChar">
    <w:name w:val="IAIOCheckMedium Char"/>
    <w:basedOn w:val="IATableLinesChar"/>
    <w:link w:val="IAIOCheckMedium"/>
    <w:locked/>
    <w:rsid w:val="00D478C9"/>
    <w:rPr>
      <w:rFonts w:ascii="Arial" w:eastAsia="SimSun" w:hAnsi="Arial" w:cs="Times New Roman"/>
      <w:b/>
      <w:color w:val="000000"/>
      <w:spacing w:val="-5"/>
      <w:sz w:val="22"/>
      <w:lang w:val="en-GB" w:eastAsia="zh-CN" w:bidi="ar-SA"/>
    </w:rPr>
  </w:style>
  <w:style w:type="character" w:customStyle="1" w:styleId="IAIOCheckLargeChar">
    <w:name w:val="IAIOCheckLarge Char"/>
    <w:basedOn w:val="IATableLinesChar"/>
    <w:link w:val="IAIOCheckLarge"/>
    <w:locked/>
    <w:rsid w:val="00D478C9"/>
    <w:rPr>
      <w:rFonts w:ascii="Arial" w:eastAsia="SimSun" w:hAnsi="Arial" w:cs="Times New Roman"/>
      <w:b/>
      <w:color w:val="000000"/>
      <w:spacing w:val="-5"/>
      <w:sz w:val="22"/>
      <w:lang w:val="en-GB" w:eastAsia="zh-CN" w:bidi="ar-SA"/>
    </w:rPr>
  </w:style>
  <w:style w:type="character" w:customStyle="1" w:styleId="IAIOCO2TradedChar">
    <w:name w:val="IAIOCO2Traded Char"/>
    <w:link w:val="IAIOCO2Traded"/>
    <w:locked/>
    <w:rsid w:val="00D478C9"/>
    <w:rPr>
      <w:rFonts w:ascii="Arial" w:eastAsia="SimSun" w:hAnsi="Arial"/>
      <w:b/>
      <w:color w:val="000000"/>
      <w:spacing w:val="-5"/>
      <w:sz w:val="22"/>
      <w:lang w:val="en-GB" w:eastAsia="zh-CN"/>
    </w:rPr>
  </w:style>
  <w:style w:type="character" w:customStyle="1" w:styleId="IALabel">
    <w:name w:val="IALabel"/>
    <w:rsid w:val="009F6692"/>
    <w:rPr>
      <w:color w:val="000000"/>
      <w:sz w:val="20"/>
    </w:rPr>
  </w:style>
  <w:style w:type="character" w:styleId="UnresolvedMention">
    <w:name w:val="Unresolved Mention"/>
    <w:basedOn w:val="DefaultParagraphFont"/>
    <w:uiPriority w:val="99"/>
    <w:unhideWhenUsed/>
    <w:rsid w:val="00D64409"/>
    <w:rPr>
      <w:color w:val="605E5C"/>
      <w:shd w:val="clear" w:color="auto" w:fill="E1DFDD"/>
    </w:rPr>
  </w:style>
  <w:style w:type="paragraph" w:styleId="ListParagraph">
    <w:name w:val="List Paragraph"/>
    <w:basedOn w:val="Normal"/>
    <w:uiPriority w:val="34"/>
    <w:qFormat/>
    <w:rsid w:val="00D64409"/>
    <w:pPr>
      <w:ind w:left="720"/>
      <w:contextualSpacing/>
    </w:pPr>
  </w:style>
  <w:style w:type="character" w:styleId="CommentReference">
    <w:name w:val="annotation reference"/>
    <w:basedOn w:val="DefaultParagraphFont"/>
    <w:uiPriority w:val="99"/>
    <w:rsid w:val="00521183"/>
    <w:rPr>
      <w:sz w:val="16"/>
      <w:szCs w:val="16"/>
    </w:rPr>
  </w:style>
  <w:style w:type="paragraph" w:styleId="CommentText">
    <w:name w:val="annotation text"/>
    <w:basedOn w:val="Normal"/>
    <w:link w:val="CommentTextChar"/>
    <w:uiPriority w:val="99"/>
    <w:rsid w:val="00521183"/>
    <w:rPr>
      <w:sz w:val="20"/>
      <w:szCs w:val="20"/>
    </w:rPr>
  </w:style>
  <w:style w:type="character" w:customStyle="1" w:styleId="CommentTextChar">
    <w:name w:val="Comment Text Char"/>
    <w:basedOn w:val="DefaultParagraphFont"/>
    <w:link w:val="CommentText"/>
    <w:uiPriority w:val="99"/>
    <w:rsid w:val="00521183"/>
    <w:rPr>
      <w:rFonts w:ascii="Arial" w:hAnsi="Arial"/>
      <w:lang w:eastAsia="en-US"/>
    </w:rPr>
  </w:style>
  <w:style w:type="paragraph" w:styleId="CommentSubject">
    <w:name w:val="annotation subject"/>
    <w:basedOn w:val="CommentText"/>
    <w:next w:val="CommentText"/>
    <w:link w:val="CommentSubjectChar"/>
    <w:rsid w:val="00521183"/>
    <w:rPr>
      <w:b/>
      <w:bCs/>
    </w:rPr>
  </w:style>
  <w:style w:type="character" w:customStyle="1" w:styleId="CommentSubjectChar">
    <w:name w:val="Comment Subject Char"/>
    <w:basedOn w:val="CommentTextChar"/>
    <w:link w:val="CommentSubject"/>
    <w:rsid w:val="00521183"/>
    <w:rPr>
      <w:rFonts w:ascii="Arial" w:hAnsi="Arial"/>
      <w:b/>
      <w:bCs/>
      <w:lang w:eastAsia="en-US"/>
    </w:rPr>
  </w:style>
  <w:style w:type="paragraph" w:styleId="Revision">
    <w:name w:val="Revision"/>
    <w:hidden/>
    <w:uiPriority w:val="99"/>
    <w:semiHidden/>
    <w:rsid w:val="000470D9"/>
    <w:rPr>
      <w:rFonts w:ascii="Arial" w:hAnsi="Arial"/>
      <w:sz w:val="24"/>
      <w:szCs w:val="24"/>
      <w:lang w:eastAsia="en-US"/>
    </w:rPr>
  </w:style>
  <w:style w:type="paragraph" w:styleId="TOCHeading">
    <w:name w:val="TOC Heading"/>
    <w:basedOn w:val="Heading1"/>
    <w:next w:val="Normal"/>
    <w:uiPriority w:val="39"/>
    <w:unhideWhenUsed/>
    <w:qFormat/>
    <w:rsid w:val="00962FC6"/>
    <w:pPr>
      <w:keepLines/>
      <w:tabs>
        <w:tab w:val="clear" w:pos="10206"/>
      </w:tabs>
      <w:spacing w:after="0" w:line="259" w:lineRule="auto"/>
      <w:outlineLvl w:val="9"/>
    </w:pPr>
    <w:rPr>
      <w:rFonts w:asciiTheme="majorHAnsi" w:eastAsiaTheme="majorEastAsia" w:hAnsiTheme="majorHAnsi" w:cstheme="majorBidi"/>
      <w:b w:val="0"/>
      <w:bCs w:val="0"/>
      <w:color w:val="365F91" w:themeColor="accent1" w:themeShade="BF"/>
      <w:spacing w:val="0"/>
      <w:kern w:val="0"/>
      <w:lang w:val="en-US"/>
    </w:rPr>
  </w:style>
  <w:style w:type="paragraph" w:styleId="TOC1">
    <w:name w:val="toc 1"/>
    <w:basedOn w:val="Normal"/>
    <w:next w:val="Normal"/>
    <w:autoRedefine/>
    <w:uiPriority w:val="39"/>
    <w:rsid w:val="00962FC6"/>
    <w:pPr>
      <w:spacing w:after="100"/>
    </w:pPr>
  </w:style>
  <w:style w:type="paragraph" w:styleId="TOC2">
    <w:name w:val="toc 2"/>
    <w:basedOn w:val="Normal"/>
    <w:next w:val="Normal"/>
    <w:autoRedefine/>
    <w:uiPriority w:val="39"/>
    <w:rsid w:val="00962FC6"/>
    <w:pPr>
      <w:spacing w:after="100"/>
      <w:ind w:left="240"/>
    </w:pPr>
  </w:style>
  <w:style w:type="paragraph" w:styleId="TOC3">
    <w:name w:val="toc 3"/>
    <w:basedOn w:val="Normal"/>
    <w:next w:val="Normal"/>
    <w:autoRedefine/>
    <w:uiPriority w:val="39"/>
    <w:rsid w:val="00962FC6"/>
    <w:pPr>
      <w:spacing w:after="100"/>
      <w:ind w:left="480"/>
    </w:pPr>
  </w:style>
  <w:style w:type="character" w:styleId="Mention">
    <w:name w:val="Mention"/>
    <w:basedOn w:val="DefaultParagraphFont"/>
    <w:uiPriority w:val="99"/>
    <w:unhideWhenUsed/>
    <w:rsid w:val="00896FCA"/>
    <w:rPr>
      <w:color w:val="2B579A"/>
      <w:shd w:val="clear" w:color="auto" w:fill="E1DFDD"/>
    </w:rPr>
  </w:style>
  <w:style w:type="paragraph" w:customStyle="1" w:styleId="Numberedparagraphs">
    <w:name w:val="Numbered paragraphs"/>
    <w:basedOn w:val="EBNumber"/>
    <w:qFormat/>
    <w:rsid w:val="0094349B"/>
    <w:pPr>
      <w:numPr>
        <w:ilvl w:val="0"/>
        <w:numId w:val="23"/>
      </w:numPr>
    </w:pPr>
    <w:rPr>
      <w:rFonts w:eastAsia="Segoe UI" w:cs="Tahoma"/>
      <w:sz w:val="24"/>
    </w:rPr>
  </w:style>
  <w:style w:type="paragraph" w:customStyle="1" w:styleId="paragraph">
    <w:name w:val="paragraph"/>
    <w:basedOn w:val="Normal"/>
    <w:rsid w:val="00584328"/>
    <w:pPr>
      <w:spacing w:before="100" w:beforeAutospacing="1" w:after="100" w:afterAutospacing="1"/>
    </w:pPr>
    <w:rPr>
      <w:rFonts w:ascii="Times New Roman" w:hAnsi="Times New Roman"/>
      <w:lang w:eastAsia="en-GB"/>
    </w:rPr>
  </w:style>
  <w:style w:type="character" w:customStyle="1" w:styleId="normaltextrun">
    <w:name w:val="normaltextrun"/>
    <w:basedOn w:val="DefaultParagraphFont"/>
    <w:rsid w:val="00584328"/>
  </w:style>
  <w:style w:type="character" w:customStyle="1" w:styleId="eop">
    <w:name w:val="eop"/>
    <w:basedOn w:val="DefaultParagraphFont"/>
    <w:rsid w:val="005843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92610">
      <w:bodyDiv w:val="1"/>
      <w:marLeft w:val="0"/>
      <w:marRight w:val="0"/>
      <w:marTop w:val="0"/>
      <w:marBottom w:val="0"/>
      <w:divBdr>
        <w:top w:val="none" w:sz="0" w:space="0" w:color="auto"/>
        <w:left w:val="none" w:sz="0" w:space="0" w:color="auto"/>
        <w:bottom w:val="none" w:sz="0" w:space="0" w:color="auto"/>
        <w:right w:val="none" w:sz="0" w:space="0" w:color="auto"/>
      </w:divBdr>
    </w:div>
    <w:div w:id="225917360">
      <w:bodyDiv w:val="1"/>
      <w:marLeft w:val="0"/>
      <w:marRight w:val="0"/>
      <w:marTop w:val="0"/>
      <w:marBottom w:val="0"/>
      <w:divBdr>
        <w:top w:val="none" w:sz="0" w:space="0" w:color="auto"/>
        <w:left w:val="none" w:sz="0" w:space="0" w:color="auto"/>
        <w:bottom w:val="none" w:sz="0" w:space="0" w:color="auto"/>
        <w:right w:val="none" w:sz="0" w:space="0" w:color="auto"/>
      </w:divBdr>
      <w:divsChild>
        <w:div w:id="291910456">
          <w:marLeft w:val="0"/>
          <w:marRight w:val="0"/>
          <w:marTop w:val="0"/>
          <w:marBottom w:val="0"/>
          <w:divBdr>
            <w:top w:val="none" w:sz="0" w:space="0" w:color="auto"/>
            <w:left w:val="none" w:sz="0" w:space="0" w:color="auto"/>
            <w:bottom w:val="none" w:sz="0" w:space="0" w:color="auto"/>
            <w:right w:val="none" w:sz="0" w:space="0" w:color="auto"/>
          </w:divBdr>
        </w:div>
        <w:div w:id="342827307">
          <w:marLeft w:val="0"/>
          <w:marRight w:val="0"/>
          <w:marTop w:val="0"/>
          <w:marBottom w:val="0"/>
          <w:divBdr>
            <w:top w:val="none" w:sz="0" w:space="0" w:color="auto"/>
            <w:left w:val="none" w:sz="0" w:space="0" w:color="auto"/>
            <w:bottom w:val="none" w:sz="0" w:space="0" w:color="auto"/>
            <w:right w:val="none" w:sz="0" w:space="0" w:color="auto"/>
          </w:divBdr>
        </w:div>
        <w:div w:id="1787852605">
          <w:marLeft w:val="0"/>
          <w:marRight w:val="0"/>
          <w:marTop w:val="0"/>
          <w:marBottom w:val="0"/>
          <w:divBdr>
            <w:top w:val="none" w:sz="0" w:space="0" w:color="auto"/>
            <w:left w:val="none" w:sz="0" w:space="0" w:color="auto"/>
            <w:bottom w:val="none" w:sz="0" w:space="0" w:color="auto"/>
            <w:right w:val="none" w:sz="0" w:space="0" w:color="auto"/>
          </w:divBdr>
        </w:div>
      </w:divsChild>
    </w:div>
    <w:div w:id="256713775">
      <w:bodyDiv w:val="1"/>
      <w:marLeft w:val="0"/>
      <w:marRight w:val="0"/>
      <w:marTop w:val="0"/>
      <w:marBottom w:val="0"/>
      <w:divBdr>
        <w:top w:val="none" w:sz="0" w:space="0" w:color="auto"/>
        <w:left w:val="none" w:sz="0" w:space="0" w:color="auto"/>
        <w:bottom w:val="none" w:sz="0" w:space="0" w:color="auto"/>
        <w:right w:val="none" w:sz="0" w:space="0" w:color="auto"/>
      </w:divBdr>
    </w:div>
    <w:div w:id="365105825">
      <w:bodyDiv w:val="1"/>
      <w:marLeft w:val="0"/>
      <w:marRight w:val="0"/>
      <w:marTop w:val="0"/>
      <w:marBottom w:val="0"/>
      <w:divBdr>
        <w:top w:val="none" w:sz="0" w:space="0" w:color="auto"/>
        <w:left w:val="none" w:sz="0" w:space="0" w:color="auto"/>
        <w:bottom w:val="none" w:sz="0" w:space="0" w:color="auto"/>
        <w:right w:val="none" w:sz="0" w:space="0" w:color="auto"/>
      </w:divBdr>
    </w:div>
    <w:div w:id="847596561">
      <w:bodyDiv w:val="1"/>
      <w:marLeft w:val="0"/>
      <w:marRight w:val="0"/>
      <w:marTop w:val="0"/>
      <w:marBottom w:val="0"/>
      <w:divBdr>
        <w:top w:val="none" w:sz="0" w:space="0" w:color="auto"/>
        <w:left w:val="none" w:sz="0" w:space="0" w:color="auto"/>
        <w:bottom w:val="none" w:sz="0" w:space="0" w:color="auto"/>
        <w:right w:val="none" w:sz="0" w:space="0" w:color="auto"/>
      </w:divBdr>
    </w:div>
    <w:div w:id="1027410121">
      <w:bodyDiv w:val="1"/>
      <w:marLeft w:val="0"/>
      <w:marRight w:val="0"/>
      <w:marTop w:val="0"/>
      <w:marBottom w:val="0"/>
      <w:divBdr>
        <w:top w:val="none" w:sz="0" w:space="0" w:color="auto"/>
        <w:left w:val="none" w:sz="0" w:space="0" w:color="auto"/>
        <w:bottom w:val="none" w:sz="0" w:space="0" w:color="auto"/>
        <w:right w:val="none" w:sz="0" w:space="0" w:color="auto"/>
      </w:divBdr>
    </w:div>
    <w:div w:id="1446778605">
      <w:bodyDiv w:val="1"/>
      <w:marLeft w:val="0"/>
      <w:marRight w:val="0"/>
      <w:marTop w:val="0"/>
      <w:marBottom w:val="0"/>
      <w:divBdr>
        <w:top w:val="none" w:sz="0" w:space="0" w:color="auto"/>
        <w:left w:val="none" w:sz="0" w:space="0" w:color="auto"/>
        <w:bottom w:val="none" w:sz="0" w:space="0" w:color="auto"/>
        <w:right w:val="none" w:sz="0" w:space="0" w:color="auto"/>
      </w:divBdr>
    </w:div>
    <w:div w:id="1522282417">
      <w:bodyDiv w:val="1"/>
      <w:marLeft w:val="0"/>
      <w:marRight w:val="0"/>
      <w:marTop w:val="0"/>
      <w:marBottom w:val="0"/>
      <w:divBdr>
        <w:top w:val="none" w:sz="0" w:space="0" w:color="auto"/>
        <w:left w:val="none" w:sz="0" w:space="0" w:color="auto"/>
        <w:bottom w:val="none" w:sz="0" w:space="0" w:color="auto"/>
        <w:right w:val="none" w:sz="0" w:space="0" w:color="auto"/>
      </w:divBdr>
    </w:div>
    <w:div w:id="1627421173">
      <w:bodyDiv w:val="1"/>
      <w:marLeft w:val="0"/>
      <w:marRight w:val="0"/>
      <w:marTop w:val="0"/>
      <w:marBottom w:val="0"/>
      <w:divBdr>
        <w:top w:val="none" w:sz="0" w:space="0" w:color="auto"/>
        <w:left w:val="none" w:sz="0" w:space="0" w:color="auto"/>
        <w:bottom w:val="none" w:sz="0" w:space="0" w:color="auto"/>
        <w:right w:val="none" w:sz="0" w:space="0" w:color="auto"/>
      </w:divBdr>
    </w:div>
    <w:div w:id="1930389510">
      <w:bodyDiv w:val="1"/>
      <w:marLeft w:val="0"/>
      <w:marRight w:val="0"/>
      <w:marTop w:val="0"/>
      <w:marBottom w:val="0"/>
      <w:divBdr>
        <w:top w:val="none" w:sz="0" w:space="0" w:color="auto"/>
        <w:left w:val="none" w:sz="0" w:space="0" w:color="auto"/>
        <w:bottom w:val="none" w:sz="0" w:space="0" w:color="auto"/>
        <w:right w:val="none" w:sz="0" w:space="0" w:color="auto"/>
      </w:divBdr>
    </w:div>
    <w:div w:id="1948464181">
      <w:marLeft w:val="0"/>
      <w:marRight w:val="0"/>
      <w:marTop w:val="0"/>
      <w:marBottom w:val="0"/>
      <w:divBdr>
        <w:top w:val="none" w:sz="0" w:space="0" w:color="auto"/>
        <w:left w:val="none" w:sz="0" w:space="0" w:color="auto"/>
        <w:bottom w:val="none" w:sz="0" w:space="0" w:color="auto"/>
        <w:right w:val="none" w:sz="0" w:space="0" w:color="auto"/>
      </w:divBdr>
    </w:div>
    <w:div w:id="1948464182">
      <w:marLeft w:val="0"/>
      <w:marRight w:val="0"/>
      <w:marTop w:val="0"/>
      <w:marBottom w:val="0"/>
      <w:divBdr>
        <w:top w:val="none" w:sz="0" w:space="0" w:color="auto"/>
        <w:left w:val="none" w:sz="0" w:space="0" w:color="auto"/>
        <w:bottom w:val="none" w:sz="0" w:space="0" w:color="auto"/>
        <w:right w:val="none" w:sz="0" w:space="0" w:color="auto"/>
      </w:divBdr>
    </w:div>
    <w:div w:id="1948464183">
      <w:marLeft w:val="0"/>
      <w:marRight w:val="0"/>
      <w:marTop w:val="0"/>
      <w:marBottom w:val="0"/>
      <w:divBdr>
        <w:top w:val="none" w:sz="0" w:space="0" w:color="auto"/>
        <w:left w:val="none" w:sz="0" w:space="0" w:color="auto"/>
        <w:bottom w:val="none" w:sz="0" w:space="0" w:color="auto"/>
        <w:right w:val="none" w:sz="0" w:space="0" w:color="auto"/>
      </w:divBdr>
    </w:div>
    <w:div w:id="194846418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footnotes" Target="footnotes.xml"/><Relationship Id="rId19" Type="http://schemas.microsoft.com/office/2014/relationships/chartEx" Target="charts/chartEx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4.xml"/></Relationships>
</file>

<file path=word/_rels/footnotes.xml.rels><?xml version="1.0" encoding="UTF-8" standalone="yes"?>
<Relationships xmlns="http://schemas.openxmlformats.org/package/2006/relationships"><Relationship Id="rId3" Type="http://schemas.openxmlformats.org/officeDocument/2006/relationships/hyperlink" Target="https://www.gov.uk/government/publications/the-ten-point-plan-for-a-green-industrial-revolution" TargetMode="External"/><Relationship Id="rId7" Type="http://schemas.openxmlformats.org/officeDocument/2006/relationships/hyperlink" Target="https://www.gov.uk/government/publications/updated-energy-and-emissions-projections-2018" TargetMode="External"/><Relationship Id="rId2" Type="http://schemas.openxmlformats.org/officeDocument/2006/relationships/hyperlink" Target="https://www.gov.uk/government/publications/energy-white-paper-powering-our-net-zero-future" TargetMode="External"/><Relationship Id="rId1" Type="http://schemas.openxmlformats.org/officeDocument/2006/relationships/hyperlink" Target="https://assets.publishing.service.gov.uk/government/uploads/system/uploads/attachment_data/file/957887/2019_Final_greenhouse_gas_emissions_statistical_release.pdf" TargetMode="External"/><Relationship Id="rId6" Type="http://schemas.openxmlformats.org/officeDocument/2006/relationships/hyperlink" Target="https://www.gov.uk/government/publications/updated-energy-and-emissions-projections-2019" TargetMode="External"/><Relationship Id="rId5" Type="http://schemas.openxmlformats.org/officeDocument/2006/relationships/hyperlink" Target="https://www.gov.uk/government/statistics/final-uk-greenhouse-gas-emissions-national-statistics-1990-to-2019" TargetMode="External"/><Relationship Id="rId4" Type="http://schemas.openxmlformats.org/officeDocument/2006/relationships/hyperlink" Target="https://assets.publishing.service.gov.uk/government/uploads/system/uploads/attachment_data/file/957887/2019_Final_greenhouse_gas_emissions_statistical_release.pdf"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https://beisgov.sharepoint.com/sites/CarbonStrategyAnalysis/Shared%20Documents/Carbon%20Budget%204-5/Credits/CB4%20CLO/Final/CAGG/CLO%20-%20Uncertainty%20Analysis%20-%20CAGG.xlsx"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'Range Analysis'!$C$12:$C$14</cx:f>
        <cx:lvl ptCount="3" formatCode="0">
          <cx:pt idx="0">121.55375999799776</cx:pt>
          <cx:pt idx="1">18.520448447653962</cx:pt>
          <cx:pt idx="2">-112.96176094717157</cx:pt>
        </cx:lvl>
      </cx:numDim>
    </cx:data>
    <cx:data id="1">
      <cx:numDim type="val">
        <cx:f>'Range Analysis'!$D$12:$D$14</cx:f>
        <cx:lvl ptCount="3" formatCode="0">
          <cx:pt idx="0">53.409559660604828</cx:pt>
          <cx:pt idx="1">-53.463691216423058</cx:pt>
          <cx:pt idx="2">-189.84609938208814</cx:pt>
        </cx:lvl>
      </cx:numDim>
    </cx:data>
  </cx:chartData>
  <cx:chart>
    <cx:plotArea>
      <cx:plotAreaRegion>
        <cx:series layoutId="boxWhisker" uniqueId="{F265C93D-7C83-4573-BED4-AFC9FE275471}">
          <cx:tx>
            <cx:txData>
              <cx:f>'Range Analysis'!$C$11</cx:f>
              <cx:v>AR5 without feedback</cx:v>
            </cx:txData>
          </cx:tx>
          <cx:spPr>
            <a:noFill/>
            <a:ln w="12700"/>
          </cx:spPr>
          <cx:dataLabels pos="b">
            <cx:visibility seriesName="0" categoryName="0" value="1"/>
            <cx:separator>, </cx:separator>
            <cx:dataLabelHidden idx="3"/>
            <cx:dataLabelHidden idx="5"/>
          </cx:dataLabels>
          <cx:dataId val="0"/>
          <cx:layoutPr>
            <cx:visibility meanLine="0" meanMarker="0" nonoutliers="0" outliers="1"/>
            <cx:statistics quartileMethod="exclusive"/>
          </cx:layoutPr>
        </cx:series>
        <cx:series layoutId="boxWhisker" uniqueId="{82BC0C03-4DB2-4DCF-AE63-1CD420BC4503}">
          <cx:tx>
            <cx:txData>
              <cx:f>'Range Analysis'!$D$11</cx:f>
              <cx:v>AR5 with feedback</cx:v>
            </cx:txData>
          </cx:tx>
          <cx:spPr>
            <a:noFill/>
            <a:ln w="12700">
              <a:solidFill>
                <a:srgbClr val="00B0F0"/>
              </a:solidFill>
            </a:ln>
          </cx:spPr>
          <cx:dataLabels pos="b">
            <cx:visibility seriesName="0" categoryName="0" value="1"/>
            <cx:separator>, </cx:separator>
            <cx:dataLabelHidden idx="0"/>
            <cx:dataLabelHidden idx="5"/>
          </cx:dataLabels>
          <cx:dataId val="1"/>
          <cx:layoutPr>
            <cx:visibility meanLine="0" meanMarker="0" nonoutliers="0" outliers="1"/>
            <cx:statistics quartileMethod="exclusive"/>
          </cx:layoutPr>
        </cx:series>
      </cx:plotAreaRegion>
      <cx:axis id="0" hidden="1">
        <cx:catScaling gapWidth="1"/>
        <cx:tickLabels/>
      </cx:axis>
      <cx:axis id="1">
        <cx:valScaling/>
        <cx:title>
          <cx:tx>
            <cx:txData>
              <cx:v>MtCO2e</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MtCO2e</a:t>
              </a:r>
            </a:p>
          </cx:txPr>
        </cx:title>
        <cx:majorGridlines/>
        <cx:tickLabels/>
      </cx:axis>
    </cx:plotArea>
    <cx:legend pos="b"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Government_x0020_Body xmlns="b413c3fd-5a3b-4239-b985-69032e371c04">BEIS</Government_x0020_Body>
    <Date_x0020_Opened xmlns="b413c3fd-5a3b-4239-b985-69032e371c04">2020-12-10T09:33:19+00:00</Date_x0020_Opened>
    <LegacyData xmlns="aaacb922-5235-4a66-b188-303b9b46fbd7" xsi:nil="true"/>
    <Descriptor xmlns="0063f72e-ace3-48fb-9c1f-5b513408b31f" xsi:nil="true"/>
    <Security_x0020_Classification xmlns="0063f72e-ace3-48fb-9c1f-5b513408b31f">OFFICIAL</Security_x0020_Classification>
    <Retention_x0020_Label xmlns="a8f60570-4bd3-4f2b-950b-a996de8ab151" xsi:nil="true"/>
    <Date_x0020_Closed xmlns="b413c3fd-5a3b-4239-b985-69032e371c04" xsi:nil="true"/>
    <TaxCatchAll xmlns="58ecff95-c0e2-4a18-ab3f-4b3d2bbb66cb">
      <Value>4</Value>
    </TaxCatchAll>
    <m975189f4ba442ecbf67d4147307b177 xmlns="58ecff95-c0e2-4a18-ab3f-4b3d2bbb66cb">
      <Terms xmlns="http://schemas.microsoft.com/office/infopath/2007/PartnerControls">
        <TermInfo xmlns="http://schemas.microsoft.com/office/infopath/2007/PartnerControls">
          <TermName xmlns="http://schemas.microsoft.com/office/infopath/2007/PartnerControls">Strategic and International Analysis</TermName>
          <TermId xmlns="http://schemas.microsoft.com/office/infopath/2007/PartnerControls">04eb65d3-7a45-4bfe-8784-5dd7a80cdbe9</TermId>
        </TermInfo>
      </Terms>
    </m975189f4ba442ecbf67d4147307b177>
    <_dlc_DocId xmlns="58ecff95-c0e2-4a18-ab3f-4b3d2bbb66cb">Y6QK4VNTEWUZ-470877061-142520</_dlc_DocId>
    <_dlc_DocIdUrl xmlns="58ecff95-c0e2-4a18-ab3f-4b3d2bbb66cb">
      <Url>https://beisgov.sharepoint.com/sites/CarbonBudgetsDelivery/_layouts/15/DocIdRedir.aspx?ID=Y6QK4VNTEWUZ-470877061-142520</Url>
      <Description>Y6QK4VNTEWUZ-470877061-142520</Description>
    </_dlc_DocIdUrl>
    <SharedWithUsers xmlns="58ecff95-c0e2-4a18-ab3f-4b3d2bbb66cb">
      <UserInfo>
        <DisplayName>Varadi, Szilvia (Analysis Directorate)</DisplayName>
        <AccountId>18</AccountId>
        <AccountType/>
      </UserInfo>
      <UserInfo>
        <DisplayName>Bailey, Paul (TIUA )</DisplayName>
        <AccountId>37</AccountId>
        <AccountType/>
      </UserInfo>
      <UserInfo>
        <DisplayName>Morgan, Dennis (BEIS)</DisplayName>
        <AccountId>226</AccountId>
        <AccountType/>
      </UserInfo>
      <UserInfo>
        <DisplayName>James, Sarah (Net Zero and Carbon Budgets)</DisplayName>
        <AccountId>49</AccountId>
        <AccountType/>
      </UserInfo>
      <UserInfo>
        <DisplayName>Mabin, Gemma (Clean Growth)</DisplayName>
        <AccountId>54</AccountId>
        <AccountType/>
      </UserInfo>
      <UserInfo>
        <DisplayName>Serna, Hannah (BEIS)</DisplayName>
        <AccountId>550</AccountId>
        <AccountType/>
      </UserInfo>
      <UserInfo>
        <DisplayName>Horsey, Kitty (Legal)</DisplayName>
        <AccountId>180</AccountId>
        <AccountType/>
      </UserInfo>
      <UserInfo>
        <DisplayName>Whitehouse, Russell (Analysis Directorate)</DisplayName>
        <AccountId>129</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3496005C72E7B448EE791F4DFE4B00E" ma:contentTypeVersion="15" ma:contentTypeDescription="Create a new document." ma:contentTypeScope="" ma:versionID="198de07dbc917f3bfb6e0204b4b4997b">
  <xsd:schema xmlns:xsd="http://www.w3.org/2001/XMLSchema" xmlns:xs="http://www.w3.org/2001/XMLSchema" xmlns:p="http://schemas.microsoft.com/office/2006/metadata/properties" xmlns:ns2="58ecff95-c0e2-4a18-ab3f-4b3d2bbb66cb" xmlns:ns3="0063f72e-ace3-48fb-9c1f-5b513408b31f" xmlns:ns4="b413c3fd-5a3b-4239-b985-69032e371c04" xmlns:ns5="a8f60570-4bd3-4f2b-950b-a996de8ab151" xmlns:ns6="aaacb922-5235-4a66-b188-303b9b46fbd7" xmlns:ns7="63fd6b18-07d2-4f20-bb91-00b8c147ce2e" targetNamespace="http://schemas.microsoft.com/office/2006/metadata/properties" ma:root="true" ma:fieldsID="a627338c6291b0f4173c885e20f692bf" ns2:_="" ns3:_="" ns4:_="" ns5:_="" ns6:_="" ns7:_="">
    <xsd:import namespace="58ecff95-c0e2-4a18-ab3f-4b3d2bbb66cb"/>
    <xsd:import namespace="0063f72e-ace3-48fb-9c1f-5b513408b31f"/>
    <xsd:import namespace="b413c3fd-5a3b-4239-b985-69032e371c04"/>
    <xsd:import namespace="a8f60570-4bd3-4f2b-950b-a996de8ab151"/>
    <xsd:import namespace="aaacb922-5235-4a66-b188-303b9b46fbd7"/>
    <xsd:import namespace="63fd6b18-07d2-4f20-bb91-00b8c147ce2e"/>
    <xsd:element name="properties">
      <xsd:complexType>
        <xsd:sequence>
          <xsd:element name="documentManagement">
            <xsd:complexType>
              <xsd:all>
                <xsd:element ref="ns2:_dlc_DocId" minOccurs="0"/>
                <xsd:element ref="ns2:_dlc_DocIdUrl" minOccurs="0"/>
                <xsd:element ref="ns2:_dlc_DocIdPersistId" minOccurs="0"/>
                <xsd:element ref="ns3:Security_x0020_Classification" minOccurs="0"/>
                <xsd:element ref="ns3:Descriptor" minOccurs="0"/>
                <xsd:element ref="ns2:m975189f4ba442ecbf67d4147307b177" minOccurs="0"/>
                <xsd:element ref="ns2:TaxCatchAll" minOccurs="0"/>
                <xsd:element ref="ns2:TaxCatchAllLabel" minOccurs="0"/>
                <xsd:element ref="ns4:Government_x0020_Body" minOccurs="0"/>
                <xsd:element ref="ns4:Date_x0020_Opened" minOccurs="0"/>
                <xsd:element ref="ns4:Date_x0020_Closed" minOccurs="0"/>
                <xsd:element ref="ns5:Retention_x0020_Label" minOccurs="0"/>
                <xsd:element ref="ns6:LegacyData" minOccurs="0"/>
                <xsd:element ref="ns7:MediaServiceMetadata" minOccurs="0"/>
                <xsd:element ref="ns7:MediaServiceFastMetadata" minOccurs="0"/>
                <xsd:element ref="ns7:MediaServiceAutoKeyPoints" minOccurs="0"/>
                <xsd:element ref="ns7:MediaServiceKeyPoints"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ecff95-c0e2-4a18-ab3f-4b3d2bbb66c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m975189f4ba442ecbf67d4147307b177" ma:index="13" nillable="true" ma:taxonomy="true" ma:internalName="m975189f4ba442ecbf67d4147307b177" ma:taxonomyFieldName="Business_x0020_Unit" ma:displayName="Business Unit" ma:default="1;#Clean Growth and Carbon Budgets|7f93e864-cb8f-4509-a560-95665a190ea8" ma:fieldId="{6975189f-4ba4-42ec-bf67-d4147307b177}" ma:sspId="9b0aeba9-2bce-41c2-8545-5d12d676a674" ma:termSetId="6f71e40e-3a2e-4baf-91d9-2069eb354530"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d249bb54-f35d-46d2-bfc1-9a3bd877b341}" ma:internalName="TaxCatchAll" ma:showField="CatchAllData" ma:web="58ecff95-c0e2-4a18-ab3f-4b3d2bbb66cb">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hidden="true" ma:list="{d249bb54-f35d-46d2-bfc1-9a3bd877b341}" ma:internalName="TaxCatchAllLabel" ma:readOnly="true" ma:showField="CatchAllDataLabel" ma:web="58ecff95-c0e2-4a18-ab3f-4b3d2bbb66cb">
      <xsd:complexType>
        <xsd:complexContent>
          <xsd:extension base="dms:MultiChoiceLookup">
            <xsd:sequence>
              <xsd:element name="Value" type="dms:Lookup" maxOccurs="unbounded" minOccurs="0" nillable="true"/>
            </xsd:sequence>
          </xsd:extension>
        </xsd:complexContent>
      </xsd:complexType>
    </xsd:element>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63f72e-ace3-48fb-9c1f-5b513408b31f" elementFormDefault="qualified">
    <xsd:import namespace="http://schemas.microsoft.com/office/2006/documentManagement/types"/>
    <xsd:import namespace="http://schemas.microsoft.com/office/infopath/2007/PartnerControls"/>
    <xsd:element name="Security_x0020_Classification" ma:index="11"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12" nillable="true" ma:displayName="Descriptor" ma:default="" ma:format="Dropdown" ma:indexed="true" ma:internalName="Descriptor">
      <xsd:simpleType>
        <xsd:restriction base="dms:Choice">
          <xsd:enumeration value="COMMERCIAL"/>
          <xsd:enumeration value="PERSONAL"/>
          <xsd:enumeration value="LOCSEN"/>
        </xsd:restriction>
      </xsd:simple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Government_x0020_Body" ma:index="17" nillable="true" ma:displayName="Government Body" ma:default="BEIS" ma:internalName="Government_x0020_Body">
      <xsd:simpleType>
        <xsd:restriction base="dms:Text">
          <xsd:maxLength value="255"/>
        </xsd:restriction>
      </xsd:simpleType>
    </xsd:element>
    <xsd:element name="Date_x0020_Opened" ma:index="18" nillable="true" ma:displayName="Date Opened" ma:default="[Today]" ma:format="DateOnly" ma:internalName="Date_x0020_Opened">
      <xsd:simpleType>
        <xsd:restriction base="dms:DateTime"/>
      </xsd:simpleType>
    </xsd:element>
    <xsd:element name="Date_x0020_Closed" ma:index="19" nillable="true" ma:displayName="Date Closed" ma:format="DateOnly" ma:internalName="Date_x0020_Clos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20"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acb922-5235-4a66-b188-303b9b46fbd7" elementFormDefault="qualified">
    <xsd:import namespace="http://schemas.microsoft.com/office/2006/documentManagement/types"/>
    <xsd:import namespace="http://schemas.microsoft.com/office/infopath/2007/PartnerControls"/>
    <xsd:element name="LegacyData" ma:index="21" nillable="true" ma:displayName="Legacy Data" ma:internalName="LegacyData">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3fd6b18-07d2-4f20-bb91-00b8c147ce2e" elementFormDefault="qualified">
    <xsd:import namespace="http://schemas.microsoft.com/office/2006/documentManagement/types"/>
    <xsd:import namespace="http://schemas.microsoft.com/office/infopath/2007/PartnerControls"/>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4CB879F8-11DD-4653-91B7-FFC6A63A089D}">
  <ds:schemaRefs>
    <ds:schemaRef ds:uri="http://schemas.openxmlformats.org/officeDocument/2006/bibliography"/>
  </ds:schemaRefs>
</ds:datastoreItem>
</file>

<file path=customXml/itemProps2.xml><?xml version="1.0" encoding="utf-8"?>
<ds:datastoreItem xmlns:ds="http://schemas.openxmlformats.org/officeDocument/2006/customXml" ds:itemID="{56A56556-CAD5-4CC4-8ECD-87AA9FE2CBA5}">
  <ds:schemaRefs>
    <ds:schemaRef ds:uri="http://schemas.microsoft.com/office/2006/metadata/properties"/>
    <ds:schemaRef ds:uri="http://schemas.microsoft.com/office/infopath/2007/PartnerControls"/>
    <ds:schemaRef ds:uri="b413c3fd-5a3b-4239-b985-69032e371c04"/>
    <ds:schemaRef ds:uri="aaacb922-5235-4a66-b188-303b9b46fbd7"/>
    <ds:schemaRef ds:uri="0063f72e-ace3-48fb-9c1f-5b513408b31f"/>
    <ds:schemaRef ds:uri="a8f60570-4bd3-4f2b-950b-a996de8ab151"/>
    <ds:schemaRef ds:uri="58ecff95-c0e2-4a18-ab3f-4b3d2bbb66cb"/>
  </ds:schemaRefs>
</ds:datastoreItem>
</file>

<file path=customXml/itemProps3.xml><?xml version="1.0" encoding="utf-8"?>
<ds:datastoreItem xmlns:ds="http://schemas.openxmlformats.org/officeDocument/2006/customXml" ds:itemID="{F3B84785-DEBC-4DCB-8936-399DEDC02A93}">
  <ds:schemaRefs>
    <ds:schemaRef ds:uri="http://schemas.microsoft.com/sharepoint/v3/contenttype/forms"/>
  </ds:schemaRefs>
</ds:datastoreItem>
</file>

<file path=customXml/itemProps4.xml><?xml version="1.0" encoding="utf-8"?>
<ds:datastoreItem xmlns:ds="http://schemas.openxmlformats.org/officeDocument/2006/customXml" ds:itemID="{3F54BAAC-1ED9-451B-A5ED-56F0609D95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ecff95-c0e2-4a18-ab3f-4b3d2bbb66cb"/>
    <ds:schemaRef ds:uri="0063f72e-ace3-48fb-9c1f-5b513408b31f"/>
    <ds:schemaRef ds:uri="b413c3fd-5a3b-4239-b985-69032e371c04"/>
    <ds:schemaRef ds:uri="a8f60570-4bd3-4f2b-950b-a996de8ab151"/>
    <ds:schemaRef ds:uri="aaacb922-5235-4a66-b188-303b9b46fbd7"/>
    <ds:schemaRef ds:uri="63fd6b18-07d2-4f20-bb91-00b8c147ce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9C3E1C6-E5C4-4515-9C56-2F5873FFE27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9066</Words>
  <Characters>51677</Characters>
  <Application>Microsoft Office Word</Application>
  <DocSecurity>0</DocSecurity>
  <Lines>430</Lines>
  <Paragraphs>121</Paragraphs>
  <ScaleCrop>false</ScaleCrop>
  <Company>BIS</Company>
  <LinksUpToDate>false</LinksUpToDate>
  <CharactersWithSpaces>60622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Assessment template</dc:title>
  <dc:subject/>
  <dc:creator>Ricketts Simon (GO-Science)</dc:creator>
  <cp:keywords/>
  <dc:description/>
  <cp:lastModifiedBy>Francis, Amelia (BEIS)</cp:lastModifiedBy>
  <cp:revision>3</cp:revision>
  <cp:lastPrinted>2021-05-12T13:02:00Z</cp:lastPrinted>
  <dcterms:created xsi:type="dcterms:W3CDTF">2021-05-12T13:02:00Z</dcterms:created>
  <dcterms:modified xsi:type="dcterms:W3CDTF">2021-05-12T13:02:00Z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
  </property>
  <property fmtid="{D5CDD505-2E9C-101B-9397-08002B2CF9AE}" pid="3" name="Stage">
    <vt:lpwstr>Development/Options</vt:lpwstr>
  </property>
  <property fmtid="{D5CDD505-2E9C-101B-9397-08002B2CF9AE}" pid="4" name="MSIP_Label_ba62f585-b40f-4ab9-bafe-39150f03d124_Enabled">
    <vt:lpwstr>true</vt:lpwstr>
  </property>
  <property fmtid="{D5CDD505-2E9C-101B-9397-08002B2CF9AE}" pid="5" name="MSIP_Label_ba62f585-b40f-4ab9-bafe-39150f03d124_SetDate">
    <vt:lpwstr>2020-03-04T16:26:29Z</vt:lpwstr>
  </property>
  <property fmtid="{D5CDD505-2E9C-101B-9397-08002B2CF9AE}" pid="6" name="MSIP_Label_ba62f585-b40f-4ab9-bafe-39150f03d124_Method">
    <vt:lpwstr>Standard</vt:lpwstr>
  </property>
  <property fmtid="{D5CDD505-2E9C-101B-9397-08002B2CF9AE}" pid="7" name="MSIP_Label_ba62f585-b40f-4ab9-bafe-39150f03d124_Name">
    <vt:lpwstr>OFFICIAL</vt:lpwstr>
  </property>
  <property fmtid="{D5CDD505-2E9C-101B-9397-08002B2CF9AE}" pid="8" name="MSIP_Label_ba62f585-b40f-4ab9-bafe-39150f03d124_SiteId">
    <vt:lpwstr>cbac7005-02c1-43eb-b497-e6492d1b2dd8</vt:lpwstr>
  </property>
  <property fmtid="{D5CDD505-2E9C-101B-9397-08002B2CF9AE}" pid="9" name="MSIP_Label_ba62f585-b40f-4ab9-bafe-39150f03d124_ActionId">
    <vt:lpwstr>273723a1-3819-48e1-84df-000017ebce39</vt:lpwstr>
  </property>
  <property fmtid="{D5CDD505-2E9C-101B-9397-08002B2CF9AE}" pid="10" name="MSIP_Label_ba62f585-b40f-4ab9-bafe-39150f03d124_ContentBits">
    <vt:lpwstr>0</vt:lpwstr>
  </property>
  <property fmtid="{D5CDD505-2E9C-101B-9397-08002B2CF9AE}" pid="11" name="Business Unit">
    <vt:lpwstr>4;#Strategic and International Analysis|04eb65d3-7a45-4bfe-8784-5dd7a80cdbe9</vt:lpwstr>
  </property>
  <property fmtid="{D5CDD505-2E9C-101B-9397-08002B2CF9AE}" pid="12" name="ContentTypeId">
    <vt:lpwstr>0x010100F3496005C72E7B448EE791F4DFE4B00E</vt:lpwstr>
  </property>
  <property fmtid="{D5CDD505-2E9C-101B-9397-08002B2CF9AE}" pid="13" name="_dlc_DocIdItemGuid">
    <vt:lpwstr>a075e576-5bfa-4b41-ab11-c2ed660601e9</vt:lpwstr>
  </property>
</Properties>
</file>