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05C2" w:rsidRDefault="00BC37B2" w:rsidP="00ED05C2">
      <w:pPr>
        <w:jc w:val="center"/>
        <w:rPr>
          <w:rFonts w:ascii="Garamond" w:hAnsi="Garamond"/>
        </w:rPr>
      </w:pPr>
      <w:r w:rsidRPr="001C78CB">
        <w:rPr>
          <w:rFonts w:ascii="Garamond" w:hAnsi="Garamon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KSC logo" style="width:66pt;height:88.5pt">
            <v:imagedata r:id="rId10" o:title=""/>
          </v:shape>
        </w:pict>
      </w:r>
    </w:p>
    <w:p w:rsidR="00A16C02" w:rsidRDefault="002F4C80" w:rsidP="00A16C02">
      <w:pPr>
        <w:tabs>
          <w:tab w:val="left" w:pos="8285"/>
        </w:tabs>
        <w:jc w:val="right"/>
        <w:rPr>
          <w:rFonts w:ascii="Garamond" w:hAnsi="Garamond"/>
          <w:b/>
        </w:rPr>
      </w:pPr>
      <w:r>
        <w:rPr>
          <w:rFonts w:ascii="Garamond" w:hAnsi="Garamond"/>
          <w:b/>
        </w:rPr>
        <w:t>6</w:t>
      </w:r>
      <w:r w:rsidR="00F4211C">
        <w:rPr>
          <w:rFonts w:ascii="Garamond" w:hAnsi="Garamond"/>
          <w:b/>
        </w:rPr>
        <w:t xml:space="preserve"> </w:t>
      </w:r>
      <w:r>
        <w:rPr>
          <w:rFonts w:ascii="Garamond" w:hAnsi="Garamond"/>
          <w:b/>
        </w:rPr>
        <w:t>March</w:t>
      </w:r>
      <w:r w:rsidR="00F4211C">
        <w:rPr>
          <w:rFonts w:ascii="Garamond" w:hAnsi="Garamond"/>
          <w:b/>
        </w:rPr>
        <w:t xml:space="preserve"> 2019</w:t>
      </w:r>
    </w:p>
    <w:p w:rsidR="004A78F4" w:rsidRPr="00A97444" w:rsidRDefault="004A78F4" w:rsidP="00A16C02">
      <w:pPr>
        <w:tabs>
          <w:tab w:val="left" w:pos="8285"/>
        </w:tabs>
        <w:jc w:val="right"/>
        <w:rPr>
          <w:rFonts w:ascii="Garamond" w:hAnsi="Garamond"/>
          <w:b/>
        </w:rPr>
      </w:pPr>
    </w:p>
    <w:p w:rsidR="004A78F4" w:rsidRPr="004C7D85" w:rsidRDefault="004A78F4" w:rsidP="004A78F4">
      <w:pPr>
        <w:jc w:val="both"/>
        <w:rPr>
          <w:rFonts w:ascii="Garamond" w:hAnsi="Garamond"/>
          <w:b/>
          <w:bCs/>
          <w:color w:val="FF0000"/>
          <w:sz w:val="26"/>
          <w:szCs w:val="26"/>
        </w:rPr>
      </w:pPr>
      <w:r w:rsidRPr="004C7D85">
        <w:rPr>
          <w:rFonts w:ascii="Garamond" w:hAnsi="Garamond"/>
          <w:b/>
          <w:bCs/>
          <w:color w:val="FF0000"/>
          <w:sz w:val="26"/>
          <w:szCs w:val="26"/>
        </w:rPr>
        <w:t>THE COURT ORDERED that no one shall publish or reveal the name or address of the Appellant who is the subject of these proceedings or publish or reveal any information which would be likely to lead to the identification of the Appellant or of any member of his family in connection with these proceedings.</w:t>
      </w:r>
    </w:p>
    <w:p w:rsidR="004A78F4" w:rsidRPr="00015FF5" w:rsidRDefault="004A78F4" w:rsidP="004A78F4">
      <w:pPr>
        <w:rPr>
          <w:b/>
        </w:rPr>
      </w:pPr>
    </w:p>
    <w:p w:rsidR="00A16C02" w:rsidRPr="00A97444" w:rsidRDefault="00A16C02" w:rsidP="00A16C02">
      <w:pPr>
        <w:tabs>
          <w:tab w:val="left" w:pos="8285"/>
        </w:tabs>
        <w:jc w:val="center"/>
        <w:rPr>
          <w:rFonts w:ascii="Garamond" w:hAnsi="Garamond"/>
          <w:b/>
        </w:rPr>
      </w:pPr>
      <w:r w:rsidRPr="00A97444">
        <w:rPr>
          <w:rFonts w:ascii="Garamond" w:hAnsi="Garamond"/>
          <w:b/>
        </w:rPr>
        <w:t>PRESS SUMMARY</w:t>
      </w:r>
    </w:p>
    <w:p w:rsidR="00A16C02" w:rsidRPr="00A97444" w:rsidRDefault="00A16C02" w:rsidP="00A16C02">
      <w:pPr>
        <w:tabs>
          <w:tab w:val="left" w:pos="8285"/>
        </w:tabs>
        <w:rPr>
          <w:rFonts w:ascii="Garamond" w:hAnsi="Garamond"/>
          <w:b/>
        </w:rPr>
      </w:pPr>
    </w:p>
    <w:p w:rsidR="004A78F4" w:rsidRDefault="009412A0" w:rsidP="00A16C02">
      <w:pPr>
        <w:tabs>
          <w:tab w:val="left" w:pos="8285"/>
        </w:tabs>
        <w:rPr>
          <w:rFonts w:ascii="Garamond" w:hAnsi="Garamond"/>
          <w:b/>
        </w:rPr>
      </w:pPr>
      <w:r>
        <w:rPr>
          <w:rFonts w:ascii="Garamond" w:hAnsi="Garamond"/>
          <w:b/>
        </w:rPr>
        <w:t xml:space="preserve">KV (Sri Lanka) </w:t>
      </w:r>
      <w:r w:rsidR="00CC0E89">
        <w:rPr>
          <w:rFonts w:ascii="Garamond" w:hAnsi="Garamond"/>
          <w:b/>
        </w:rPr>
        <w:t>(Appellan</w:t>
      </w:r>
      <w:r w:rsidR="00A16C02">
        <w:rPr>
          <w:rFonts w:ascii="Garamond" w:hAnsi="Garamond"/>
          <w:b/>
        </w:rPr>
        <w:t xml:space="preserve">t) </w:t>
      </w:r>
      <w:r w:rsidRPr="009412A0">
        <w:rPr>
          <w:rFonts w:ascii="Garamond" w:hAnsi="Garamond"/>
          <w:b/>
        </w:rPr>
        <w:t>Secretary of State for the Home Department (Respondent)</w:t>
      </w:r>
    </w:p>
    <w:p w:rsidR="00A16C02" w:rsidRPr="00A97444" w:rsidRDefault="00AB48FE" w:rsidP="00A16C02">
      <w:pPr>
        <w:tabs>
          <w:tab w:val="left" w:pos="8285"/>
        </w:tabs>
        <w:rPr>
          <w:rFonts w:ascii="Garamond" w:hAnsi="Garamond"/>
          <w:b/>
        </w:rPr>
      </w:pPr>
      <w:r>
        <w:rPr>
          <w:rFonts w:ascii="Garamond" w:hAnsi="Garamond"/>
          <w:b/>
        </w:rPr>
        <w:t>[201</w:t>
      </w:r>
      <w:r w:rsidR="009412A0">
        <w:rPr>
          <w:rFonts w:ascii="Garamond" w:hAnsi="Garamond"/>
          <w:b/>
        </w:rPr>
        <w:t>9</w:t>
      </w:r>
      <w:r w:rsidR="00A16C02">
        <w:rPr>
          <w:rFonts w:ascii="Garamond" w:hAnsi="Garamond"/>
          <w:b/>
        </w:rPr>
        <w:t xml:space="preserve">] UKSC </w:t>
      </w:r>
      <w:r w:rsidR="009412A0">
        <w:rPr>
          <w:rFonts w:ascii="Garamond" w:hAnsi="Garamond"/>
          <w:b/>
        </w:rPr>
        <w:t>10</w:t>
      </w:r>
    </w:p>
    <w:p w:rsidR="00A16C02" w:rsidRPr="00A97444" w:rsidRDefault="001C06D4" w:rsidP="00A16C02">
      <w:pPr>
        <w:tabs>
          <w:tab w:val="left" w:pos="8285"/>
        </w:tabs>
        <w:rPr>
          <w:rFonts w:ascii="Garamond" w:hAnsi="Garamond"/>
          <w:b/>
          <w:i/>
        </w:rPr>
      </w:pPr>
      <w:r>
        <w:rPr>
          <w:rFonts w:ascii="Garamond" w:hAnsi="Garamond"/>
          <w:b/>
          <w:i/>
        </w:rPr>
        <w:t xml:space="preserve">On appeal from </w:t>
      </w:r>
      <w:r w:rsidR="00774792" w:rsidRPr="00774792">
        <w:rPr>
          <w:rFonts w:ascii="Garamond" w:hAnsi="Garamond"/>
          <w:b/>
          <w:i/>
        </w:rPr>
        <w:t xml:space="preserve">[2017] EWCA </w:t>
      </w:r>
      <w:proofErr w:type="spellStart"/>
      <w:r w:rsidR="00774792" w:rsidRPr="00774792">
        <w:rPr>
          <w:rFonts w:ascii="Garamond" w:hAnsi="Garamond"/>
          <w:b/>
          <w:i/>
        </w:rPr>
        <w:t>C</w:t>
      </w:r>
      <w:r w:rsidR="00F4211C">
        <w:rPr>
          <w:rFonts w:ascii="Garamond" w:hAnsi="Garamond"/>
          <w:b/>
          <w:i/>
        </w:rPr>
        <w:t>iv</w:t>
      </w:r>
      <w:proofErr w:type="spellEnd"/>
      <w:r w:rsidR="00774792" w:rsidRPr="00774792">
        <w:rPr>
          <w:rFonts w:ascii="Garamond" w:hAnsi="Garamond"/>
          <w:b/>
          <w:i/>
        </w:rPr>
        <w:t xml:space="preserve"> 119</w:t>
      </w:r>
    </w:p>
    <w:p w:rsidR="002E340D" w:rsidRDefault="002E340D" w:rsidP="00A16C02">
      <w:pPr>
        <w:tabs>
          <w:tab w:val="left" w:pos="8285"/>
        </w:tabs>
        <w:rPr>
          <w:rFonts w:ascii="Garamond" w:hAnsi="Garamond"/>
        </w:rPr>
      </w:pPr>
    </w:p>
    <w:p w:rsidR="00F4211C" w:rsidRPr="00F4211C" w:rsidRDefault="00A16C02" w:rsidP="00F4211C">
      <w:pPr>
        <w:tabs>
          <w:tab w:val="left" w:pos="8285"/>
        </w:tabs>
        <w:rPr>
          <w:rFonts w:ascii="Garamond" w:hAnsi="Garamond"/>
          <w:lang w:val="en"/>
        </w:rPr>
      </w:pPr>
      <w:r w:rsidRPr="00A97444">
        <w:rPr>
          <w:rFonts w:ascii="Garamond" w:hAnsi="Garamond"/>
          <w:b/>
        </w:rPr>
        <w:t>JUSTICES</w:t>
      </w:r>
      <w:r>
        <w:rPr>
          <w:rFonts w:ascii="Garamond" w:hAnsi="Garamond"/>
        </w:rPr>
        <w:t xml:space="preserve">: </w:t>
      </w:r>
      <w:r w:rsidR="00F4211C" w:rsidRPr="00F4211C">
        <w:rPr>
          <w:rFonts w:ascii="Garamond" w:hAnsi="Garamond"/>
          <w:lang w:val="en"/>
        </w:rPr>
        <w:t>Lady Hale</w:t>
      </w:r>
      <w:r w:rsidR="004A78F4">
        <w:rPr>
          <w:rFonts w:ascii="Garamond" w:hAnsi="Garamond"/>
          <w:lang w:val="en"/>
        </w:rPr>
        <w:t xml:space="preserve"> (President)</w:t>
      </w:r>
      <w:r w:rsidR="00F4211C" w:rsidRPr="00F4211C">
        <w:rPr>
          <w:rFonts w:ascii="Garamond" w:hAnsi="Garamond"/>
          <w:lang w:val="en"/>
        </w:rPr>
        <w:t>, Lord Wilson, Lady Black, Lord Brigg</w:t>
      </w:r>
      <w:r w:rsidR="00ED033C">
        <w:rPr>
          <w:rFonts w:ascii="Garamond" w:hAnsi="Garamond"/>
          <w:lang w:val="en"/>
        </w:rPr>
        <w:t>s</w:t>
      </w:r>
      <w:r w:rsidR="00882CEB">
        <w:rPr>
          <w:rFonts w:ascii="Garamond" w:hAnsi="Garamond"/>
          <w:lang w:val="en"/>
        </w:rPr>
        <w:t xml:space="preserve">, </w:t>
      </w:r>
      <w:r w:rsidR="00F4211C" w:rsidRPr="00F4211C">
        <w:rPr>
          <w:rFonts w:ascii="Garamond" w:hAnsi="Garamond"/>
          <w:lang w:val="en"/>
        </w:rPr>
        <w:t>Lord Kitchin</w:t>
      </w:r>
    </w:p>
    <w:p w:rsidR="00A16C02" w:rsidRDefault="00A16C02" w:rsidP="00A16C02">
      <w:pPr>
        <w:tabs>
          <w:tab w:val="left" w:pos="8285"/>
        </w:tabs>
        <w:rPr>
          <w:rFonts w:ascii="Garamond" w:hAnsi="Garamond"/>
        </w:rPr>
      </w:pPr>
    </w:p>
    <w:p w:rsidR="00A16C02" w:rsidRDefault="00A16C02" w:rsidP="00A16C02">
      <w:pPr>
        <w:tabs>
          <w:tab w:val="left" w:pos="8285"/>
        </w:tabs>
        <w:rPr>
          <w:rFonts w:ascii="Garamond" w:hAnsi="Garamond"/>
        </w:rPr>
      </w:pPr>
    </w:p>
    <w:p w:rsidR="00A16C02" w:rsidRPr="00A97444" w:rsidRDefault="00A16C02" w:rsidP="00A16C02">
      <w:pPr>
        <w:tabs>
          <w:tab w:val="left" w:pos="8285"/>
        </w:tabs>
        <w:rPr>
          <w:rFonts w:ascii="Garamond" w:hAnsi="Garamond"/>
          <w:b/>
        </w:rPr>
      </w:pPr>
      <w:r w:rsidRPr="00A97444">
        <w:rPr>
          <w:rFonts w:ascii="Garamond" w:hAnsi="Garamond"/>
          <w:b/>
        </w:rPr>
        <w:t>BACKGROUND TO THE APPEAL</w:t>
      </w:r>
    </w:p>
    <w:p w:rsidR="00A16C02" w:rsidRDefault="00A16C02" w:rsidP="008B0078">
      <w:pPr>
        <w:tabs>
          <w:tab w:val="left" w:pos="8285"/>
        </w:tabs>
        <w:jc w:val="both"/>
        <w:rPr>
          <w:rFonts w:ascii="Garamond" w:hAnsi="Garamond"/>
        </w:rPr>
      </w:pPr>
    </w:p>
    <w:p w:rsidR="0081085E" w:rsidRPr="00C41D73" w:rsidRDefault="00F4211C" w:rsidP="008B0078">
      <w:pPr>
        <w:jc w:val="both"/>
        <w:rPr>
          <w:rFonts w:ascii="Garamond" w:hAnsi="Garamond"/>
          <w:sz w:val="23"/>
          <w:szCs w:val="23"/>
        </w:rPr>
      </w:pPr>
      <w:r w:rsidRPr="00C41D73">
        <w:rPr>
          <w:rFonts w:ascii="Garamond" w:hAnsi="Garamond"/>
          <w:sz w:val="23"/>
          <w:szCs w:val="23"/>
        </w:rPr>
        <w:t>KV,</w:t>
      </w:r>
      <w:r w:rsidR="00EB42EA" w:rsidRPr="00C41D73">
        <w:rPr>
          <w:rFonts w:ascii="Garamond" w:hAnsi="Garamond"/>
          <w:sz w:val="23"/>
          <w:szCs w:val="23"/>
        </w:rPr>
        <w:t xml:space="preserve"> who is a Sri Lankan national of</w:t>
      </w:r>
      <w:r w:rsidRPr="00C41D73">
        <w:rPr>
          <w:rFonts w:ascii="Garamond" w:hAnsi="Garamond"/>
          <w:sz w:val="23"/>
          <w:szCs w:val="23"/>
        </w:rPr>
        <w:t xml:space="preserve"> Tamil ethnicity, </w:t>
      </w:r>
      <w:r w:rsidR="001672DB" w:rsidRPr="00C41D73">
        <w:rPr>
          <w:rFonts w:ascii="Garamond" w:hAnsi="Garamond"/>
          <w:sz w:val="23"/>
          <w:szCs w:val="23"/>
        </w:rPr>
        <w:t xml:space="preserve">arrived in the UK in February 2011 and claimed asylum. He </w:t>
      </w:r>
      <w:r w:rsidR="0081085E" w:rsidRPr="00C41D73">
        <w:rPr>
          <w:rFonts w:ascii="Garamond" w:hAnsi="Garamond"/>
          <w:sz w:val="23"/>
          <w:szCs w:val="23"/>
        </w:rPr>
        <w:t xml:space="preserve">has scars on his </w:t>
      </w:r>
      <w:r w:rsidR="00492162" w:rsidRPr="00C41D73">
        <w:rPr>
          <w:rFonts w:ascii="Garamond" w:hAnsi="Garamond"/>
          <w:sz w:val="23"/>
          <w:szCs w:val="23"/>
        </w:rPr>
        <w:t xml:space="preserve">arm and </w:t>
      </w:r>
      <w:r w:rsidR="0081085E" w:rsidRPr="00C41D73">
        <w:rPr>
          <w:rFonts w:ascii="Garamond" w:hAnsi="Garamond"/>
          <w:sz w:val="23"/>
          <w:szCs w:val="23"/>
        </w:rPr>
        <w:t xml:space="preserve">back which he says are the result of torture, but the Home Secretary’s case is that they were self-inflicted by proxy (‘SIBP’), that is, by another person at his invitation. </w:t>
      </w:r>
    </w:p>
    <w:p w:rsidR="0081085E" w:rsidRPr="00C41D73" w:rsidRDefault="0081085E" w:rsidP="008B0078">
      <w:pPr>
        <w:jc w:val="both"/>
        <w:rPr>
          <w:rFonts w:ascii="Garamond" w:hAnsi="Garamond"/>
          <w:sz w:val="23"/>
          <w:szCs w:val="23"/>
        </w:rPr>
      </w:pPr>
    </w:p>
    <w:p w:rsidR="00937F9E" w:rsidRPr="00C41D73" w:rsidRDefault="0081085E" w:rsidP="008B0078">
      <w:pPr>
        <w:jc w:val="both"/>
        <w:rPr>
          <w:rFonts w:ascii="Garamond" w:hAnsi="Garamond"/>
          <w:sz w:val="23"/>
          <w:szCs w:val="23"/>
        </w:rPr>
      </w:pPr>
      <w:r w:rsidRPr="00C41D73">
        <w:rPr>
          <w:rFonts w:ascii="Garamond" w:hAnsi="Garamond"/>
          <w:sz w:val="23"/>
          <w:szCs w:val="23"/>
        </w:rPr>
        <w:t>KV</w:t>
      </w:r>
      <w:r w:rsidR="00492162" w:rsidRPr="00C41D73">
        <w:rPr>
          <w:rFonts w:ascii="Garamond" w:hAnsi="Garamond"/>
          <w:sz w:val="23"/>
          <w:szCs w:val="23"/>
        </w:rPr>
        <w:t>’s</w:t>
      </w:r>
      <w:r w:rsidRPr="00C41D73">
        <w:rPr>
          <w:rFonts w:ascii="Garamond" w:hAnsi="Garamond"/>
          <w:sz w:val="23"/>
          <w:szCs w:val="23"/>
        </w:rPr>
        <w:t xml:space="preserve"> </w:t>
      </w:r>
      <w:r w:rsidR="00492162" w:rsidRPr="00C41D73">
        <w:rPr>
          <w:rFonts w:ascii="Garamond" w:hAnsi="Garamond"/>
          <w:sz w:val="23"/>
          <w:szCs w:val="23"/>
        </w:rPr>
        <w:t>account is that although he was not a member of the LTTE (‘Tamil Tigers’), he used to melt gold for them</w:t>
      </w:r>
      <w:r w:rsidR="00F6241E" w:rsidRPr="00C41D73">
        <w:rPr>
          <w:rFonts w:ascii="Garamond" w:hAnsi="Garamond"/>
          <w:sz w:val="23"/>
          <w:szCs w:val="23"/>
        </w:rPr>
        <w:t>. He</w:t>
      </w:r>
      <w:r w:rsidR="00492162" w:rsidRPr="00C41D73">
        <w:rPr>
          <w:rFonts w:ascii="Garamond" w:hAnsi="Garamond"/>
          <w:sz w:val="23"/>
          <w:szCs w:val="23"/>
        </w:rPr>
        <w:t xml:space="preserve"> </w:t>
      </w:r>
      <w:r w:rsidRPr="00C41D73">
        <w:rPr>
          <w:rFonts w:ascii="Garamond" w:hAnsi="Garamond"/>
          <w:sz w:val="23"/>
          <w:szCs w:val="23"/>
        </w:rPr>
        <w:t>says he was</w:t>
      </w:r>
      <w:r w:rsidR="001672DB" w:rsidRPr="00C41D73">
        <w:rPr>
          <w:rFonts w:ascii="Garamond" w:hAnsi="Garamond"/>
          <w:sz w:val="23"/>
          <w:szCs w:val="23"/>
        </w:rPr>
        <w:t xml:space="preserve"> detained and tortured by the Sri Lankan government</w:t>
      </w:r>
      <w:r w:rsidR="00F6241E" w:rsidRPr="00C41D73">
        <w:rPr>
          <w:rFonts w:ascii="Garamond" w:hAnsi="Garamond"/>
          <w:sz w:val="23"/>
          <w:szCs w:val="23"/>
        </w:rPr>
        <w:t>,</w:t>
      </w:r>
      <w:r w:rsidR="001672DB" w:rsidRPr="00C41D73">
        <w:rPr>
          <w:rFonts w:ascii="Garamond" w:hAnsi="Garamond"/>
          <w:sz w:val="23"/>
          <w:szCs w:val="23"/>
        </w:rPr>
        <w:t xml:space="preserve"> who sought to extract information about where the gold and other valuables were kept. </w:t>
      </w:r>
      <w:r w:rsidR="00A53E61" w:rsidRPr="00C41D73">
        <w:rPr>
          <w:rFonts w:ascii="Garamond" w:hAnsi="Garamond"/>
          <w:sz w:val="23"/>
          <w:szCs w:val="23"/>
        </w:rPr>
        <w:t>He alleges that the government applied hot metal rods to his arm while he was conscious, the pain rendered him unconscious, and that while he remained unconscious they applied the rods to his back.</w:t>
      </w:r>
    </w:p>
    <w:p w:rsidR="0081085E" w:rsidRPr="00C41D73" w:rsidRDefault="0081085E" w:rsidP="008B0078">
      <w:pPr>
        <w:jc w:val="both"/>
        <w:rPr>
          <w:rFonts w:ascii="Garamond" w:hAnsi="Garamond"/>
          <w:sz w:val="23"/>
          <w:szCs w:val="23"/>
        </w:rPr>
      </w:pPr>
    </w:p>
    <w:p w:rsidR="00255465" w:rsidRPr="00C41D73" w:rsidRDefault="0081085E" w:rsidP="008B0078">
      <w:pPr>
        <w:jc w:val="both"/>
        <w:rPr>
          <w:rFonts w:ascii="Garamond" w:hAnsi="Garamond"/>
          <w:sz w:val="23"/>
          <w:szCs w:val="23"/>
        </w:rPr>
      </w:pPr>
      <w:r w:rsidRPr="00C41D73">
        <w:rPr>
          <w:rFonts w:ascii="Garamond" w:hAnsi="Garamond"/>
          <w:sz w:val="23"/>
          <w:szCs w:val="23"/>
        </w:rPr>
        <w:t>He appealed unsuccessfully to the First-tier Tribunal</w:t>
      </w:r>
      <w:r w:rsidR="00492162" w:rsidRPr="00C41D73">
        <w:rPr>
          <w:rFonts w:ascii="Garamond" w:hAnsi="Garamond"/>
          <w:sz w:val="23"/>
          <w:szCs w:val="23"/>
        </w:rPr>
        <w:t xml:space="preserve"> (‘FTT’)</w:t>
      </w:r>
      <w:r w:rsidRPr="00C41D73">
        <w:rPr>
          <w:rFonts w:ascii="Garamond" w:hAnsi="Garamond"/>
          <w:sz w:val="23"/>
          <w:szCs w:val="23"/>
        </w:rPr>
        <w:t xml:space="preserve"> against the Home Secretary’s refusal of his claim for asylum. The Upper Tribunal</w:t>
      </w:r>
      <w:r w:rsidR="00255465" w:rsidRPr="00C41D73">
        <w:rPr>
          <w:rFonts w:ascii="Garamond" w:hAnsi="Garamond"/>
          <w:sz w:val="23"/>
          <w:szCs w:val="23"/>
        </w:rPr>
        <w:t xml:space="preserve"> (the ‘tribunal’)</w:t>
      </w:r>
      <w:r w:rsidRPr="00C41D73">
        <w:rPr>
          <w:rFonts w:ascii="Garamond" w:hAnsi="Garamond"/>
          <w:sz w:val="23"/>
          <w:szCs w:val="23"/>
        </w:rPr>
        <w:t xml:space="preserve"> reheard his appeal as </w:t>
      </w:r>
      <w:r w:rsidR="00492162" w:rsidRPr="00C41D73">
        <w:rPr>
          <w:rFonts w:ascii="Garamond" w:hAnsi="Garamond"/>
          <w:sz w:val="23"/>
          <w:szCs w:val="23"/>
        </w:rPr>
        <w:t>the FTT’s decision</w:t>
      </w:r>
      <w:r w:rsidRPr="00C41D73">
        <w:rPr>
          <w:rFonts w:ascii="Garamond" w:hAnsi="Garamond"/>
          <w:sz w:val="23"/>
          <w:szCs w:val="23"/>
        </w:rPr>
        <w:t xml:space="preserve"> had been vitiated by an error of law. The </w:t>
      </w:r>
      <w:r w:rsidR="002957D8" w:rsidRPr="00C41D73">
        <w:rPr>
          <w:rFonts w:ascii="Garamond" w:hAnsi="Garamond"/>
          <w:sz w:val="23"/>
          <w:szCs w:val="23"/>
        </w:rPr>
        <w:t>tribunal</w:t>
      </w:r>
      <w:r w:rsidRPr="00C41D73">
        <w:rPr>
          <w:rFonts w:ascii="Garamond" w:hAnsi="Garamond"/>
          <w:sz w:val="23"/>
          <w:szCs w:val="23"/>
        </w:rPr>
        <w:t xml:space="preserve"> found various aspects of KV’s evidence </w:t>
      </w:r>
      <w:r w:rsidR="00255465" w:rsidRPr="00C41D73">
        <w:rPr>
          <w:rFonts w:ascii="Garamond" w:hAnsi="Garamond"/>
          <w:sz w:val="23"/>
          <w:szCs w:val="23"/>
        </w:rPr>
        <w:t>unconvincing but</w:t>
      </w:r>
      <w:r w:rsidRPr="00C41D73">
        <w:rPr>
          <w:rFonts w:ascii="Garamond" w:hAnsi="Garamond"/>
          <w:sz w:val="23"/>
          <w:szCs w:val="23"/>
        </w:rPr>
        <w:t xml:space="preserve"> recognised that if his scarring was indeed caused by torture then there was a real possibility his </w:t>
      </w:r>
      <w:r w:rsidR="00EB42EA" w:rsidRPr="00C41D73">
        <w:rPr>
          <w:rFonts w:ascii="Garamond" w:hAnsi="Garamond"/>
          <w:sz w:val="23"/>
          <w:szCs w:val="23"/>
        </w:rPr>
        <w:t>story</w:t>
      </w:r>
      <w:r w:rsidRPr="00C41D73">
        <w:rPr>
          <w:rFonts w:ascii="Garamond" w:hAnsi="Garamond"/>
          <w:sz w:val="23"/>
          <w:szCs w:val="23"/>
        </w:rPr>
        <w:t xml:space="preserve"> was true. </w:t>
      </w:r>
      <w:r w:rsidR="00D81EF4" w:rsidRPr="00C41D73">
        <w:rPr>
          <w:rFonts w:ascii="Garamond" w:hAnsi="Garamond"/>
          <w:sz w:val="23"/>
          <w:szCs w:val="23"/>
        </w:rPr>
        <w:t>Dr Zapata-Bravo, a</w:t>
      </w:r>
      <w:r w:rsidR="00EB42EA" w:rsidRPr="00C41D73">
        <w:rPr>
          <w:rFonts w:ascii="Garamond" w:hAnsi="Garamond"/>
          <w:sz w:val="23"/>
          <w:szCs w:val="23"/>
        </w:rPr>
        <w:t xml:space="preserve"> medical</w:t>
      </w:r>
      <w:r w:rsidRPr="00C41D73">
        <w:rPr>
          <w:rFonts w:ascii="Garamond" w:hAnsi="Garamond"/>
          <w:sz w:val="23"/>
          <w:szCs w:val="23"/>
        </w:rPr>
        <w:t xml:space="preserve"> expert, advised that the scars were caused by burning with a hot metal rod. </w:t>
      </w:r>
      <w:r w:rsidR="00255465" w:rsidRPr="00C41D73">
        <w:rPr>
          <w:rFonts w:ascii="Garamond" w:hAnsi="Garamond"/>
          <w:sz w:val="23"/>
          <w:szCs w:val="23"/>
        </w:rPr>
        <w:t>Further</w:t>
      </w:r>
      <w:r w:rsidR="005460F9" w:rsidRPr="00C41D73">
        <w:rPr>
          <w:rFonts w:ascii="Garamond" w:hAnsi="Garamond"/>
          <w:sz w:val="23"/>
          <w:szCs w:val="23"/>
        </w:rPr>
        <w:t>more</w:t>
      </w:r>
      <w:r w:rsidRPr="00C41D73">
        <w:rPr>
          <w:rFonts w:ascii="Garamond" w:hAnsi="Garamond"/>
          <w:sz w:val="23"/>
          <w:szCs w:val="23"/>
        </w:rPr>
        <w:t xml:space="preserve">, the scarring on </w:t>
      </w:r>
      <w:r w:rsidR="00255465" w:rsidRPr="00C41D73">
        <w:rPr>
          <w:rFonts w:ascii="Garamond" w:hAnsi="Garamond"/>
          <w:sz w:val="23"/>
          <w:szCs w:val="23"/>
        </w:rPr>
        <w:t>KV’s</w:t>
      </w:r>
      <w:r w:rsidRPr="00C41D73">
        <w:rPr>
          <w:rFonts w:ascii="Garamond" w:hAnsi="Garamond"/>
          <w:sz w:val="23"/>
          <w:szCs w:val="23"/>
        </w:rPr>
        <w:t xml:space="preserve"> arm</w:t>
      </w:r>
      <w:r w:rsidR="00255465" w:rsidRPr="00C41D73">
        <w:rPr>
          <w:rFonts w:ascii="Garamond" w:hAnsi="Garamond"/>
          <w:sz w:val="23"/>
          <w:szCs w:val="23"/>
        </w:rPr>
        <w:t xml:space="preserve"> had blurred edges but </w:t>
      </w:r>
      <w:r w:rsidRPr="00C41D73">
        <w:rPr>
          <w:rFonts w:ascii="Garamond" w:hAnsi="Garamond"/>
          <w:sz w:val="23"/>
          <w:szCs w:val="23"/>
        </w:rPr>
        <w:t xml:space="preserve">the scarring on </w:t>
      </w:r>
      <w:r w:rsidR="00255465" w:rsidRPr="00C41D73">
        <w:rPr>
          <w:rFonts w:ascii="Garamond" w:hAnsi="Garamond"/>
          <w:sz w:val="23"/>
          <w:szCs w:val="23"/>
        </w:rPr>
        <w:t>his</w:t>
      </w:r>
      <w:r w:rsidRPr="00C41D73">
        <w:rPr>
          <w:rFonts w:ascii="Garamond" w:hAnsi="Garamond"/>
          <w:sz w:val="23"/>
          <w:szCs w:val="23"/>
        </w:rPr>
        <w:t xml:space="preserve"> back had such clearly-defined edges that he must have been unconscious while the burns were inflicted. </w:t>
      </w:r>
      <w:r w:rsidR="00255465" w:rsidRPr="00C41D73">
        <w:rPr>
          <w:rFonts w:ascii="Garamond" w:hAnsi="Garamond"/>
          <w:sz w:val="23"/>
          <w:szCs w:val="23"/>
        </w:rPr>
        <w:t xml:space="preserve">He concluded that his clinical findings were </w:t>
      </w:r>
      <w:r w:rsidR="00255465" w:rsidRPr="00C41D73">
        <w:rPr>
          <w:rFonts w:ascii="Garamond" w:hAnsi="Garamond"/>
          <w:i/>
          <w:sz w:val="23"/>
          <w:szCs w:val="23"/>
        </w:rPr>
        <w:t xml:space="preserve">“highly consistent” </w:t>
      </w:r>
      <w:r w:rsidR="00255465" w:rsidRPr="00C41D73">
        <w:rPr>
          <w:rFonts w:ascii="Garamond" w:hAnsi="Garamond"/>
          <w:sz w:val="23"/>
          <w:szCs w:val="23"/>
        </w:rPr>
        <w:t xml:space="preserve">with KV’s account of torture, and that it was unlikely the scars were SIBP. </w:t>
      </w:r>
    </w:p>
    <w:p w:rsidR="00255465" w:rsidRPr="00C41D73" w:rsidRDefault="00255465" w:rsidP="008B0078">
      <w:pPr>
        <w:jc w:val="both"/>
        <w:rPr>
          <w:rFonts w:ascii="Garamond" w:hAnsi="Garamond"/>
          <w:sz w:val="23"/>
          <w:szCs w:val="23"/>
        </w:rPr>
      </w:pPr>
    </w:p>
    <w:p w:rsidR="0081085E" w:rsidRPr="00C41D73" w:rsidRDefault="00255465" w:rsidP="008B0078">
      <w:pPr>
        <w:jc w:val="both"/>
        <w:rPr>
          <w:rFonts w:ascii="Garamond" w:hAnsi="Garamond"/>
          <w:sz w:val="23"/>
          <w:szCs w:val="23"/>
        </w:rPr>
      </w:pPr>
      <w:r w:rsidRPr="00C41D73">
        <w:rPr>
          <w:rFonts w:ascii="Garamond" w:hAnsi="Garamond"/>
          <w:sz w:val="23"/>
          <w:szCs w:val="23"/>
        </w:rPr>
        <w:t xml:space="preserve">The tribunal </w:t>
      </w:r>
      <w:r w:rsidR="00F6241E" w:rsidRPr="00C41D73">
        <w:rPr>
          <w:rFonts w:ascii="Garamond" w:hAnsi="Garamond"/>
          <w:sz w:val="23"/>
          <w:szCs w:val="23"/>
        </w:rPr>
        <w:t xml:space="preserve">nevertheless </w:t>
      </w:r>
      <w:r w:rsidRPr="00C41D73">
        <w:rPr>
          <w:rFonts w:ascii="Garamond" w:hAnsi="Garamond"/>
          <w:sz w:val="23"/>
          <w:szCs w:val="23"/>
        </w:rPr>
        <w:t xml:space="preserve">dismissed </w:t>
      </w:r>
      <w:r w:rsidR="00F6241E" w:rsidRPr="00C41D73">
        <w:rPr>
          <w:rFonts w:ascii="Garamond" w:hAnsi="Garamond"/>
          <w:sz w:val="23"/>
          <w:szCs w:val="23"/>
        </w:rPr>
        <w:t>KV’</w:t>
      </w:r>
      <w:r w:rsidRPr="00C41D73">
        <w:rPr>
          <w:rFonts w:ascii="Garamond" w:hAnsi="Garamond"/>
          <w:sz w:val="23"/>
          <w:szCs w:val="23"/>
        </w:rPr>
        <w:t xml:space="preserve">s appeal, </w:t>
      </w:r>
      <w:r w:rsidR="00F6241E" w:rsidRPr="00C41D73">
        <w:rPr>
          <w:rFonts w:ascii="Garamond" w:hAnsi="Garamond"/>
          <w:sz w:val="23"/>
          <w:szCs w:val="23"/>
        </w:rPr>
        <w:t>findin</w:t>
      </w:r>
      <w:r w:rsidRPr="00C41D73">
        <w:rPr>
          <w:rFonts w:ascii="Garamond" w:hAnsi="Garamond"/>
          <w:sz w:val="23"/>
          <w:szCs w:val="23"/>
        </w:rPr>
        <w:t xml:space="preserve">g that </w:t>
      </w:r>
      <w:r w:rsidRPr="00C41D73">
        <w:rPr>
          <w:rFonts w:ascii="Garamond" w:hAnsi="Garamond"/>
          <w:i/>
          <w:sz w:val="23"/>
          <w:szCs w:val="23"/>
        </w:rPr>
        <w:t>“</w:t>
      </w:r>
      <w:r w:rsidR="00C257EC" w:rsidRPr="00C41D73">
        <w:rPr>
          <w:rFonts w:ascii="Garamond" w:hAnsi="Garamond"/>
          <w:i/>
          <w:sz w:val="23"/>
          <w:szCs w:val="23"/>
        </w:rPr>
        <w:t>(</w:t>
      </w:r>
      <w:proofErr w:type="spellStart"/>
      <w:r w:rsidR="00C257EC" w:rsidRPr="00C41D73">
        <w:rPr>
          <w:rFonts w:ascii="Garamond" w:hAnsi="Garamond"/>
          <w:i/>
          <w:sz w:val="23"/>
          <w:szCs w:val="23"/>
        </w:rPr>
        <w:t>i</w:t>
      </w:r>
      <w:proofErr w:type="spellEnd"/>
      <w:r w:rsidR="00C257EC" w:rsidRPr="00C41D73">
        <w:rPr>
          <w:rFonts w:ascii="Garamond" w:hAnsi="Garamond"/>
          <w:i/>
          <w:sz w:val="23"/>
          <w:szCs w:val="23"/>
        </w:rPr>
        <w:t xml:space="preserve">) </w:t>
      </w:r>
      <w:r w:rsidRPr="00C41D73">
        <w:rPr>
          <w:rFonts w:ascii="Garamond" w:hAnsi="Garamond"/>
          <w:i/>
          <w:sz w:val="23"/>
          <w:szCs w:val="23"/>
        </w:rPr>
        <w:t>it was clinically unlikely, given their precise edging, that his scarring could have been inflicted unless he was unconscious; and (ii) that it was clinically unlikely a person could remain unconscious throughout multiple applications of hot metal rods to his arms and back, unless he was anaesthetised</w:t>
      </w:r>
      <w:r w:rsidR="004A78F4" w:rsidRPr="00C41D73">
        <w:rPr>
          <w:rFonts w:ascii="Garamond" w:hAnsi="Garamond"/>
          <w:i/>
          <w:sz w:val="23"/>
          <w:szCs w:val="23"/>
        </w:rPr>
        <w:t xml:space="preserve"> </w:t>
      </w:r>
      <w:r w:rsidRPr="00C41D73">
        <w:rPr>
          <w:rFonts w:ascii="Garamond" w:hAnsi="Garamond"/>
          <w:i/>
          <w:sz w:val="23"/>
          <w:szCs w:val="23"/>
        </w:rPr>
        <w:t>…”</w:t>
      </w:r>
      <w:r w:rsidRPr="00C41D73">
        <w:rPr>
          <w:rFonts w:ascii="Garamond" w:hAnsi="Garamond"/>
          <w:sz w:val="23"/>
          <w:szCs w:val="23"/>
        </w:rPr>
        <w:t>.</w:t>
      </w:r>
    </w:p>
    <w:p w:rsidR="00255465" w:rsidRPr="00C41D73" w:rsidRDefault="00255465" w:rsidP="00A16C02">
      <w:pPr>
        <w:rPr>
          <w:rFonts w:ascii="Garamond" w:hAnsi="Garamond"/>
          <w:sz w:val="23"/>
          <w:szCs w:val="23"/>
        </w:rPr>
      </w:pPr>
    </w:p>
    <w:p w:rsidR="002F76F2" w:rsidRPr="00C41D73" w:rsidRDefault="002F76F2" w:rsidP="008B0078">
      <w:pPr>
        <w:jc w:val="both"/>
        <w:rPr>
          <w:rFonts w:ascii="Garamond" w:hAnsi="Garamond"/>
          <w:sz w:val="23"/>
          <w:szCs w:val="23"/>
        </w:rPr>
      </w:pPr>
      <w:r w:rsidRPr="00C41D73">
        <w:rPr>
          <w:rFonts w:ascii="Garamond" w:hAnsi="Garamond"/>
          <w:sz w:val="23"/>
          <w:szCs w:val="23"/>
        </w:rPr>
        <w:t xml:space="preserve">On appeal, the Court of Appeal (‘CA’) held by a majority that the assessment made by the </w:t>
      </w:r>
      <w:r w:rsidR="00287A78" w:rsidRPr="00C41D73">
        <w:rPr>
          <w:rFonts w:ascii="Garamond" w:hAnsi="Garamond"/>
          <w:sz w:val="23"/>
          <w:szCs w:val="23"/>
        </w:rPr>
        <w:t>tribunal</w:t>
      </w:r>
      <w:r w:rsidRPr="00C41D73">
        <w:rPr>
          <w:rFonts w:ascii="Garamond" w:hAnsi="Garamond"/>
          <w:sz w:val="23"/>
          <w:szCs w:val="23"/>
        </w:rPr>
        <w:t xml:space="preserve"> was legitimately open to it and could not be criticised as perverse or irrational. Furthermore, it was beyond Dr Zapata-Bravo’s remit as an expert medical witness to state his opinion that his findings were </w:t>
      </w:r>
      <w:r w:rsidRPr="00C41D73">
        <w:rPr>
          <w:rFonts w:ascii="Garamond" w:hAnsi="Garamond"/>
          <w:i/>
          <w:sz w:val="23"/>
          <w:szCs w:val="23"/>
        </w:rPr>
        <w:t xml:space="preserve">“highly consistent” </w:t>
      </w:r>
      <w:r w:rsidRPr="00C41D73">
        <w:rPr>
          <w:rFonts w:ascii="Garamond" w:hAnsi="Garamond"/>
          <w:sz w:val="23"/>
          <w:szCs w:val="23"/>
        </w:rPr>
        <w:t>with KV’s account of torture as a whole. Elias LJ dissented.</w:t>
      </w:r>
    </w:p>
    <w:p w:rsidR="00CC0E89" w:rsidRPr="00C41D73" w:rsidRDefault="00CC0E89" w:rsidP="00A16C02">
      <w:pPr>
        <w:rPr>
          <w:rFonts w:ascii="Garamond" w:hAnsi="Garamond"/>
          <w:sz w:val="23"/>
          <w:szCs w:val="23"/>
        </w:rPr>
      </w:pPr>
    </w:p>
    <w:p w:rsidR="00C41D73" w:rsidRDefault="00C41D73" w:rsidP="00A16C02">
      <w:pPr>
        <w:rPr>
          <w:rFonts w:ascii="Garamond" w:hAnsi="Garamond"/>
          <w:b/>
        </w:rPr>
      </w:pPr>
    </w:p>
    <w:p w:rsidR="00C41D73" w:rsidRDefault="00C41D73" w:rsidP="00A16C02">
      <w:pPr>
        <w:rPr>
          <w:rFonts w:ascii="Garamond" w:hAnsi="Garamond"/>
          <w:b/>
        </w:rPr>
      </w:pPr>
    </w:p>
    <w:p w:rsidR="00C41D73" w:rsidRDefault="00C41D73" w:rsidP="00A16C02">
      <w:pPr>
        <w:rPr>
          <w:rFonts w:ascii="Garamond" w:hAnsi="Garamond"/>
          <w:b/>
        </w:rPr>
      </w:pPr>
    </w:p>
    <w:p w:rsidR="00A16C02" w:rsidRDefault="00A16C02" w:rsidP="00A16C02">
      <w:pPr>
        <w:rPr>
          <w:rFonts w:ascii="Garamond" w:hAnsi="Garamond"/>
          <w:b/>
        </w:rPr>
      </w:pPr>
      <w:r>
        <w:rPr>
          <w:rFonts w:ascii="Garamond" w:hAnsi="Garamond"/>
          <w:b/>
        </w:rPr>
        <w:lastRenderedPageBreak/>
        <w:t>JUDGMENT</w:t>
      </w:r>
    </w:p>
    <w:p w:rsidR="00A16C02" w:rsidRDefault="00A16C02" w:rsidP="00A16C02">
      <w:pPr>
        <w:rPr>
          <w:rFonts w:ascii="Garamond" w:hAnsi="Garamond"/>
          <w:b/>
        </w:rPr>
      </w:pPr>
    </w:p>
    <w:p w:rsidR="00A16C02" w:rsidRPr="00C41D73" w:rsidRDefault="00A33577" w:rsidP="00A16C02">
      <w:pPr>
        <w:rPr>
          <w:rFonts w:ascii="Garamond" w:hAnsi="Garamond"/>
          <w:sz w:val="23"/>
          <w:szCs w:val="23"/>
        </w:rPr>
      </w:pPr>
      <w:r w:rsidRPr="00C41D73">
        <w:rPr>
          <w:rFonts w:ascii="Garamond" w:hAnsi="Garamond"/>
          <w:sz w:val="23"/>
          <w:szCs w:val="23"/>
        </w:rPr>
        <w:t>The Supreme Court</w:t>
      </w:r>
      <w:r w:rsidR="00440D64" w:rsidRPr="00C41D73">
        <w:rPr>
          <w:rFonts w:ascii="Garamond" w:hAnsi="Garamond"/>
          <w:sz w:val="23"/>
          <w:szCs w:val="23"/>
        </w:rPr>
        <w:t xml:space="preserve"> (Lady Hale, </w:t>
      </w:r>
      <w:r w:rsidR="00791E1D" w:rsidRPr="00C41D73">
        <w:rPr>
          <w:rFonts w:ascii="Garamond" w:hAnsi="Garamond"/>
          <w:sz w:val="23"/>
          <w:szCs w:val="23"/>
        </w:rPr>
        <w:t xml:space="preserve">Lord Wilson, </w:t>
      </w:r>
      <w:r w:rsidR="00440D64" w:rsidRPr="00C41D73">
        <w:rPr>
          <w:rFonts w:ascii="Garamond" w:hAnsi="Garamond"/>
          <w:sz w:val="23"/>
          <w:szCs w:val="23"/>
        </w:rPr>
        <w:t>Lady Black, Lord Briggs and Lord Kitchin</w:t>
      </w:r>
      <w:r w:rsidR="00913742" w:rsidRPr="00C41D73">
        <w:rPr>
          <w:rFonts w:ascii="Garamond" w:hAnsi="Garamond"/>
          <w:sz w:val="23"/>
          <w:szCs w:val="23"/>
        </w:rPr>
        <w:t>)</w:t>
      </w:r>
      <w:r w:rsidRPr="00C41D73">
        <w:rPr>
          <w:rFonts w:ascii="Garamond" w:hAnsi="Garamond"/>
          <w:sz w:val="23"/>
          <w:szCs w:val="23"/>
        </w:rPr>
        <w:t xml:space="preserve"> </w:t>
      </w:r>
      <w:r w:rsidR="00F4211C" w:rsidRPr="00C41D73">
        <w:rPr>
          <w:rFonts w:ascii="Garamond" w:hAnsi="Garamond"/>
          <w:sz w:val="23"/>
          <w:szCs w:val="23"/>
        </w:rPr>
        <w:t xml:space="preserve">unanimously </w:t>
      </w:r>
      <w:r w:rsidR="00937F9E" w:rsidRPr="00C41D73">
        <w:rPr>
          <w:rFonts w:ascii="Garamond" w:hAnsi="Garamond"/>
          <w:sz w:val="23"/>
          <w:szCs w:val="23"/>
        </w:rPr>
        <w:t>al</w:t>
      </w:r>
      <w:r w:rsidR="00F4211C" w:rsidRPr="00C41D73">
        <w:rPr>
          <w:rFonts w:ascii="Garamond" w:hAnsi="Garamond"/>
          <w:sz w:val="23"/>
          <w:szCs w:val="23"/>
        </w:rPr>
        <w:t>lows</w:t>
      </w:r>
      <w:r w:rsidR="00937F9E" w:rsidRPr="00C41D73">
        <w:rPr>
          <w:rFonts w:ascii="Garamond" w:hAnsi="Garamond"/>
          <w:sz w:val="23"/>
          <w:szCs w:val="23"/>
        </w:rPr>
        <w:t xml:space="preserve"> the appeal</w:t>
      </w:r>
      <w:r w:rsidR="00B45E02" w:rsidRPr="00C41D73">
        <w:rPr>
          <w:rFonts w:ascii="Garamond" w:hAnsi="Garamond"/>
          <w:sz w:val="23"/>
          <w:szCs w:val="23"/>
        </w:rPr>
        <w:t xml:space="preserve"> and remits KV’s appeal against the refusal of asylum to the </w:t>
      </w:r>
      <w:r w:rsidR="00287A78" w:rsidRPr="00C41D73">
        <w:rPr>
          <w:rFonts w:ascii="Garamond" w:hAnsi="Garamond"/>
          <w:sz w:val="23"/>
          <w:szCs w:val="23"/>
        </w:rPr>
        <w:t>Upper Tribunal</w:t>
      </w:r>
      <w:r w:rsidR="00B45E02" w:rsidRPr="00C41D73">
        <w:rPr>
          <w:rFonts w:ascii="Garamond" w:hAnsi="Garamond"/>
          <w:sz w:val="23"/>
          <w:szCs w:val="23"/>
        </w:rPr>
        <w:t xml:space="preserve"> for fresh determination. </w:t>
      </w:r>
      <w:r w:rsidR="00F4211C" w:rsidRPr="00C41D73">
        <w:rPr>
          <w:rFonts w:ascii="Garamond" w:hAnsi="Garamond"/>
          <w:sz w:val="23"/>
          <w:szCs w:val="23"/>
        </w:rPr>
        <w:t>Lord Wilson gives the only judgment.</w:t>
      </w:r>
    </w:p>
    <w:p w:rsidR="00647FCA" w:rsidRDefault="00647FCA" w:rsidP="00A16C02">
      <w:pPr>
        <w:rPr>
          <w:rFonts w:ascii="Garamond" w:hAnsi="Garamond"/>
          <w:b/>
        </w:rPr>
      </w:pPr>
    </w:p>
    <w:p w:rsidR="00FA3D1D" w:rsidRDefault="00FA3D1D" w:rsidP="00A16C02">
      <w:pPr>
        <w:rPr>
          <w:rFonts w:ascii="Garamond" w:hAnsi="Garamond"/>
          <w:b/>
        </w:rPr>
      </w:pPr>
    </w:p>
    <w:p w:rsidR="00A16C02" w:rsidRDefault="00A16C02" w:rsidP="00A16C02">
      <w:pPr>
        <w:rPr>
          <w:rFonts w:ascii="Garamond" w:hAnsi="Garamond"/>
          <w:b/>
        </w:rPr>
      </w:pPr>
      <w:r w:rsidRPr="00A30FCD">
        <w:rPr>
          <w:rFonts w:ascii="Garamond" w:hAnsi="Garamond"/>
          <w:b/>
        </w:rPr>
        <w:t>REASONS FOR THE JUDGMENT</w:t>
      </w:r>
    </w:p>
    <w:p w:rsidR="00A16C02" w:rsidRDefault="00A16C02" w:rsidP="00A16C02">
      <w:pPr>
        <w:rPr>
          <w:rFonts w:ascii="Garamond" w:hAnsi="Garamond"/>
        </w:rPr>
      </w:pPr>
    </w:p>
    <w:p w:rsidR="003B48D8" w:rsidRPr="00C41D73" w:rsidRDefault="00942B67" w:rsidP="008B0078">
      <w:pPr>
        <w:jc w:val="both"/>
        <w:rPr>
          <w:rFonts w:ascii="Garamond" w:hAnsi="Garamond"/>
          <w:sz w:val="23"/>
          <w:szCs w:val="23"/>
        </w:rPr>
      </w:pPr>
      <w:r w:rsidRPr="00C41D73">
        <w:rPr>
          <w:rFonts w:ascii="Garamond" w:hAnsi="Garamond"/>
          <w:sz w:val="23"/>
          <w:szCs w:val="23"/>
        </w:rPr>
        <w:t xml:space="preserve">The 1999 </w:t>
      </w:r>
      <w:r w:rsidRPr="00C41D73">
        <w:rPr>
          <w:rFonts w:ascii="Garamond" w:hAnsi="Garamond"/>
          <w:i/>
          <w:sz w:val="23"/>
          <w:szCs w:val="23"/>
        </w:rPr>
        <w:t>“Manual on the Effective Investigation and Documentation of Torture and other Cruel, Inhuman or Degrading Treatment or Punishment”</w:t>
      </w:r>
      <w:r w:rsidRPr="00C41D73">
        <w:rPr>
          <w:rFonts w:ascii="Garamond" w:hAnsi="Garamond"/>
          <w:sz w:val="23"/>
          <w:szCs w:val="23"/>
        </w:rPr>
        <w:t>, known as the</w:t>
      </w:r>
      <w:r w:rsidRPr="00C41D73">
        <w:rPr>
          <w:rFonts w:ascii="Garamond" w:hAnsi="Garamond"/>
          <w:i/>
          <w:sz w:val="23"/>
          <w:szCs w:val="23"/>
        </w:rPr>
        <w:t xml:space="preserve"> “Istanbul Protocol”</w:t>
      </w:r>
      <w:r w:rsidR="00287A78" w:rsidRPr="00C41D73">
        <w:rPr>
          <w:rFonts w:ascii="Garamond" w:hAnsi="Garamond"/>
          <w:sz w:val="23"/>
          <w:szCs w:val="23"/>
        </w:rPr>
        <w:t>,</w:t>
      </w:r>
      <w:r w:rsidR="00D75781" w:rsidRPr="00C41D73">
        <w:rPr>
          <w:rFonts w:ascii="Garamond" w:hAnsi="Garamond"/>
          <w:sz w:val="23"/>
          <w:szCs w:val="23"/>
        </w:rPr>
        <w:t xml:space="preserve"> </w:t>
      </w:r>
      <w:r w:rsidR="008B0078" w:rsidRPr="00C41D73">
        <w:rPr>
          <w:rFonts w:ascii="Garamond" w:hAnsi="Garamond"/>
          <w:sz w:val="23"/>
          <w:szCs w:val="23"/>
        </w:rPr>
        <w:t xml:space="preserve">guides medical experts to indicate for each lesion the degree of consistency between it and the </w:t>
      </w:r>
      <w:r w:rsidR="00F6241E" w:rsidRPr="00C41D73">
        <w:rPr>
          <w:rFonts w:ascii="Garamond" w:hAnsi="Garamond"/>
          <w:sz w:val="23"/>
          <w:szCs w:val="23"/>
        </w:rPr>
        <w:t>cause</w:t>
      </w:r>
      <w:r w:rsidR="008B0078" w:rsidRPr="00C41D73">
        <w:rPr>
          <w:rFonts w:ascii="Garamond" w:hAnsi="Garamond"/>
          <w:sz w:val="23"/>
          <w:szCs w:val="23"/>
        </w:rPr>
        <w:t xml:space="preserve"> given by the patient, on a scale from </w:t>
      </w:r>
      <w:r w:rsidR="008B0078" w:rsidRPr="00C41D73">
        <w:rPr>
          <w:rFonts w:ascii="Garamond" w:hAnsi="Garamond"/>
          <w:i/>
          <w:sz w:val="23"/>
          <w:szCs w:val="23"/>
        </w:rPr>
        <w:t xml:space="preserve">“not consistent” </w:t>
      </w:r>
      <w:r w:rsidR="008B0078" w:rsidRPr="00C41D73">
        <w:rPr>
          <w:rFonts w:ascii="Garamond" w:hAnsi="Garamond"/>
          <w:sz w:val="23"/>
          <w:szCs w:val="23"/>
        </w:rPr>
        <w:t xml:space="preserve">to </w:t>
      </w:r>
      <w:r w:rsidR="008B0078" w:rsidRPr="00C41D73">
        <w:rPr>
          <w:rFonts w:ascii="Garamond" w:hAnsi="Garamond"/>
          <w:i/>
          <w:sz w:val="23"/>
          <w:szCs w:val="23"/>
        </w:rPr>
        <w:t>“diagnostic of”</w:t>
      </w:r>
      <w:r w:rsidR="008B0078" w:rsidRPr="00C41D73">
        <w:rPr>
          <w:rFonts w:ascii="Garamond" w:hAnsi="Garamond"/>
          <w:sz w:val="23"/>
          <w:szCs w:val="23"/>
        </w:rPr>
        <w:t xml:space="preserve">. The Istanbul Protocol provides that </w:t>
      </w:r>
      <w:r w:rsidR="008B0078" w:rsidRPr="00C41D73">
        <w:rPr>
          <w:rFonts w:ascii="Garamond" w:hAnsi="Garamond"/>
          <w:i/>
          <w:sz w:val="23"/>
          <w:szCs w:val="23"/>
        </w:rPr>
        <w:t>“ultimately, it is the overall evaluation of all lesions, and not the consistency of each lesion with a particular form of torture that is important in assessing the torture story…”</w:t>
      </w:r>
      <w:r w:rsidR="008B0078" w:rsidRPr="00C41D73">
        <w:rPr>
          <w:rFonts w:ascii="Garamond" w:hAnsi="Garamond"/>
          <w:sz w:val="23"/>
          <w:szCs w:val="23"/>
        </w:rPr>
        <w:t xml:space="preserve">. Thus, in concluding that his clinical findings were </w:t>
      </w:r>
      <w:r w:rsidR="008B0078" w:rsidRPr="00C41D73">
        <w:rPr>
          <w:rFonts w:ascii="Garamond" w:hAnsi="Garamond"/>
          <w:i/>
          <w:sz w:val="23"/>
          <w:szCs w:val="23"/>
        </w:rPr>
        <w:t xml:space="preserve">“highly consistent” </w:t>
      </w:r>
      <w:r w:rsidR="008B0078" w:rsidRPr="00C41D73">
        <w:rPr>
          <w:rFonts w:ascii="Garamond" w:hAnsi="Garamond"/>
          <w:sz w:val="23"/>
          <w:szCs w:val="23"/>
        </w:rPr>
        <w:t xml:space="preserve">with KV’s account, Dr Zapata-Bravo </w:t>
      </w:r>
      <w:r w:rsidR="007F33BA" w:rsidRPr="00C41D73">
        <w:rPr>
          <w:rFonts w:ascii="Garamond" w:hAnsi="Garamond"/>
          <w:sz w:val="23"/>
          <w:szCs w:val="23"/>
        </w:rPr>
        <w:t>framed</w:t>
      </w:r>
      <w:r w:rsidR="008B0078" w:rsidRPr="00C41D73">
        <w:rPr>
          <w:rFonts w:ascii="Garamond" w:hAnsi="Garamond"/>
          <w:sz w:val="23"/>
          <w:szCs w:val="23"/>
        </w:rPr>
        <w:t xml:space="preserve"> his conclusion in accordance with the Istanbul Protocol </w:t>
      </w:r>
      <w:r w:rsidR="008B0078" w:rsidRPr="00C41D73">
        <w:rPr>
          <w:rFonts w:ascii="Garamond" w:hAnsi="Garamond"/>
          <w:b/>
          <w:sz w:val="23"/>
          <w:szCs w:val="23"/>
        </w:rPr>
        <w:t>[15]-[17]</w:t>
      </w:r>
      <w:r w:rsidR="008B0078" w:rsidRPr="00C41D73">
        <w:rPr>
          <w:rFonts w:ascii="Garamond" w:hAnsi="Garamond"/>
          <w:sz w:val="23"/>
          <w:szCs w:val="23"/>
        </w:rPr>
        <w:t>.</w:t>
      </w:r>
    </w:p>
    <w:p w:rsidR="003B48D8" w:rsidRPr="00C41D73" w:rsidRDefault="003B48D8" w:rsidP="008B0078">
      <w:pPr>
        <w:jc w:val="both"/>
        <w:rPr>
          <w:rFonts w:ascii="Garamond" w:hAnsi="Garamond"/>
          <w:sz w:val="23"/>
          <w:szCs w:val="23"/>
        </w:rPr>
      </w:pPr>
    </w:p>
    <w:p w:rsidR="00D6209A" w:rsidRPr="00C41D73" w:rsidRDefault="003B48D8" w:rsidP="008B0078">
      <w:pPr>
        <w:jc w:val="both"/>
        <w:rPr>
          <w:rFonts w:ascii="Garamond" w:hAnsi="Garamond"/>
          <w:sz w:val="23"/>
          <w:szCs w:val="23"/>
        </w:rPr>
      </w:pPr>
      <w:r w:rsidRPr="00C41D73">
        <w:rPr>
          <w:rFonts w:ascii="Garamond" w:hAnsi="Garamond"/>
          <w:sz w:val="23"/>
          <w:szCs w:val="23"/>
        </w:rPr>
        <w:t xml:space="preserve">In </w:t>
      </w:r>
      <w:r w:rsidR="00F6241E" w:rsidRPr="00C41D73">
        <w:rPr>
          <w:rFonts w:ascii="Garamond" w:hAnsi="Garamond"/>
          <w:sz w:val="23"/>
          <w:szCs w:val="23"/>
        </w:rPr>
        <w:t>the Supreme Court</w:t>
      </w:r>
      <w:r w:rsidRPr="00C41D73">
        <w:rPr>
          <w:rFonts w:ascii="Garamond" w:hAnsi="Garamond"/>
          <w:sz w:val="23"/>
          <w:szCs w:val="23"/>
        </w:rPr>
        <w:t xml:space="preserve">, the Home Secretary felt unable to defend the CA’s observations that Dr Zapata-Bravo had gone beyond his remit. In their difficult task of analysing whether scars are the result of torture, decision-makers can legitimately receive assistance from medical experts who feel able to offer an opinion about the consistency of their findings with the asylum-seeker’s account about the circumstances in which the scarring was sustained, not limited to the mechanism by which it was sustained. The CA’s suggestion that the references in the Istanbul Protocol to the </w:t>
      </w:r>
      <w:r w:rsidRPr="00C41D73">
        <w:rPr>
          <w:rFonts w:ascii="Garamond" w:hAnsi="Garamond"/>
          <w:i/>
          <w:sz w:val="23"/>
          <w:szCs w:val="23"/>
        </w:rPr>
        <w:t xml:space="preserve">“trauma described” </w:t>
      </w:r>
      <w:r w:rsidRPr="00C41D73">
        <w:rPr>
          <w:rFonts w:ascii="Garamond" w:hAnsi="Garamond"/>
          <w:sz w:val="23"/>
          <w:szCs w:val="23"/>
        </w:rPr>
        <w:t xml:space="preserve">relate only to the mechanism by which injury is said to have been caused is too narrow a construction of the word </w:t>
      </w:r>
      <w:r w:rsidRPr="00C41D73">
        <w:rPr>
          <w:rFonts w:ascii="Garamond" w:hAnsi="Garamond"/>
          <w:i/>
          <w:sz w:val="23"/>
          <w:szCs w:val="23"/>
        </w:rPr>
        <w:t>“trauma”</w:t>
      </w:r>
      <w:r w:rsidR="00F6241E" w:rsidRPr="00C41D73">
        <w:rPr>
          <w:rFonts w:ascii="Garamond" w:hAnsi="Garamond"/>
          <w:sz w:val="23"/>
          <w:szCs w:val="23"/>
        </w:rPr>
        <w:t xml:space="preserve"> </w:t>
      </w:r>
      <w:r w:rsidR="00F6241E" w:rsidRPr="00C41D73">
        <w:rPr>
          <w:rFonts w:ascii="Garamond" w:hAnsi="Garamond"/>
          <w:b/>
          <w:sz w:val="23"/>
          <w:szCs w:val="23"/>
        </w:rPr>
        <w:t>[20]-[21]</w:t>
      </w:r>
      <w:r w:rsidR="00F6241E" w:rsidRPr="00C41D73">
        <w:rPr>
          <w:rFonts w:ascii="Garamond" w:hAnsi="Garamond"/>
          <w:sz w:val="23"/>
          <w:szCs w:val="23"/>
        </w:rPr>
        <w:t>.</w:t>
      </w:r>
    </w:p>
    <w:p w:rsidR="00F6241E" w:rsidRPr="00C41D73" w:rsidRDefault="00F6241E" w:rsidP="008B0078">
      <w:pPr>
        <w:jc w:val="both"/>
        <w:rPr>
          <w:rFonts w:ascii="Garamond" w:hAnsi="Garamond"/>
          <w:sz w:val="23"/>
          <w:szCs w:val="23"/>
        </w:rPr>
      </w:pPr>
    </w:p>
    <w:p w:rsidR="00DB4BC1" w:rsidRPr="00C41D73" w:rsidRDefault="00287A78" w:rsidP="008B0078">
      <w:pPr>
        <w:jc w:val="both"/>
        <w:rPr>
          <w:rFonts w:ascii="Garamond" w:hAnsi="Garamond"/>
          <w:b/>
          <w:sz w:val="23"/>
          <w:szCs w:val="23"/>
        </w:rPr>
      </w:pPr>
      <w:r w:rsidRPr="00C41D73">
        <w:rPr>
          <w:rFonts w:ascii="Garamond" w:hAnsi="Garamond"/>
          <w:sz w:val="23"/>
          <w:szCs w:val="23"/>
        </w:rPr>
        <w:t>O</w:t>
      </w:r>
      <w:r w:rsidR="00D6209A" w:rsidRPr="00C41D73">
        <w:rPr>
          <w:rFonts w:ascii="Garamond" w:hAnsi="Garamond"/>
          <w:sz w:val="23"/>
          <w:szCs w:val="23"/>
        </w:rPr>
        <w:t xml:space="preserve">n the other hand, unless </w:t>
      </w:r>
      <w:r w:rsidR="009C4AB9" w:rsidRPr="00C41D73">
        <w:rPr>
          <w:rFonts w:ascii="Garamond" w:hAnsi="Garamond"/>
          <w:sz w:val="23"/>
          <w:szCs w:val="23"/>
        </w:rPr>
        <w:t>an</w:t>
      </w:r>
      <w:r w:rsidR="00D6209A" w:rsidRPr="00C41D73">
        <w:rPr>
          <w:rFonts w:ascii="Garamond" w:hAnsi="Garamond"/>
          <w:sz w:val="23"/>
          <w:szCs w:val="23"/>
        </w:rPr>
        <w:t xml:space="preserve"> expert finds that the trauma described is either </w:t>
      </w:r>
      <w:r w:rsidR="00D6209A" w:rsidRPr="00C41D73">
        <w:rPr>
          <w:rFonts w:ascii="Garamond" w:hAnsi="Garamond"/>
          <w:i/>
          <w:sz w:val="23"/>
          <w:szCs w:val="23"/>
        </w:rPr>
        <w:t xml:space="preserve">“not consistent with” </w:t>
      </w:r>
      <w:r w:rsidR="00D6209A" w:rsidRPr="00C41D73">
        <w:rPr>
          <w:rFonts w:ascii="Garamond" w:hAnsi="Garamond"/>
          <w:sz w:val="23"/>
          <w:szCs w:val="23"/>
        </w:rPr>
        <w:t xml:space="preserve">or </w:t>
      </w:r>
      <w:r w:rsidR="00D6209A" w:rsidRPr="00C41D73">
        <w:rPr>
          <w:rFonts w:ascii="Garamond" w:hAnsi="Garamond"/>
          <w:i/>
          <w:sz w:val="23"/>
          <w:szCs w:val="23"/>
        </w:rPr>
        <w:t xml:space="preserve">“diagnostic of” </w:t>
      </w:r>
      <w:r w:rsidR="00D6209A" w:rsidRPr="00C41D73">
        <w:rPr>
          <w:rFonts w:ascii="Garamond" w:hAnsi="Garamond"/>
          <w:sz w:val="23"/>
          <w:szCs w:val="23"/>
        </w:rPr>
        <w:t xml:space="preserve">the </w:t>
      </w:r>
      <w:r w:rsidR="009C4AB9" w:rsidRPr="00C41D73">
        <w:rPr>
          <w:rFonts w:ascii="Garamond" w:hAnsi="Garamond"/>
          <w:sz w:val="23"/>
          <w:szCs w:val="23"/>
        </w:rPr>
        <w:t xml:space="preserve">alleged </w:t>
      </w:r>
      <w:r w:rsidR="00D6209A" w:rsidRPr="00C41D73">
        <w:rPr>
          <w:rFonts w:ascii="Garamond" w:hAnsi="Garamond"/>
          <w:sz w:val="23"/>
          <w:szCs w:val="23"/>
        </w:rPr>
        <w:t xml:space="preserve">torture, it would be beyond </w:t>
      </w:r>
      <w:r w:rsidR="009C4AB9" w:rsidRPr="00C41D73">
        <w:rPr>
          <w:rFonts w:ascii="Garamond" w:hAnsi="Garamond"/>
          <w:sz w:val="23"/>
          <w:szCs w:val="23"/>
        </w:rPr>
        <w:t>his or her</w:t>
      </w:r>
      <w:r w:rsidR="00D6209A" w:rsidRPr="00C41D73">
        <w:rPr>
          <w:rFonts w:ascii="Garamond" w:hAnsi="Garamond"/>
          <w:sz w:val="23"/>
          <w:szCs w:val="23"/>
        </w:rPr>
        <w:t xml:space="preserve"> remit to state that </w:t>
      </w:r>
      <w:r w:rsidR="009C4AB9" w:rsidRPr="00C41D73">
        <w:rPr>
          <w:rFonts w:ascii="Garamond" w:hAnsi="Garamond"/>
          <w:sz w:val="23"/>
          <w:szCs w:val="23"/>
        </w:rPr>
        <w:t>he or she</w:t>
      </w:r>
      <w:r w:rsidR="00D6209A" w:rsidRPr="00C41D73">
        <w:rPr>
          <w:rFonts w:ascii="Garamond" w:hAnsi="Garamond"/>
          <w:sz w:val="23"/>
          <w:szCs w:val="23"/>
        </w:rPr>
        <w:t xml:space="preserve"> </w:t>
      </w:r>
      <w:r w:rsidR="00D6209A" w:rsidRPr="00C41D73">
        <w:rPr>
          <w:rFonts w:ascii="Garamond" w:hAnsi="Garamond"/>
          <w:i/>
          <w:sz w:val="23"/>
          <w:szCs w:val="23"/>
        </w:rPr>
        <w:t xml:space="preserve">“believed” </w:t>
      </w:r>
      <w:r w:rsidR="00D6209A" w:rsidRPr="00C41D73">
        <w:rPr>
          <w:rFonts w:ascii="Garamond" w:hAnsi="Garamond"/>
          <w:sz w:val="23"/>
          <w:szCs w:val="23"/>
        </w:rPr>
        <w:t xml:space="preserve">the appellant. The conclusion about credibility always rests with the decision-maker following a survey of all the evidence </w:t>
      </w:r>
      <w:r w:rsidR="00D6209A" w:rsidRPr="00C41D73">
        <w:rPr>
          <w:rFonts w:ascii="Garamond" w:hAnsi="Garamond"/>
          <w:b/>
          <w:sz w:val="23"/>
          <w:szCs w:val="23"/>
        </w:rPr>
        <w:t>[25]</w:t>
      </w:r>
      <w:r w:rsidR="00D6209A" w:rsidRPr="00C41D73">
        <w:rPr>
          <w:rFonts w:ascii="Garamond" w:hAnsi="Garamond"/>
          <w:sz w:val="23"/>
          <w:szCs w:val="23"/>
        </w:rPr>
        <w:t>.</w:t>
      </w:r>
    </w:p>
    <w:p w:rsidR="00DB4BC1" w:rsidRPr="00C41D73" w:rsidRDefault="00DB4BC1" w:rsidP="008B0078">
      <w:pPr>
        <w:jc w:val="both"/>
        <w:rPr>
          <w:rFonts w:ascii="Garamond" w:hAnsi="Garamond"/>
          <w:sz w:val="23"/>
          <w:szCs w:val="23"/>
        </w:rPr>
      </w:pPr>
    </w:p>
    <w:p w:rsidR="00440D64" w:rsidRPr="00C41D73" w:rsidRDefault="00690D5F" w:rsidP="008B0078">
      <w:pPr>
        <w:jc w:val="both"/>
        <w:rPr>
          <w:rFonts w:ascii="Garamond" w:hAnsi="Garamond"/>
          <w:sz w:val="23"/>
          <w:szCs w:val="23"/>
        </w:rPr>
      </w:pPr>
      <w:r w:rsidRPr="00C41D73">
        <w:rPr>
          <w:rFonts w:ascii="Garamond" w:hAnsi="Garamond"/>
          <w:sz w:val="23"/>
          <w:szCs w:val="23"/>
        </w:rPr>
        <w:t>This approach is consistent with that of the Court of Appeal in a previous case</w:t>
      </w:r>
      <w:r w:rsidR="00D6209A" w:rsidRPr="00C41D73">
        <w:rPr>
          <w:rFonts w:ascii="Garamond" w:hAnsi="Garamond"/>
          <w:sz w:val="23"/>
          <w:szCs w:val="23"/>
        </w:rPr>
        <w:t xml:space="preserve"> of alleged torture</w:t>
      </w:r>
      <w:r w:rsidRPr="00C41D73">
        <w:rPr>
          <w:rFonts w:ascii="Garamond" w:hAnsi="Garamond"/>
          <w:sz w:val="23"/>
          <w:szCs w:val="23"/>
        </w:rPr>
        <w:t xml:space="preserve">, and that of the European Court of Human Rights </w:t>
      </w:r>
      <w:r w:rsidRPr="00C41D73">
        <w:rPr>
          <w:rFonts w:ascii="Garamond" w:hAnsi="Garamond"/>
          <w:b/>
          <w:sz w:val="23"/>
          <w:szCs w:val="23"/>
        </w:rPr>
        <w:t>[22]-[23]</w:t>
      </w:r>
      <w:r w:rsidRPr="00C41D73">
        <w:rPr>
          <w:rFonts w:ascii="Garamond" w:hAnsi="Garamond"/>
          <w:sz w:val="23"/>
          <w:szCs w:val="23"/>
        </w:rPr>
        <w:t>.</w:t>
      </w:r>
      <w:r w:rsidR="00D6209A" w:rsidRPr="00C41D73">
        <w:rPr>
          <w:rFonts w:ascii="Garamond" w:hAnsi="Garamond"/>
          <w:sz w:val="23"/>
          <w:szCs w:val="23"/>
        </w:rPr>
        <w:t xml:space="preserve"> </w:t>
      </w:r>
      <w:r w:rsidR="00B4638F" w:rsidRPr="00C41D73">
        <w:rPr>
          <w:rFonts w:ascii="Garamond" w:hAnsi="Garamond"/>
          <w:sz w:val="23"/>
          <w:szCs w:val="23"/>
        </w:rPr>
        <w:t>An expert investigating</w:t>
      </w:r>
      <w:r w:rsidR="00D6209A" w:rsidRPr="00C41D73">
        <w:rPr>
          <w:rFonts w:ascii="Garamond" w:hAnsi="Garamond"/>
          <w:sz w:val="23"/>
          <w:szCs w:val="23"/>
        </w:rPr>
        <w:t xml:space="preserve"> an allegation of torture</w:t>
      </w:r>
      <w:r w:rsidR="00B4638F" w:rsidRPr="00C41D73">
        <w:rPr>
          <w:rFonts w:ascii="Garamond" w:hAnsi="Garamond"/>
          <w:sz w:val="23"/>
          <w:szCs w:val="23"/>
        </w:rPr>
        <w:t xml:space="preserve"> </w:t>
      </w:r>
      <w:r w:rsidR="00D6209A" w:rsidRPr="00C41D73">
        <w:rPr>
          <w:rFonts w:ascii="Garamond" w:hAnsi="Garamond"/>
          <w:sz w:val="23"/>
          <w:szCs w:val="23"/>
        </w:rPr>
        <w:t xml:space="preserve">should recognise the Istanbul Protocol as equally authoritative to the relevant Practice Direction </w:t>
      </w:r>
      <w:r w:rsidR="00B4638F" w:rsidRPr="00C41D73">
        <w:rPr>
          <w:rFonts w:ascii="Garamond" w:hAnsi="Garamond"/>
          <w:sz w:val="23"/>
          <w:szCs w:val="23"/>
        </w:rPr>
        <w:t>on expert</w:t>
      </w:r>
      <w:r w:rsidR="009C4AB9" w:rsidRPr="00C41D73">
        <w:rPr>
          <w:rFonts w:ascii="Garamond" w:hAnsi="Garamond"/>
          <w:sz w:val="23"/>
          <w:szCs w:val="23"/>
        </w:rPr>
        <w:t xml:space="preserve"> </w:t>
      </w:r>
      <w:r w:rsidR="00B4638F" w:rsidRPr="00C41D73">
        <w:rPr>
          <w:rFonts w:ascii="Garamond" w:hAnsi="Garamond"/>
          <w:sz w:val="23"/>
          <w:szCs w:val="23"/>
        </w:rPr>
        <w:t xml:space="preserve">evidence </w:t>
      </w:r>
      <w:r w:rsidR="00D6209A" w:rsidRPr="00C41D73">
        <w:rPr>
          <w:rFonts w:ascii="Garamond" w:hAnsi="Garamond"/>
          <w:sz w:val="23"/>
          <w:szCs w:val="23"/>
        </w:rPr>
        <w:t>in immigration and asylum cases</w:t>
      </w:r>
      <w:r w:rsidR="009C4AB9" w:rsidRPr="00C41D73">
        <w:rPr>
          <w:rFonts w:ascii="Garamond" w:hAnsi="Garamond"/>
          <w:sz w:val="23"/>
          <w:szCs w:val="23"/>
        </w:rPr>
        <w:t xml:space="preserve"> at the FTT and the tribunal</w:t>
      </w:r>
      <w:r w:rsidR="00D6209A" w:rsidRPr="00C41D73">
        <w:rPr>
          <w:rFonts w:ascii="Garamond" w:hAnsi="Garamond"/>
          <w:sz w:val="23"/>
          <w:szCs w:val="23"/>
        </w:rPr>
        <w:t xml:space="preserve"> </w:t>
      </w:r>
      <w:r w:rsidR="00D6209A" w:rsidRPr="00C41D73">
        <w:rPr>
          <w:rFonts w:ascii="Garamond" w:hAnsi="Garamond"/>
          <w:b/>
          <w:sz w:val="23"/>
          <w:szCs w:val="23"/>
        </w:rPr>
        <w:t>[24]</w:t>
      </w:r>
      <w:r w:rsidR="00D6209A" w:rsidRPr="00C41D73">
        <w:rPr>
          <w:rFonts w:ascii="Garamond" w:hAnsi="Garamond"/>
          <w:sz w:val="23"/>
          <w:szCs w:val="23"/>
        </w:rPr>
        <w:t xml:space="preserve">. </w:t>
      </w:r>
    </w:p>
    <w:p w:rsidR="003B48D8" w:rsidRPr="00C41D73" w:rsidRDefault="003B48D8" w:rsidP="008B0078">
      <w:pPr>
        <w:jc w:val="both"/>
        <w:rPr>
          <w:rFonts w:ascii="Garamond" w:hAnsi="Garamond"/>
          <w:sz w:val="23"/>
          <w:szCs w:val="23"/>
        </w:rPr>
      </w:pPr>
    </w:p>
    <w:p w:rsidR="00B45E02" w:rsidRPr="00C41D73" w:rsidRDefault="00B3115F" w:rsidP="008B0078">
      <w:pPr>
        <w:jc w:val="both"/>
        <w:rPr>
          <w:rFonts w:ascii="Garamond" w:hAnsi="Garamond"/>
          <w:sz w:val="23"/>
          <w:szCs w:val="23"/>
        </w:rPr>
      </w:pPr>
      <w:r w:rsidRPr="00C41D73">
        <w:rPr>
          <w:rFonts w:ascii="Garamond" w:hAnsi="Garamond"/>
          <w:sz w:val="23"/>
          <w:szCs w:val="23"/>
        </w:rPr>
        <w:t xml:space="preserve">As for the decision of the tribunal, </w:t>
      </w:r>
      <w:r w:rsidR="002B7A9A" w:rsidRPr="00C41D73">
        <w:rPr>
          <w:rFonts w:ascii="Garamond" w:hAnsi="Garamond"/>
          <w:sz w:val="23"/>
          <w:szCs w:val="23"/>
        </w:rPr>
        <w:t xml:space="preserve">Elias LJ in his dissenting judgment had noted various problems </w:t>
      </w:r>
      <w:r w:rsidR="00B4638F" w:rsidRPr="00C41D73">
        <w:rPr>
          <w:rFonts w:ascii="Garamond" w:hAnsi="Garamond"/>
          <w:sz w:val="23"/>
          <w:szCs w:val="23"/>
        </w:rPr>
        <w:t>with the tribunal’s reasons for rejecting KV’s account of torture</w:t>
      </w:r>
      <w:r w:rsidR="00B4638F" w:rsidRPr="00C41D73">
        <w:rPr>
          <w:rFonts w:ascii="Garamond" w:hAnsi="Garamond"/>
          <w:b/>
          <w:sz w:val="23"/>
          <w:szCs w:val="23"/>
        </w:rPr>
        <w:t xml:space="preserve"> [</w:t>
      </w:r>
      <w:r w:rsidR="00C257EC" w:rsidRPr="00C41D73">
        <w:rPr>
          <w:rFonts w:ascii="Garamond" w:hAnsi="Garamond"/>
          <w:b/>
          <w:sz w:val="23"/>
          <w:szCs w:val="23"/>
        </w:rPr>
        <w:t>26]</w:t>
      </w:r>
      <w:r w:rsidR="00C257EC" w:rsidRPr="00C41D73">
        <w:rPr>
          <w:rFonts w:ascii="Garamond" w:hAnsi="Garamond"/>
          <w:sz w:val="23"/>
          <w:szCs w:val="23"/>
        </w:rPr>
        <w:t xml:space="preserve">. In particular, the tribunal’s summary of the doctor’s evidence </w:t>
      </w:r>
      <w:r w:rsidR="009C4AB9" w:rsidRPr="00C41D73">
        <w:rPr>
          <w:rFonts w:ascii="Garamond" w:hAnsi="Garamond"/>
          <w:sz w:val="23"/>
          <w:szCs w:val="23"/>
        </w:rPr>
        <w:t xml:space="preserve">lacked apparent awareness that the </w:t>
      </w:r>
      <w:r w:rsidR="00C257EC" w:rsidRPr="00C41D73">
        <w:rPr>
          <w:rFonts w:ascii="Garamond" w:hAnsi="Garamond"/>
          <w:sz w:val="23"/>
          <w:szCs w:val="23"/>
        </w:rPr>
        <w:t xml:space="preserve">scarring with precise edging </w:t>
      </w:r>
      <w:r w:rsidR="009C4AB9" w:rsidRPr="00C41D73">
        <w:rPr>
          <w:rFonts w:ascii="Garamond" w:hAnsi="Garamond"/>
          <w:sz w:val="23"/>
          <w:szCs w:val="23"/>
        </w:rPr>
        <w:t xml:space="preserve">was </w:t>
      </w:r>
      <w:r w:rsidR="00803548" w:rsidRPr="00C41D73">
        <w:rPr>
          <w:rFonts w:ascii="Garamond" w:hAnsi="Garamond"/>
          <w:sz w:val="23"/>
          <w:szCs w:val="23"/>
        </w:rPr>
        <w:t xml:space="preserve">only on </w:t>
      </w:r>
      <w:r w:rsidR="00C257EC" w:rsidRPr="00C41D73">
        <w:rPr>
          <w:rFonts w:ascii="Garamond" w:hAnsi="Garamond"/>
          <w:sz w:val="23"/>
          <w:szCs w:val="23"/>
        </w:rPr>
        <w:t>KV’s back, an</w:t>
      </w:r>
      <w:r w:rsidR="00F74F1F" w:rsidRPr="00C41D73">
        <w:rPr>
          <w:rFonts w:ascii="Garamond" w:hAnsi="Garamond"/>
          <w:sz w:val="23"/>
          <w:szCs w:val="23"/>
        </w:rPr>
        <w:t>d addressed a hypothesis</w:t>
      </w:r>
      <w:r w:rsidR="00803548" w:rsidRPr="00C41D73">
        <w:rPr>
          <w:rFonts w:ascii="Garamond" w:hAnsi="Garamond"/>
          <w:sz w:val="23"/>
          <w:szCs w:val="23"/>
        </w:rPr>
        <w:t>,</w:t>
      </w:r>
      <w:r w:rsidR="00F74F1F" w:rsidRPr="00C41D73">
        <w:rPr>
          <w:rFonts w:ascii="Garamond" w:hAnsi="Garamond"/>
          <w:sz w:val="23"/>
          <w:szCs w:val="23"/>
        </w:rPr>
        <w:t xml:space="preserve"> </w:t>
      </w:r>
      <w:r w:rsidR="00803548" w:rsidRPr="00C41D73">
        <w:rPr>
          <w:rFonts w:ascii="Garamond" w:hAnsi="Garamond"/>
          <w:sz w:val="23"/>
          <w:szCs w:val="23"/>
        </w:rPr>
        <w:t>not advanced by the</w:t>
      </w:r>
      <w:r w:rsidR="00F74F1F" w:rsidRPr="00C41D73">
        <w:rPr>
          <w:rFonts w:ascii="Garamond" w:hAnsi="Garamond"/>
          <w:sz w:val="23"/>
          <w:szCs w:val="23"/>
        </w:rPr>
        <w:t xml:space="preserve"> doctor </w:t>
      </w:r>
      <w:r w:rsidR="00803548" w:rsidRPr="00C41D73">
        <w:rPr>
          <w:rFonts w:ascii="Garamond" w:hAnsi="Garamond"/>
          <w:sz w:val="23"/>
          <w:szCs w:val="23"/>
        </w:rPr>
        <w:t>or</w:t>
      </w:r>
      <w:r w:rsidR="00F74F1F" w:rsidRPr="00C41D73">
        <w:rPr>
          <w:rFonts w:ascii="Garamond" w:hAnsi="Garamond"/>
          <w:sz w:val="23"/>
          <w:szCs w:val="23"/>
        </w:rPr>
        <w:t xml:space="preserve"> KV, that KV </w:t>
      </w:r>
      <w:r w:rsidR="007F33BA" w:rsidRPr="00C41D73">
        <w:rPr>
          <w:rFonts w:ascii="Garamond" w:hAnsi="Garamond"/>
          <w:sz w:val="23"/>
          <w:szCs w:val="23"/>
        </w:rPr>
        <w:t>was</w:t>
      </w:r>
      <w:r w:rsidR="00F74F1F" w:rsidRPr="00C41D73">
        <w:rPr>
          <w:rFonts w:ascii="Garamond" w:hAnsi="Garamond"/>
          <w:sz w:val="23"/>
          <w:szCs w:val="23"/>
        </w:rPr>
        <w:t xml:space="preserve"> unconscious while the hot metal rods were applied to his arms as well as to his back </w:t>
      </w:r>
      <w:r w:rsidR="00F74F1F" w:rsidRPr="00C41D73">
        <w:rPr>
          <w:rFonts w:ascii="Garamond" w:hAnsi="Garamond"/>
          <w:b/>
          <w:sz w:val="23"/>
          <w:szCs w:val="23"/>
        </w:rPr>
        <w:t>[28]</w:t>
      </w:r>
      <w:r w:rsidR="00F74F1F" w:rsidRPr="00C41D73">
        <w:rPr>
          <w:rFonts w:ascii="Garamond" w:hAnsi="Garamond"/>
          <w:sz w:val="23"/>
          <w:szCs w:val="23"/>
        </w:rPr>
        <w:t xml:space="preserve">. </w:t>
      </w:r>
    </w:p>
    <w:p w:rsidR="00B45E02" w:rsidRPr="00C41D73" w:rsidRDefault="00B45E02" w:rsidP="008B0078">
      <w:pPr>
        <w:jc w:val="both"/>
        <w:rPr>
          <w:rFonts w:ascii="Garamond" w:hAnsi="Garamond"/>
          <w:sz w:val="23"/>
          <w:szCs w:val="23"/>
        </w:rPr>
      </w:pPr>
    </w:p>
    <w:p w:rsidR="00B45E02" w:rsidRPr="00C41D73" w:rsidRDefault="007F33BA" w:rsidP="008B0078">
      <w:pPr>
        <w:jc w:val="both"/>
        <w:rPr>
          <w:rFonts w:ascii="Garamond" w:hAnsi="Garamond"/>
          <w:sz w:val="23"/>
          <w:szCs w:val="23"/>
        </w:rPr>
      </w:pPr>
      <w:r w:rsidRPr="00C41D73">
        <w:rPr>
          <w:rFonts w:ascii="Garamond" w:hAnsi="Garamond"/>
          <w:sz w:val="23"/>
          <w:szCs w:val="23"/>
        </w:rPr>
        <w:t>Given</w:t>
      </w:r>
      <w:r w:rsidR="00B45E02" w:rsidRPr="00C41D73">
        <w:rPr>
          <w:rFonts w:ascii="Garamond" w:hAnsi="Garamond"/>
          <w:sz w:val="23"/>
          <w:szCs w:val="23"/>
        </w:rPr>
        <w:t xml:space="preserve"> KV’s serious lack of credibility in several areas, the tribunal was correct to address the possibility of wounding SIPB. </w:t>
      </w:r>
      <w:r w:rsidRPr="00C41D73">
        <w:rPr>
          <w:rFonts w:ascii="Garamond" w:hAnsi="Garamond"/>
          <w:sz w:val="23"/>
          <w:szCs w:val="23"/>
        </w:rPr>
        <w:t xml:space="preserve">However, </w:t>
      </w:r>
      <w:r w:rsidR="00B45E02" w:rsidRPr="00C41D73">
        <w:rPr>
          <w:rFonts w:ascii="Garamond" w:hAnsi="Garamond"/>
          <w:sz w:val="23"/>
          <w:szCs w:val="23"/>
        </w:rPr>
        <w:t>when the tribunal concluded that there were only two real possibilities – either that KV had been tortured or that the wounding was SIBP</w:t>
      </w:r>
      <w:r w:rsidR="00287A78" w:rsidRPr="00C41D73">
        <w:rPr>
          <w:rFonts w:ascii="Garamond" w:hAnsi="Garamond"/>
          <w:sz w:val="23"/>
          <w:szCs w:val="23"/>
        </w:rPr>
        <w:t xml:space="preserve"> – and when it rejected the former, </w:t>
      </w:r>
      <w:r w:rsidR="00B45E02" w:rsidRPr="00C41D73">
        <w:rPr>
          <w:rFonts w:ascii="Garamond" w:hAnsi="Garamond"/>
          <w:sz w:val="23"/>
          <w:szCs w:val="23"/>
        </w:rPr>
        <w:t xml:space="preserve">it failed to take into account the fact that self-infliction of wounds is inherently unlikely. There </w:t>
      </w:r>
      <w:r w:rsidR="002F4C80" w:rsidRPr="00C41D73">
        <w:rPr>
          <w:rFonts w:ascii="Garamond" w:hAnsi="Garamond"/>
          <w:sz w:val="23"/>
          <w:szCs w:val="23"/>
        </w:rPr>
        <w:t>is</w:t>
      </w:r>
      <w:r w:rsidR="00B45E02" w:rsidRPr="00C41D73">
        <w:rPr>
          <w:rFonts w:ascii="Garamond" w:hAnsi="Garamond"/>
          <w:sz w:val="23"/>
          <w:szCs w:val="23"/>
        </w:rPr>
        <w:t xml:space="preserve"> evidence of extensive torture by state forces in Sri Lanka at the relevant time. By contrast, evidence of wounding SIBP on the part of asylum-seekers </w:t>
      </w:r>
      <w:r w:rsidR="002F4C80" w:rsidRPr="00C41D73">
        <w:rPr>
          <w:rFonts w:ascii="Garamond" w:hAnsi="Garamond"/>
          <w:sz w:val="23"/>
          <w:szCs w:val="23"/>
        </w:rPr>
        <w:t>is</w:t>
      </w:r>
      <w:r w:rsidR="00B45E02" w:rsidRPr="00C41D73">
        <w:rPr>
          <w:rFonts w:ascii="Garamond" w:hAnsi="Garamond"/>
          <w:sz w:val="23"/>
          <w:szCs w:val="23"/>
        </w:rPr>
        <w:t xml:space="preserve"> almost non-existent. </w:t>
      </w:r>
      <w:r w:rsidRPr="00C41D73">
        <w:rPr>
          <w:rFonts w:ascii="Garamond" w:hAnsi="Garamond"/>
          <w:sz w:val="23"/>
          <w:szCs w:val="23"/>
        </w:rPr>
        <w:t xml:space="preserve">It is an extreme measure for a person to decide to cause himself deep injury and severe pain. Moreover, if KV’s wounding was SIBP, the wounds on his back could only have been inflicted under anaesthetic so he would have needed the assistance of someone with medical expertise. The Supreme Court approves Elias LJ’s view that very considerable weight should be given to the fact that injuries which are SIBP are likely to be extremely rare </w:t>
      </w:r>
      <w:r w:rsidR="00B45E02" w:rsidRPr="00C41D73">
        <w:rPr>
          <w:rFonts w:ascii="Garamond" w:hAnsi="Garamond"/>
          <w:b/>
          <w:sz w:val="23"/>
          <w:szCs w:val="23"/>
        </w:rPr>
        <w:t>[31</w:t>
      </w:r>
      <w:r w:rsidR="002F4C80" w:rsidRPr="00C41D73">
        <w:rPr>
          <w:rFonts w:ascii="Garamond" w:hAnsi="Garamond"/>
          <w:b/>
          <w:sz w:val="23"/>
          <w:szCs w:val="23"/>
        </w:rPr>
        <w:t>]</w:t>
      </w:r>
      <w:r w:rsidR="00B45E02" w:rsidRPr="00C41D73">
        <w:rPr>
          <w:rFonts w:ascii="Garamond" w:hAnsi="Garamond"/>
          <w:b/>
          <w:sz w:val="23"/>
          <w:szCs w:val="23"/>
        </w:rPr>
        <w:t>-</w:t>
      </w:r>
      <w:r w:rsidR="002F4C80" w:rsidRPr="00C41D73">
        <w:rPr>
          <w:rFonts w:ascii="Garamond" w:hAnsi="Garamond"/>
          <w:b/>
          <w:sz w:val="23"/>
          <w:szCs w:val="23"/>
        </w:rPr>
        <w:t>[</w:t>
      </w:r>
      <w:r w:rsidR="00B45E02" w:rsidRPr="00C41D73">
        <w:rPr>
          <w:rFonts w:ascii="Garamond" w:hAnsi="Garamond"/>
          <w:b/>
          <w:sz w:val="23"/>
          <w:szCs w:val="23"/>
        </w:rPr>
        <w:t>35]</w:t>
      </w:r>
      <w:r w:rsidR="00B45E02" w:rsidRPr="00C41D73">
        <w:rPr>
          <w:rFonts w:ascii="Garamond" w:hAnsi="Garamond"/>
          <w:sz w:val="23"/>
          <w:szCs w:val="23"/>
        </w:rPr>
        <w:t xml:space="preserve">. </w:t>
      </w:r>
    </w:p>
    <w:p w:rsidR="008B0078" w:rsidRPr="004A78F4" w:rsidRDefault="008B0078" w:rsidP="00A16C02">
      <w:pPr>
        <w:rPr>
          <w:rFonts w:ascii="Garamond" w:hAnsi="Garamond"/>
          <w:sz w:val="22"/>
          <w:szCs w:val="22"/>
        </w:rPr>
      </w:pPr>
    </w:p>
    <w:p w:rsidR="002F76F2" w:rsidRPr="004A78F4" w:rsidRDefault="00566BC2" w:rsidP="009621B7">
      <w:pPr>
        <w:rPr>
          <w:rFonts w:ascii="Garamond" w:hAnsi="Garamond"/>
          <w:sz w:val="22"/>
          <w:szCs w:val="22"/>
        </w:rPr>
      </w:pPr>
      <w:r w:rsidRPr="004A78F4">
        <w:rPr>
          <w:rFonts w:ascii="Garamond" w:hAnsi="Garamond"/>
          <w:i/>
          <w:sz w:val="22"/>
          <w:szCs w:val="22"/>
        </w:rPr>
        <w:t>References in square brackets are to paragraphs in the judgment</w:t>
      </w:r>
    </w:p>
    <w:p w:rsidR="00A16C02" w:rsidRPr="004A78F4" w:rsidRDefault="00A16C02" w:rsidP="009621B7">
      <w:pPr>
        <w:rPr>
          <w:rFonts w:ascii="Garamond" w:hAnsi="Garamond"/>
          <w:b/>
          <w:sz w:val="22"/>
          <w:szCs w:val="22"/>
          <w:u w:val="single"/>
        </w:rPr>
      </w:pPr>
      <w:r w:rsidRPr="004A78F4">
        <w:rPr>
          <w:rFonts w:ascii="Garamond" w:hAnsi="Garamond"/>
          <w:b/>
          <w:sz w:val="22"/>
          <w:szCs w:val="22"/>
          <w:u w:val="single"/>
        </w:rPr>
        <w:t>NOTE</w:t>
      </w:r>
    </w:p>
    <w:p w:rsidR="00A16C02" w:rsidRPr="004A78F4" w:rsidRDefault="00A16C02" w:rsidP="00A16C02">
      <w:pPr>
        <w:rPr>
          <w:rFonts w:ascii="Garamond" w:hAnsi="Garamond"/>
          <w:b/>
          <w:sz w:val="22"/>
          <w:szCs w:val="22"/>
        </w:rPr>
      </w:pPr>
      <w:r w:rsidRPr="004A78F4">
        <w:rPr>
          <w:rFonts w:ascii="Garamond" w:hAnsi="Garamond"/>
          <w:b/>
          <w:sz w:val="22"/>
          <w:szCs w:val="22"/>
        </w:rPr>
        <w:t>This summary is provided to assist in understanding the Court’s decision.  It does not form part of the reasons for the decision.  The full judgment of the Court is the only</w:t>
      </w:r>
      <w:r w:rsidR="004B0054" w:rsidRPr="004A78F4">
        <w:rPr>
          <w:rFonts w:ascii="Garamond" w:hAnsi="Garamond"/>
          <w:b/>
          <w:sz w:val="22"/>
          <w:szCs w:val="22"/>
        </w:rPr>
        <w:t xml:space="preserve"> authoritative document.   Judg</w:t>
      </w:r>
      <w:r w:rsidRPr="004A78F4">
        <w:rPr>
          <w:rFonts w:ascii="Garamond" w:hAnsi="Garamond"/>
          <w:b/>
          <w:sz w:val="22"/>
          <w:szCs w:val="22"/>
        </w:rPr>
        <w:t>ments are public documents and are available at:</w:t>
      </w:r>
    </w:p>
    <w:p w:rsidR="006D6D23" w:rsidRPr="004A78F4" w:rsidRDefault="00677EF9" w:rsidP="004F156B">
      <w:pPr>
        <w:rPr>
          <w:rFonts w:ascii="Garamond" w:hAnsi="Garamond"/>
          <w:sz w:val="22"/>
          <w:szCs w:val="22"/>
        </w:rPr>
      </w:pPr>
      <w:hyperlink r:id="rId11" w:history="1">
        <w:r w:rsidRPr="004A78F4">
          <w:rPr>
            <w:rStyle w:val="Hyperlink"/>
            <w:rFonts w:ascii="Garamond" w:hAnsi="Garamond"/>
            <w:sz w:val="22"/>
            <w:szCs w:val="22"/>
          </w:rPr>
          <w:t>http://supre</w:t>
        </w:r>
        <w:r w:rsidR="00305E6A" w:rsidRPr="004A78F4">
          <w:rPr>
            <w:rStyle w:val="Hyperlink"/>
            <w:rFonts w:ascii="Garamond" w:hAnsi="Garamond"/>
            <w:sz w:val="22"/>
            <w:szCs w:val="22"/>
          </w:rPr>
          <w:t>mecourt.uk/decided-cases/index.</w:t>
        </w:r>
        <w:r w:rsidRPr="004A78F4">
          <w:rPr>
            <w:rStyle w:val="Hyperlink"/>
            <w:rFonts w:ascii="Garamond" w:hAnsi="Garamond"/>
            <w:sz w:val="22"/>
            <w:szCs w:val="22"/>
          </w:rPr>
          <w:t>html</w:t>
        </w:r>
      </w:hyperlink>
      <w:r w:rsidRPr="004A78F4">
        <w:rPr>
          <w:rFonts w:ascii="Garamond" w:hAnsi="Garamond"/>
          <w:sz w:val="22"/>
          <w:szCs w:val="22"/>
        </w:rPr>
        <w:t xml:space="preserve"> </w:t>
      </w:r>
      <w:r w:rsidR="00B73D9F" w:rsidRPr="004A78F4">
        <w:rPr>
          <w:rFonts w:ascii="Garamond" w:hAnsi="Garamond"/>
          <w:sz w:val="22"/>
          <w:szCs w:val="22"/>
        </w:rPr>
        <w:t xml:space="preserve"> </w:t>
      </w:r>
      <w:r w:rsidR="004F156B" w:rsidRPr="004A78F4">
        <w:rPr>
          <w:rFonts w:ascii="Garamond" w:hAnsi="Garamond"/>
          <w:sz w:val="22"/>
          <w:szCs w:val="22"/>
        </w:rPr>
        <w:t xml:space="preserve">  </w:t>
      </w:r>
    </w:p>
    <w:sectPr w:rsidR="006D6D23" w:rsidRPr="004A78F4" w:rsidSect="00437284">
      <w:footerReference w:type="default" r:id="rId12"/>
      <w:pgSz w:w="11906" w:h="16838" w:code="9"/>
      <w:pgMar w:top="567" w:right="964" w:bottom="964" w:left="232" w:header="0" w:footer="0"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046A" w:rsidRDefault="0024046A">
      <w:r>
        <w:separator/>
      </w:r>
    </w:p>
  </w:endnote>
  <w:endnote w:type="continuationSeparator" w:id="0">
    <w:p w:rsidR="0024046A" w:rsidRDefault="00240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haker 2 Regular">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638F" w:rsidRDefault="00B4638F" w:rsidP="00ED05C2">
    <w:pPr>
      <w:pStyle w:val="Footer"/>
      <w:jc w:val="center"/>
      <w:rPr>
        <w:rFonts w:ascii="Shaker 2 Regular" w:hAnsi="Shaker 2 Regular"/>
        <w:b/>
        <w:sz w:val="20"/>
      </w:rPr>
    </w:pPr>
    <w:r w:rsidRPr="00821EB9">
      <w:rPr>
        <w:rFonts w:ascii="Shaker 2 Regular" w:hAnsi="Shaker 2 Regular"/>
        <w:b/>
        <w:sz w:val="20"/>
      </w:rPr>
      <w:t>The Supreme Court of the United Kingdom</w:t>
    </w:r>
  </w:p>
  <w:p w:rsidR="00B4638F" w:rsidRPr="00821EB9" w:rsidRDefault="00B4638F" w:rsidP="00ED05C2">
    <w:pPr>
      <w:pStyle w:val="Footer"/>
      <w:jc w:val="center"/>
      <w:rPr>
        <w:rFonts w:ascii="Shaker 2 Regular" w:hAnsi="Shaker 2 Regular"/>
        <w:sz w:val="20"/>
      </w:rPr>
    </w:pPr>
    <w:r w:rsidRPr="00821EB9">
      <w:rPr>
        <w:rFonts w:ascii="Shaker 2 Regular" w:hAnsi="Shaker 2 Regular"/>
        <w:b/>
        <w:sz w:val="20"/>
      </w:rPr>
      <w:t xml:space="preserve"> </w:t>
    </w:r>
    <w:r w:rsidRPr="00821EB9">
      <w:rPr>
        <w:rFonts w:ascii="Shaker 2 Regular" w:hAnsi="Shaker 2 Regular"/>
        <w:sz w:val="20"/>
      </w:rPr>
      <w:t xml:space="preserve">Parliament Square London SW1P 3BD </w:t>
    </w:r>
    <w:r w:rsidRPr="00821EB9">
      <w:rPr>
        <w:rFonts w:ascii="Shaker 2 Regular" w:hAnsi="Shaker 2 Regular"/>
        <w:b/>
        <w:sz w:val="20"/>
      </w:rPr>
      <w:t xml:space="preserve">T: </w:t>
    </w:r>
    <w:r>
      <w:rPr>
        <w:rFonts w:ascii="Shaker 2 Regular" w:hAnsi="Shaker 2 Regular"/>
        <w:sz w:val="20"/>
      </w:rPr>
      <w:t>020 7960 1886/1887</w:t>
    </w:r>
    <w:r w:rsidRPr="00821EB9">
      <w:rPr>
        <w:rFonts w:ascii="Shaker 2 Regular" w:hAnsi="Shaker 2 Regular"/>
        <w:sz w:val="20"/>
      </w:rPr>
      <w:t xml:space="preserve"> </w:t>
    </w:r>
    <w:r w:rsidRPr="00821EB9">
      <w:rPr>
        <w:rFonts w:ascii="Shaker 2 Regular" w:hAnsi="Shaker 2 Regular"/>
        <w:b/>
        <w:sz w:val="20"/>
      </w:rPr>
      <w:t xml:space="preserve">F: </w:t>
    </w:r>
    <w:r w:rsidRPr="00821EB9">
      <w:rPr>
        <w:rFonts w:ascii="Shaker 2 Regular" w:hAnsi="Shaker 2 Regular"/>
        <w:sz w:val="20"/>
      </w:rPr>
      <w:t xml:space="preserve">020 7960 1901 </w:t>
    </w:r>
    <w:r w:rsidRPr="00821EB9">
      <w:rPr>
        <w:rFonts w:ascii="Shaker 2 Regular" w:hAnsi="Shaker 2 Regular"/>
        <w:b/>
        <w:sz w:val="20"/>
      </w:rPr>
      <w:t>www.supremecourt.uk</w:t>
    </w:r>
  </w:p>
  <w:p w:rsidR="00B4638F" w:rsidRDefault="00B463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046A" w:rsidRDefault="0024046A">
      <w:r>
        <w:separator/>
      </w:r>
    </w:p>
  </w:footnote>
  <w:footnote w:type="continuationSeparator" w:id="0">
    <w:p w:rsidR="0024046A" w:rsidRDefault="002404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324F"/>
    <w:multiLevelType w:val="hybridMultilevel"/>
    <w:tmpl w:val="504ABB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457263"/>
    <w:multiLevelType w:val="hybridMultilevel"/>
    <w:tmpl w:val="3F5641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7B1BE8"/>
    <w:multiLevelType w:val="hybridMultilevel"/>
    <w:tmpl w:val="8CEA5E3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423702D4"/>
    <w:multiLevelType w:val="hybridMultilevel"/>
    <w:tmpl w:val="2C8AF2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246ACF"/>
    <w:multiLevelType w:val="hybridMultilevel"/>
    <w:tmpl w:val="9ACE78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FB07351"/>
    <w:multiLevelType w:val="hybridMultilevel"/>
    <w:tmpl w:val="41ACCCC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79911539"/>
    <w:multiLevelType w:val="hybridMultilevel"/>
    <w:tmpl w:val="CEDEA2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62016738">
    <w:abstractNumId w:val="0"/>
  </w:num>
  <w:num w:numId="2" w16cid:durableId="1937982477">
    <w:abstractNumId w:val="3"/>
  </w:num>
  <w:num w:numId="3" w16cid:durableId="1804884354">
    <w:abstractNumId w:val="4"/>
  </w:num>
  <w:num w:numId="4" w16cid:durableId="15126047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33429877">
    <w:abstractNumId w:val="5"/>
  </w:num>
  <w:num w:numId="6" w16cid:durableId="1709917797">
    <w:abstractNumId w:val="6"/>
  </w:num>
  <w:num w:numId="7" w16cid:durableId="1202666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05C2"/>
    <w:rsid w:val="000005FE"/>
    <w:rsid w:val="00027162"/>
    <w:rsid w:val="000575DB"/>
    <w:rsid w:val="00064056"/>
    <w:rsid w:val="00086F57"/>
    <w:rsid w:val="000948B2"/>
    <w:rsid w:val="000B3E81"/>
    <w:rsid w:val="000B7A7F"/>
    <w:rsid w:val="000D20A0"/>
    <w:rsid w:val="000D6187"/>
    <w:rsid w:val="000F4B66"/>
    <w:rsid w:val="00105EAC"/>
    <w:rsid w:val="00125CC7"/>
    <w:rsid w:val="00134213"/>
    <w:rsid w:val="001418CE"/>
    <w:rsid w:val="0015103F"/>
    <w:rsid w:val="001561B2"/>
    <w:rsid w:val="001672DB"/>
    <w:rsid w:val="001974C0"/>
    <w:rsid w:val="001C06D4"/>
    <w:rsid w:val="001C78CB"/>
    <w:rsid w:val="001F4EF0"/>
    <w:rsid w:val="00210AAC"/>
    <w:rsid w:val="0024046A"/>
    <w:rsid w:val="0025011D"/>
    <w:rsid w:val="00255465"/>
    <w:rsid w:val="00282AF2"/>
    <w:rsid w:val="00287A78"/>
    <w:rsid w:val="002957D8"/>
    <w:rsid w:val="002B0F59"/>
    <w:rsid w:val="002B3E29"/>
    <w:rsid w:val="002B631E"/>
    <w:rsid w:val="002B7A9A"/>
    <w:rsid w:val="002E30D8"/>
    <w:rsid w:val="002E340D"/>
    <w:rsid w:val="002F4C80"/>
    <w:rsid w:val="002F582D"/>
    <w:rsid w:val="002F76F2"/>
    <w:rsid w:val="00305E6A"/>
    <w:rsid w:val="00307AC8"/>
    <w:rsid w:val="0037345C"/>
    <w:rsid w:val="003808B5"/>
    <w:rsid w:val="0038189A"/>
    <w:rsid w:val="003B48D8"/>
    <w:rsid w:val="003B7C5F"/>
    <w:rsid w:val="003C27D5"/>
    <w:rsid w:val="003D7D7D"/>
    <w:rsid w:val="003E07E2"/>
    <w:rsid w:val="003E3252"/>
    <w:rsid w:val="003E7AC8"/>
    <w:rsid w:val="00413DDC"/>
    <w:rsid w:val="00437284"/>
    <w:rsid w:val="00440D64"/>
    <w:rsid w:val="0044315A"/>
    <w:rsid w:val="00443E3A"/>
    <w:rsid w:val="004470C3"/>
    <w:rsid w:val="00474DE9"/>
    <w:rsid w:val="0047770B"/>
    <w:rsid w:val="00492162"/>
    <w:rsid w:val="00496941"/>
    <w:rsid w:val="004A325F"/>
    <w:rsid w:val="004A78F4"/>
    <w:rsid w:val="004B0054"/>
    <w:rsid w:val="004B2973"/>
    <w:rsid w:val="004B58B8"/>
    <w:rsid w:val="004D52E4"/>
    <w:rsid w:val="004F0C57"/>
    <w:rsid w:val="004F12B4"/>
    <w:rsid w:val="004F156B"/>
    <w:rsid w:val="004F2030"/>
    <w:rsid w:val="004F433A"/>
    <w:rsid w:val="005460F9"/>
    <w:rsid w:val="00566BC2"/>
    <w:rsid w:val="00570219"/>
    <w:rsid w:val="00572E9D"/>
    <w:rsid w:val="00582CFA"/>
    <w:rsid w:val="00583A80"/>
    <w:rsid w:val="005841FB"/>
    <w:rsid w:val="00587DCB"/>
    <w:rsid w:val="00591F3E"/>
    <w:rsid w:val="005D7BC3"/>
    <w:rsid w:val="00647FCA"/>
    <w:rsid w:val="00655BD8"/>
    <w:rsid w:val="006667A0"/>
    <w:rsid w:val="00666E2D"/>
    <w:rsid w:val="00677EAB"/>
    <w:rsid w:val="00677EF9"/>
    <w:rsid w:val="0068413A"/>
    <w:rsid w:val="006859FE"/>
    <w:rsid w:val="00686FFE"/>
    <w:rsid w:val="00690D5F"/>
    <w:rsid w:val="00692050"/>
    <w:rsid w:val="006D6D23"/>
    <w:rsid w:val="0070274C"/>
    <w:rsid w:val="00723903"/>
    <w:rsid w:val="00725B27"/>
    <w:rsid w:val="0075710B"/>
    <w:rsid w:val="00762D19"/>
    <w:rsid w:val="00767DDC"/>
    <w:rsid w:val="00774792"/>
    <w:rsid w:val="00791E1D"/>
    <w:rsid w:val="00796CA9"/>
    <w:rsid w:val="007B0D84"/>
    <w:rsid w:val="007B5513"/>
    <w:rsid w:val="007C2BEB"/>
    <w:rsid w:val="007C70D4"/>
    <w:rsid w:val="007D5CD0"/>
    <w:rsid w:val="007F33BA"/>
    <w:rsid w:val="00800002"/>
    <w:rsid w:val="00803548"/>
    <w:rsid w:val="0081085E"/>
    <w:rsid w:val="008216EF"/>
    <w:rsid w:val="008607AC"/>
    <w:rsid w:val="00864E04"/>
    <w:rsid w:val="00864FE0"/>
    <w:rsid w:val="0088293B"/>
    <w:rsid w:val="00882CEB"/>
    <w:rsid w:val="008B0078"/>
    <w:rsid w:val="008C21BC"/>
    <w:rsid w:val="008C484E"/>
    <w:rsid w:val="008E243C"/>
    <w:rsid w:val="008E7422"/>
    <w:rsid w:val="008F398F"/>
    <w:rsid w:val="00903E5A"/>
    <w:rsid w:val="00904B67"/>
    <w:rsid w:val="00913742"/>
    <w:rsid w:val="0091496F"/>
    <w:rsid w:val="00937F9E"/>
    <w:rsid w:val="009412A0"/>
    <w:rsid w:val="00942B67"/>
    <w:rsid w:val="009478FC"/>
    <w:rsid w:val="009621B7"/>
    <w:rsid w:val="00967718"/>
    <w:rsid w:val="00991EAB"/>
    <w:rsid w:val="009B0FC3"/>
    <w:rsid w:val="009C4AB9"/>
    <w:rsid w:val="009E0904"/>
    <w:rsid w:val="009F0C75"/>
    <w:rsid w:val="009F66BE"/>
    <w:rsid w:val="00A13032"/>
    <w:rsid w:val="00A16C02"/>
    <w:rsid w:val="00A24542"/>
    <w:rsid w:val="00A33577"/>
    <w:rsid w:val="00A33A7D"/>
    <w:rsid w:val="00A34A22"/>
    <w:rsid w:val="00A37225"/>
    <w:rsid w:val="00A411FC"/>
    <w:rsid w:val="00A428A6"/>
    <w:rsid w:val="00A53E61"/>
    <w:rsid w:val="00A70C5E"/>
    <w:rsid w:val="00A70D5A"/>
    <w:rsid w:val="00A754A1"/>
    <w:rsid w:val="00A75899"/>
    <w:rsid w:val="00A80EDC"/>
    <w:rsid w:val="00A82CB4"/>
    <w:rsid w:val="00AB48FE"/>
    <w:rsid w:val="00AB7971"/>
    <w:rsid w:val="00AC7F69"/>
    <w:rsid w:val="00AE3873"/>
    <w:rsid w:val="00B14355"/>
    <w:rsid w:val="00B24A03"/>
    <w:rsid w:val="00B30ABB"/>
    <w:rsid w:val="00B3115F"/>
    <w:rsid w:val="00B33E4F"/>
    <w:rsid w:val="00B45E02"/>
    <w:rsid w:val="00B45FA6"/>
    <w:rsid w:val="00B4638F"/>
    <w:rsid w:val="00B520AA"/>
    <w:rsid w:val="00B646D4"/>
    <w:rsid w:val="00B72E0B"/>
    <w:rsid w:val="00B73D9F"/>
    <w:rsid w:val="00BC02C7"/>
    <w:rsid w:val="00BC37B2"/>
    <w:rsid w:val="00BD256F"/>
    <w:rsid w:val="00BE4557"/>
    <w:rsid w:val="00BF1818"/>
    <w:rsid w:val="00BF691C"/>
    <w:rsid w:val="00C0454B"/>
    <w:rsid w:val="00C24BEF"/>
    <w:rsid w:val="00C257EC"/>
    <w:rsid w:val="00C41D73"/>
    <w:rsid w:val="00C7235E"/>
    <w:rsid w:val="00C82E85"/>
    <w:rsid w:val="00C97A13"/>
    <w:rsid w:val="00CC0C46"/>
    <w:rsid w:val="00CC0E89"/>
    <w:rsid w:val="00CD426C"/>
    <w:rsid w:val="00CE0E84"/>
    <w:rsid w:val="00D248D5"/>
    <w:rsid w:val="00D26C41"/>
    <w:rsid w:val="00D615A8"/>
    <w:rsid w:val="00D6209A"/>
    <w:rsid w:val="00D7478F"/>
    <w:rsid w:val="00D75781"/>
    <w:rsid w:val="00D81EF4"/>
    <w:rsid w:val="00D8298C"/>
    <w:rsid w:val="00DA4C36"/>
    <w:rsid w:val="00DA676E"/>
    <w:rsid w:val="00DB33C8"/>
    <w:rsid w:val="00DB4BC1"/>
    <w:rsid w:val="00DB50BA"/>
    <w:rsid w:val="00DC0B86"/>
    <w:rsid w:val="00DC236A"/>
    <w:rsid w:val="00DD1BC9"/>
    <w:rsid w:val="00DF5C22"/>
    <w:rsid w:val="00E0183F"/>
    <w:rsid w:val="00EA463F"/>
    <w:rsid w:val="00EA693A"/>
    <w:rsid w:val="00EB279C"/>
    <w:rsid w:val="00EB42EA"/>
    <w:rsid w:val="00EC59A7"/>
    <w:rsid w:val="00ED033C"/>
    <w:rsid w:val="00ED036D"/>
    <w:rsid w:val="00ED05C2"/>
    <w:rsid w:val="00ED3C95"/>
    <w:rsid w:val="00EE6B74"/>
    <w:rsid w:val="00EE7138"/>
    <w:rsid w:val="00EE7720"/>
    <w:rsid w:val="00EF1192"/>
    <w:rsid w:val="00F01FFF"/>
    <w:rsid w:val="00F4211C"/>
    <w:rsid w:val="00F4541E"/>
    <w:rsid w:val="00F6241E"/>
    <w:rsid w:val="00F74F1F"/>
    <w:rsid w:val="00F75AEE"/>
    <w:rsid w:val="00F90D1C"/>
    <w:rsid w:val="00FA3D1D"/>
    <w:rsid w:val="00FB0DCF"/>
    <w:rsid w:val="00FB2923"/>
    <w:rsid w:val="00FE22D2"/>
    <w:rsid w:val="00FF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15:chartTrackingRefBased/>
  <w15:docId w15:val="{96A95AAE-A1CB-4D7E-A4F5-2584FAC0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D05C2"/>
    <w:pPr>
      <w:tabs>
        <w:tab w:val="center" w:pos="4153"/>
        <w:tab w:val="right" w:pos="8306"/>
      </w:tabs>
    </w:pPr>
  </w:style>
  <w:style w:type="paragraph" w:styleId="Footer">
    <w:name w:val="footer"/>
    <w:basedOn w:val="Normal"/>
    <w:link w:val="FooterChar"/>
    <w:rsid w:val="00ED05C2"/>
    <w:pPr>
      <w:tabs>
        <w:tab w:val="center" w:pos="4153"/>
        <w:tab w:val="right" w:pos="8306"/>
      </w:tabs>
    </w:pPr>
  </w:style>
  <w:style w:type="character" w:customStyle="1" w:styleId="FooterChar">
    <w:name w:val="Footer Char"/>
    <w:link w:val="Footer"/>
    <w:rsid w:val="00ED05C2"/>
    <w:rPr>
      <w:sz w:val="24"/>
      <w:szCs w:val="24"/>
      <w:lang w:val="en-GB" w:eastAsia="en-GB" w:bidi="ar-SA"/>
    </w:rPr>
  </w:style>
  <w:style w:type="paragraph" w:styleId="BalloonText">
    <w:name w:val="Balloon Text"/>
    <w:basedOn w:val="Normal"/>
    <w:semiHidden/>
    <w:rsid w:val="00ED036D"/>
    <w:rPr>
      <w:rFonts w:ascii="Tahoma" w:hAnsi="Tahoma" w:cs="Tahoma"/>
      <w:sz w:val="16"/>
      <w:szCs w:val="16"/>
    </w:rPr>
  </w:style>
  <w:style w:type="character" w:styleId="Strong">
    <w:name w:val="Strong"/>
    <w:qFormat/>
    <w:rsid w:val="000F4B66"/>
    <w:rPr>
      <w:b/>
      <w:bCs/>
    </w:rPr>
  </w:style>
  <w:style w:type="character" w:styleId="Hyperlink">
    <w:name w:val="Hyperlink"/>
    <w:rsid w:val="00A16C02"/>
    <w:rPr>
      <w:color w:val="0000FF"/>
      <w:u w:val="single"/>
    </w:rPr>
  </w:style>
  <w:style w:type="paragraph" w:styleId="NormalWeb">
    <w:name w:val="Normal (Web)"/>
    <w:basedOn w:val="Normal"/>
    <w:rsid w:val="00F42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73234">
      <w:bodyDiv w:val="1"/>
      <w:marLeft w:val="0"/>
      <w:marRight w:val="0"/>
      <w:marTop w:val="0"/>
      <w:marBottom w:val="0"/>
      <w:divBdr>
        <w:top w:val="none" w:sz="0" w:space="0" w:color="auto"/>
        <w:left w:val="none" w:sz="0" w:space="0" w:color="auto"/>
        <w:bottom w:val="none" w:sz="0" w:space="0" w:color="auto"/>
        <w:right w:val="none" w:sz="0" w:space="0" w:color="auto"/>
      </w:divBdr>
      <w:divsChild>
        <w:div w:id="1934514100">
          <w:marLeft w:val="0"/>
          <w:marRight w:val="0"/>
          <w:marTop w:val="0"/>
          <w:marBottom w:val="0"/>
          <w:divBdr>
            <w:top w:val="none" w:sz="0" w:space="0" w:color="auto"/>
            <w:left w:val="none" w:sz="0" w:space="0" w:color="auto"/>
            <w:bottom w:val="none" w:sz="0" w:space="0" w:color="auto"/>
            <w:right w:val="none" w:sz="0" w:space="0" w:color="auto"/>
          </w:divBdr>
          <w:divsChild>
            <w:div w:id="369648446">
              <w:marLeft w:val="0"/>
              <w:marRight w:val="0"/>
              <w:marTop w:val="0"/>
              <w:marBottom w:val="0"/>
              <w:divBdr>
                <w:top w:val="none" w:sz="0" w:space="0" w:color="auto"/>
                <w:left w:val="none" w:sz="0" w:space="0" w:color="auto"/>
                <w:bottom w:val="none" w:sz="0" w:space="0" w:color="auto"/>
                <w:right w:val="none" w:sz="0" w:space="0" w:color="auto"/>
              </w:divBdr>
              <w:divsChild>
                <w:div w:id="1514298191">
                  <w:marLeft w:val="0"/>
                  <w:marRight w:val="0"/>
                  <w:marTop w:val="0"/>
                  <w:marBottom w:val="0"/>
                  <w:divBdr>
                    <w:top w:val="none" w:sz="0" w:space="0" w:color="auto"/>
                    <w:left w:val="none" w:sz="0" w:space="0" w:color="auto"/>
                    <w:bottom w:val="none" w:sz="0" w:space="0" w:color="auto"/>
                    <w:right w:val="none" w:sz="0" w:space="0" w:color="auto"/>
                  </w:divBdr>
                  <w:divsChild>
                    <w:div w:id="524099695">
                      <w:marLeft w:val="0"/>
                      <w:marRight w:val="0"/>
                      <w:marTop w:val="0"/>
                      <w:marBottom w:val="0"/>
                      <w:divBdr>
                        <w:top w:val="none" w:sz="0" w:space="0" w:color="auto"/>
                        <w:left w:val="none" w:sz="0" w:space="0" w:color="auto"/>
                        <w:bottom w:val="none" w:sz="0" w:space="0" w:color="auto"/>
                        <w:right w:val="none" w:sz="0" w:space="0" w:color="auto"/>
                      </w:divBdr>
                      <w:divsChild>
                        <w:div w:id="2070952908">
                          <w:marLeft w:val="0"/>
                          <w:marRight w:val="0"/>
                          <w:marTop w:val="0"/>
                          <w:marBottom w:val="0"/>
                          <w:divBdr>
                            <w:top w:val="none" w:sz="0" w:space="0" w:color="auto"/>
                            <w:left w:val="none" w:sz="0" w:space="0" w:color="auto"/>
                            <w:bottom w:val="none" w:sz="0" w:space="0" w:color="auto"/>
                            <w:right w:val="none" w:sz="0" w:space="0" w:color="auto"/>
                          </w:divBdr>
                          <w:divsChild>
                            <w:div w:id="14664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660741">
      <w:bodyDiv w:val="1"/>
      <w:marLeft w:val="0"/>
      <w:marRight w:val="0"/>
      <w:marTop w:val="0"/>
      <w:marBottom w:val="0"/>
      <w:divBdr>
        <w:top w:val="none" w:sz="0" w:space="0" w:color="auto"/>
        <w:left w:val="none" w:sz="0" w:space="0" w:color="auto"/>
        <w:bottom w:val="none" w:sz="0" w:space="0" w:color="auto"/>
        <w:right w:val="none" w:sz="0" w:space="0" w:color="auto"/>
      </w:divBdr>
    </w:div>
    <w:div w:id="1199199519">
      <w:bodyDiv w:val="1"/>
      <w:marLeft w:val="0"/>
      <w:marRight w:val="0"/>
      <w:marTop w:val="0"/>
      <w:marBottom w:val="0"/>
      <w:divBdr>
        <w:top w:val="none" w:sz="0" w:space="0" w:color="auto"/>
        <w:left w:val="none" w:sz="0" w:space="0" w:color="auto"/>
        <w:bottom w:val="none" w:sz="0" w:space="0" w:color="auto"/>
        <w:right w:val="none" w:sz="0" w:space="0" w:color="auto"/>
      </w:divBdr>
      <w:divsChild>
        <w:div w:id="161239591">
          <w:marLeft w:val="0"/>
          <w:marRight w:val="0"/>
          <w:marTop w:val="0"/>
          <w:marBottom w:val="0"/>
          <w:divBdr>
            <w:top w:val="none" w:sz="0" w:space="0" w:color="auto"/>
            <w:left w:val="none" w:sz="0" w:space="0" w:color="auto"/>
            <w:bottom w:val="none" w:sz="0" w:space="0" w:color="auto"/>
            <w:right w:val="none" w:sz="0" w:space="0" w:color="auto"/>
          </w:divBdr>
          <w:divsChild>
            <w:div w:id="1792049078">
              <w:marLeft w:val="0"/>
              <w:marRight w:val="0"/>
              <w:marTop w:val="0"/>
              <w:marBottom w:val="0"/>
              <w:divBdr>
                <w:top w:val="none" w:sz="0" w:space="0" w:color="auto"/>
                <w:left w:val="none" w:sz="0" w:space="0" w:color="auto"/>
                <w:bottom w:val="none" w:sz="0" w:space="0" w:color="auto"/>
                <w:right w:val="none" w:sz="0" w:space="0" w:color="auto"/>
              </w:divBdr>
              <w:divsChild>
                <w:div w:id="1005328819">
                  <w:marLeft w:val="0"/>
                  <w:marRight w:val="0"/>
                  <w:marTop w:val="0"/>
                  <w:marBottom w:val="0"/>
                  <w:divBdr>
                    <w:top w:val="none" w:sz="0" w:space="0" w:color="auto"/>
                    <w:left w:val="none" w:sz="0" w:space="0" w:color="auto"/>
                    <w:bottom w:val="none" w:sz="0" w:space="0" w:color="auto"/>
                    <w:right w:val="none" w:sz="0" w:space="0" w:color="auto"/>
                  </w:divBdr>
                  <w:divsChild>
                    <w:div w:id="1316299046">
                      <w:marLeft w:val="0"/>
                      <w:marRight w:val="0"/>
                      <w:marTop w:val="0"/>
                      <w:marBottom w:val="0"/>
                      <w:divBdr>
                        <w:top w:val="none" w:sz="0" w:space="0" w:color="auto"/>
                        <w:left w:val="none" w:sz="0" w:space="0" w:color="auto"/>
                        <w:bottom w:val="none" w:sz="0" w:space="0" w:color="auto"/>
                        <w:right w:val="none" w:sz="0" w:space="0" w:color="auto"/>
                      </w:divBdr>
                      <w:divsChild>
                        <w:div w:id="1555386139">
                          <w:marLeft w:val="0"/>
                          <w:marRight w:val="0"/>
                          <w:marTop w:val="0"/>
                          <w:marBottom w:val="0"/>
                          <w:divBdr>
                            <w:top w:val="none" w:sz="0" w:space="0" w:color="auto"/>
                            <w:left w:val="none" w:sz="0" w:space="0" w:color="auto"/>
                            <w:bottom w:val="none" w:sz="0" w:space="0" w:color="auto"/>
                            <w:right w:val="none" w:sz="0" w:space="0" w:color="auto"/>
                          </w:divBdr>
                          <w:divsChild>
                            <w:div w:id="16796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premecourt.uk/decided-cases/index.shtml"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B251F3824E8E4BABF966FB1FF33114" ma:contentTypeVersion="4" ma:contentTypeDescription="Create a new document." ma:contentTypeScope="" ma:versionID="34e0ca7b94d4cacc273154739476b6c7">
  <xsd:schema xmlns:xsd="http://www.w3.org/2001/XMLSchema" xmlns:xs="http://www.w3.org/2001/XMLSchema" xmlns:p="http://schemas.microsoft.com/office/2006/metadata/properties" xmlns:ns2="d1912800-d0d5-4897-aa13-fa15486e9ce2" targetNamespace="http://schemas.microsoft.com/office/2006/metadata/properties" ma:root="true" ma:fieldsID="2460a5e349f4dfc73fc5b4ebdcfd4041" ns2:_="">
    <xsd:import namespace="d1912800-d0d5-4897-aa13-fa15486e9c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12800-d0d5-4897-aa13-fa15486e9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95DF93-1348-4CCB-A338-A0CF35D40CEE}">
  <ds:schemaRefs>
    <ds:schemaRef ds:uri="http://schemas.microsoft.com/sharepoint/v3/contenttype/forms"/>
  </ds:schemaRefs>
</ds:datastoreItem>
</file>

<file path=customXml/itemProps2.xml><?xml version="1.0" encoding="utf-8"?>
<ds:datastoreItem xmlns:ds="http://schemas.openxmlformats.org/officeDocument/2006/customXml" ds:itemID="{931C3DAA-E0CB-4ABB-94A5-2F6344601D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12800-d0d5-4897-aa13-fa15486e9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D570E1-5088-40ED-83AF-A71291002A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KV (Sri Lanka) (Appellant) v Secretary of State for the Home Department (Respondent)</vt:lpstr>
    </vt:vector>
  </TitlesOfParts>
  <Company>The Supreme Court (UKSC)</Company>
  <LinksUpToDate>false</LinksUpToDate>
  <CharactersWithSpaces>7440</CharactersWithSpaces>
  <SharedDoc>false</SharedDoc>
  <HLinks>
    <vt:vector size="6" baseType="variant">
      <vt:variant>
        <vt:i4>655380</vt:i4>
      </vt:variant>
      <vt:variant>
        <vt:i4>0</vt:i4>
      </vt:variant>
      <vt:variant>
        <vt:i4>0</vt:i4>
      </vt:variant>
      <vt:variant>
        <vt:i4>5</vt:i4>
      </vt:variant>
      <vt:variant>
        <vt:lpwstr>http://supremecourt.uk/decided-cases/index.shtml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 (Sri Lanka) (Appellant) v Secretary of State for the Home Department (Respondent)</dc:title>
  <dc:subject>Judgment handed down on Wednesday 6 March 2019</dc:subject>
  <dc:creator>The Supreme Court (UKSC)</dc:creator>
  <cp:keywords>[2017] EWCA Civ 119; UKSC 2017/0124; [2019] UKSC 10</cp:keywords>
  <dc:description/>
  <cp:lastModifiedBy>Jim</cp:lastModifiedBy>
  <cp:revision>2</cp:revision>
  <cp:lastPrinted>2014-03-10T11:19:00Z</cp:lastPrinted>
  <dcterms:created xsi:type="dcterms:W3CDTF">2023-04-05T18:23:00Z</dcterms:created>
  <dcterms:modified xsi:type="dcterms:W3CDTF">2023-04-05T18:23:00Z</dcterms:modified>
  <cp:category>Decided cases; Press Summary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0x0101000B97FE93F59FD64DAE4BD735315C56DA</vt:lpwstr>
  </property>
  <property fmtid="{D5CDD505-2E9C-101B-9397-08002B2CF9AE}" pid="3" name="CaseName">
    <vt:lpwstr>KV (Sri Lanka) (Appellant) v Secretary of State for the Home Department (Respondent)</vt:lpwstr>
  </property>
  <property fmtid="{D5CDD505-2E9C-101B-9397-08002B2CF9AE}" pid="4" name="HandDownDate">
    <vt:lpwstr>6 March 2019</vt:lpwstr>
  </property>
  <property fmtid="{D5CDD505-2E9C-101B-9397-08002B2CF9AE}" pid="5" name="CaseID">
    <vt:lpwstr>UKSC 2017/0124</vt:lpwstr>
  </property>
  <property fmtid="{D5CDD505-2E9C-101B-9397-08002B2CF9AE}" pid="6" name="NeutralCitationNumber">
    <vt:lpwstr>[2019] UKSC 10</vt:lpwstr>
  </property>
</Properties>
</file>