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51308" w14:textId="77777777" w:rsidR="00ED05C2" w:rsidRDefault="00472B4E" w:rsidP="00B46ECD">
      <w:pPr>
        <w:jc w:val="center"/>
        <w:rPr>
          <w:rFonts w:ascii="Garamond" w:hAnsi="Garamond"/>
        </w:rPr>
      </w:pPr>
      <w:bookmarkStart w:id="0" w:name="_GoBack"/>
      <w:r w:rsidRPr="001C78CB">
        <w:rPr>
          <w:rFonts w:ascii="Garamond" w:hAnsi="Garamond"/>
          <w:noProof/>
        </w:rPr>
        <w:drawing>
          <wp:inline distT="0" distB="0" distL="0" distR="0" wp14:anchorId="50EB463A" wp14:editId="0CCA1FE2">
            <wp:extent cx="1066800" cy="1428750"/>
            <wp:effectExtent l="0" t="0" r="0" b="0"/>
            <wp:docPr id="1" name="Picture 1" descr="UKSC logo" title="UKS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inline>
        </w:drawing>
      </w:r>
      <w:bookmarkEnd w:id="0"/>
    </w:p>
    <w:p w14:paraId="5D880773" w14:textId="77777777" w:rsidR="00A16C02" w:rsidRPr="00A97444" w:rsidRDefault="00ED3257" w:rsidP="00B46ECD">
      <w:pPr>
        <w:tabs>
          <w:tab w:val="left" w:pos="8285"/>
        </w:tabs>
        <w:jc w:val="right"/>
        <w:rPr>
          <w:rFonts w:ascii="Garamond" w:hAnsi="Garamond"/>
          <w:b/>
        </w:rPr>
      </w:pPr>
      <w:r>
        <w:rPr>
          <w:rFonts w:ascii="Garamond" w:hAnsi="Garamond"/>
          <w:b/>
        </w:rPr>
        <w:t>25 July 2018</w:t>
      </w:r>
    </w:p>
    <w:p w14:paraId="4692B60C" w14:textId="77777777" w:rsidR="00A16C02" w:rsidRPr="00A97444" w:rsidRDefault="00A16C02" w:rsidP="00B46ECD">
      <w:pPr>
        <w:tabs>
          <w:tab w:val="left" w:pos="8285"/>
        </w:tabs>
        <w:jc w:val="center"/>
        <w:rPr>
          <w:rFonts w:ascii="Garamond" w:hAnsi="Garamond"/>
          <w:b/>
        </w:rPr>
      </w:pPr>
      <w:r w:rsidRPr="00A97444">
        <w:rPr>
          <w:rFonts w:ascii="Garamond" w:hAnsi="Garamond"/>
          <w:b/>
        </w:rPr>
        <w:t>PRESS SUMMARY</w:t>
      </w:r>
    </w:p>
    <w:p w14:paraId="055EBA16" w14:textId="77777777" w:rsidR="00A16C02" w:rsidRPr="00A97444" w:rsidRDefault="00A16C02" w:rsidP="00B46ECD">
      <w:pPr>
        <w:tabs>
          <w:tab w:val="left" w:pos="8285"/>
        </w:tabs>
        <w:jc w:val="both"/>
        <w:rPr>
          <w:rFonts w:ascii="Garamond" w:hAnsi="Garamond"/>
          <w:b/>
        </w:rPr>
      </w:pPr>
    </w:p>
    <w:p w14:paraId="79302B33" w14:textId="66332749" w:rsidR="00B12BAF" w:rsidRDefault="00ED3257" w:rsidP="00B46ECD">
      <w:pPr>
        <w:tabs>
          <w:tab w:val="left" w:pos="8285"/>
        </w:tabs>
        <w:jc w:val="both"/>
        <w:rPr>
          <w:rFonts w:ascii="Garamond" w:hAnsi="Garamond"/>
          <w:b/>
        </w:rPr>
      </w:pPr>
      <w:r w:rsidRPr="00ED3257">
        <w:rPr>
          <w:rFonts w:ascii="Garamond" w:hAnsi="Garamond"/>
          <w:b/>
        </w:rPr>
        <w:t>Prudential Assurance Company Ltd (Respondent) v Commissioners for Her Majesty’s Revenue and Customs (Appellant)</w:t>
      </w:r>
      <w:r>
        <w:rPr>
          <w:rFonts w:ascii="Garamond" w:hAnsi="Garamond"/>
          <w:b/>
        </w:rPr>
        <w:t xml:space="preserve"> </w:t>
      </w:r>
      <w:r w:rsidRPr="00ED3257">
        <w:rPr>
          <w:rFonts w:ascii="Garamond" w:hAnsi="Garamond"/>
          <w:b/>
        </w:rPr>
        <w:t>[2018] UKSC 39</w:t>
      </w:r>
    </w:p>
    <w:p w14:paraId="16D75871" w14:textId="29C2EEB4" w:rsidR="005A1360" w:rsidRPr="00A97444" w:rsidRDefault="00ED3257" w:rsidP="00B46ECD">
      <w:pPr>
        <w:tabs>
          <w:tab w:val="left" w:pos="8285"/>
        </w:tabs>
        <w:jc w:val="both"/>
        <w:rPr>
          <w:rFonts w:ascii="Garamond" w:hAnsi="Garamond"/>
          <w:b/>
          <w:i/>
        </w:rPr>
      </w:pPr>
      <w:r>
        <w:rPr>
          <w:rFonts w:ascii="Garamond" w:hAnsi="Garamond"/>
          <w:b/>
          <w:i/>
        </w:rPr>
        <w:t>On appeal from</w:t>
      </w:r>
      <w:r w:rsidRPr="00ED3257">
        <w:rPr>
          <w:rFonts w:ascii="Garamond" w:hAnsi="Garamond"/>
          <w:b/>
          <w:i/>
        </w:rPr>
        <w:t xml:space="preserve">: [2016] EWCA </w:t>
      </w:r>
      <w:proofErr w:type="spellStart"/>
      <w:r w:rsidRPr="00ED3257">
        <w:rPr>
          <w:rFonts w:ascii="Garamond" w:hAnsi="Garamond"/>
          <w:b/>
          <w:i/>
        </w:rPr>
        <w:t>Civ</w:t>
      </w:r>
      <w:proofErr w:type="spellEnd"/>
      <w:r w:rsidRPr="00ED3257">
        <w:rPr>
          <w:rFonts w:ascii="Garamond" w:hAnsi="Garamond"/>
          <w:b/>
          <w:i/>
        </w:rPr>
        <w:t xml:space="preserve"> 376</w:t>
      </w:r>
    </w:p>
    <w:p w14:paraId="57199D39" w14:textId="77777777" w:rsidR="002E340D" w:rsidRDefault="002E340D" w:rsidP="00B46ECD">
      <w:pPr>
        <w:tabs>
          <w:tab w:val="left" w:pos="8285"/>
        </w:tabs>
        <w:jc w:val="both"/>
        <w:rPr>
          <w:rFonts w:ascii="Garamond" w:hAnsi="Garamond"/>
        </w:rPr>
      </w:pPr>
    </w:p>
    <w:p w14:paraId="0CB16E86" w14:textId="77777777" w:rsidR="00A16C02" w:rsidRDefault="00A16C02" w:rsidP="00B46ECD">
      <w:pPr>
        <w:tabs>
          <w:tab w:val="left" w:pos="8285"/>
        </w:tabs>
        <w:jc w:val="both"/>
        <w:rPr>
          <w:rFonts w:ascii="Garamond" w:hAnsi="Garamond"/>
        </w:rPr>
      </w:pPr>
      <w:r w:rsidRPr="00A97444">
        <w:rPr>
          <w:rFonts w:ascii="Garamond" w:hAnsi="Garamond"/>
          <w:b/>
        </w:rPr>
        <w:t>JUSTICES</w:t>
      </w:r>
      <w:r>
        <w:rPr>
          <w:rFonts w:ascii="Garamond" w:hAnsi="Garamond"/>
        </w:rPr>
        <w:t xml:space="preserve">: </w:t>
      </w:r>
      <w:r w:rsidR="00ED3257">
        <w:rPr>
          <w:rFonts w:ascii="Garamond" w:hAnsi="Garamond"/>
        </w:rPr>
        <w:t>Lord Mance, Lord Sumption, Lord Reed, Lord Carnwath, Lord Hodge</w:t>
      </w:r>
    </w:p>
    <w:p w14:paraId="0DE9C3DA" w14:textId="77777777" w:rsidR="00937F9E" w:rsidRDefault="00937F9E" w:rsidP="00B46ECD">
      <w:pPr>
        <w:tabs>
          <w:tab w:val="left" w:pos="8285"/>
        </w:tabs>
        <w:jc w:val="both"/>
        <w:rPr>
          <w:rFonts w:ascii="Garamond" w:hAnsi="Garamond"/>
          <w:b/>
        </w:rPr>
      </w:pPr>
    </w:p>
    <w:p w14:paraId="5C0B4C5F" w14:textId="4A0099BD" w:rsidR="00494E9F" w:rsidRPr="00494E9F" w:rsidRDefault="00A16C02" w:rsidP="00494E9F">
      <w:pPr>
        <w:tabs>
          <w:tab w:val="left" w:pos="8285"/>
        </w:tabs>
        <w:jc w:val="both"/>
        <w:rPr>
          <w:rFonts w:ascii="Garamond" w:hAnsi="Garamond"/>
          <w:b/>
        </w:rPr>
      </w:pPr>
      <w:r w:rsidRPr="00A97444">
        <w:rPr>
          <w:rFonts w:ascii="Garamond" w:hAnsi="Garamond"/>
          <w:b/>
        </w:rPr>
        <w:t>BACKGROUND TO THE APPEAL</w:t>
      </w:r>
    </w:p>
    <w:p w14:paraId="387DD1F9" w14:textId="0EFDCB2D" w:rsidR="00494E9F" w:rsidRDefault="00494E9F" w:rsidP="00B46ECD">
      <w:pPr>
        <w:jc w:val="both"/>
        <w:rPr>
          <w:rFonts w:ascii="Garamond" w:hAnsi="Garamond"/>
        </w:rPr>
      </w:pPr>
      <w:r>
        <w:rPr>
          <w:rFonts w:ascii="Garamond" w:hAnsi="Garamond"/>
        </w:rPr>
        <w:t>Prudential Assurance Company (“</w:t>
      </w:r>
      <w:r w:rsidRPr="007B6492">
        <w:rPr>
          <w:rFonts w:ascii="Garamond" w:hAnsi="Garamond"/>
          <w:b/>
        </w:rPr>
        <w:t>PAC</w:t>
      </w:r>
      <w:r>
        <w:rPr>
          <w:rFonts w:ascii="Garamond" w:hAnsi="Garamond"/>
        </w:rPr>
        <w:t>”)</w:t>
      </w:r>
      <w:r w:rsidRPr="00494E9F">
        <w:rPr>
          <w:rFonts w:ascii="Garamond" w:hAnsi="Garamond"/>
        </w:rPr>
        <w:t xml:space="preserve"> is a </w:t>
      </w:r>
      <w:r>
        <w:rPr>
          <w:rFonts w:ascii="Garamond" w:hAnsi="Garamond"/>
        </w:rPr>
        <w:t>t</w:t>
      </w:r>
      <w:r w:rsidRPr="00494E9F">
        <w:rPr>
          <w:rFonts w:ascii="Garamond" w:hAnsi="Garamond"/>
        </w:rPr>
        <w:t xml:space="preserve">est </w:t>
      </w:r>
      <w:r>
        <w:rPr>
          <w:rFonts w:ascii="Garamond" w:hAnsi="Garamond"/>
        </w:rPr>
        <w:t>c</w:t>
      </w:r>
      <w:r w:rsidRPr="00494E9F">
        <w:rPr>
          <w:rFonts w:ascii="Garamond" w:hAnsi="Garamond"/>
        </w:rPr>
        <w:t>laimant in this litigation, which relat</w:t>
      </w:r>
      <w:r>
        <w:rPr>
          <w:rFonts w:ascii="Garamond" w:hAnsi="Garamond"/>
        </w:rPr>
        <w:t>es to periods running from 1990–</w:t>
      </w:r>
      <w:r w:rsidRPr="00494E9F">
        <w:rPr>
          <w:rFonts w:ascii="Garamond" w:hAnsi="Garamond"/>
        </w:rPr>
        <w:t xml:space="preserve">2009 and concerns the tax treatment of UK-resident companies that received dividends from portfolio shareholdings (i.e. where the investor holds less than 10% of the voting power in the company) in </w:t>
      </w:r>
      <w:r w:rsidR="00D35B0D">
        <w:rPr>
          <w:rFonts w:ascii="Garamond" w:hAnsi="Garamond"/>
        </w:rPr>
        <w:t xml:space="preserve">overseas </w:t>
      </w:r>
      <w:r w:rsidRPr="00494E9F">
        <w:rPr>
          <w:rFonts w:ascii="Garamond" w:hAnsi="Garamond"/>
        </w:rPr>
        <w:t>companies</w:t>
      </w:r>
      <w:r w:rsidR="00034EA3">
        <w:rPr>
          <w:rFonts w:ascii="Garamond" w:hAnsi="Garamond"/>
        </w:rPr>
        <w:t>.</w:t>
      </w:r>
      <w:r w:rsidR="00BB7280">
        <w:rPr>
          <w:rFonts w:ascii="Garamond" w:hAnsi="Garamond"/>
        </w:rPr>
        <w:t xml:space="preserve"> </w:t>
      </w:r>
    </w:p>
    <w:p w14:paraId="4DED01CB" w14:textId="77777777" w:rsidR="007B6492" w:rsidRDefault="007B6492" w:rsidP="00B46ECD">
      <w:pPr>
        <w:jc w:val="both"/>
        <w:rPr>
          <w:rFonts w:ascii="Garamond" w:hAnsi="Garamond"/>
        </w:rPr>
      </w:pPr>
    </w:p>
    <w:p w14:paraId="186A9567" w14:textId="13CD8E22" w:rsidR="00BB7280" w:rsidRDefault="00BB7280" w:rsidP="00B46ECD">
      <w:pPr>
        <w:jc w:val="both"/>
        <w:rPr>
          <w:rFonts w:ascii="Garamond" w:hAnsi="Garamond"/>
        </w:rPr>
      </w:pPr>
      <w:r>
        <w:rPr>
          <w:rFonts w:ascii="Garamond" w:hAnsi="Garamond"/>
        </w:rPr>
        <w:t xml:space="preserve">The key features of the tax system at the relevant time </w:t>
      </w:r>
      <w:r w:rsidR="00054F67">
        <w:rPr>
          <w:rFonts w:ascii="Garamond" w:hAnsi="Garamond"/>
        </w:rPr>
        <w:t xml:space="preserve">were </w:t>
      </w:r>
      <w:r>
        <w:rPr>
          <w:rFonts w:ascii="Garamond" w:hAnsi="Garamond"/>
        </w:rPr>
        <w:t xml:space="preserve">as follows. </w:t>
      </w:r>
      <w:r w:rsidR="004C7A7B" w:rsidRPr="004C7A7B">
        <w:rPr>
          <w:rFonts w:ascii="Garamond" w:hAnsi="Garamond"/>
        </w:rPr>
        <w:t>On receiving dividends</w:t>
      </w:r>
      <w:r w:rsidR="00034EA3">
        <w:rPr>
          <w:rFonts w:ascii="Garamond" w:hAnsi="Garamond"/>
        </w:rPr>
        <w:t xml:space="preserve"> from a </w:t>
      </w:r>
      <w:r w:rsidR="00034EA3" w:rsidRPr="00990AC1">
        <w:rPr>
          <w:rFonts w:ascii="Garamond" w:hAnsi="Garamond"/>
        </w:rPr>
        <w:t>UK-resident company,</w:t>
      </w:r>
      <w:r w:rsidR="004C7A7B" w:rsidRPr="00990AC1">
        <w:rPr>
          <w:rFonts w:ascii="Garamond" w:hAnsi="Garamond"/>
        </w:rPr>
        <w:t xml:space="preserve"> </w:t>
      </w:r>
      <w:r w:rsidR="00DF0F80">
        <w:rPr>
          <w:rFonts w:ascii="Garamond" w:hAnsi="Garamond"/>
        </w:rPr>
        <w:t xml:space="preserve">a UK-resident </w:t>
      </w:r>
      <w:r w:rsidR="00D35B0D">
        <w:rPr>
          <w:rFonts w:ascii="Garamond" w:hAnsi="Garamond"/>
        </w:rPr>
        <w:t>recipient</w:t>
      </w:r>
      <w:r w:rsidR="004C7A7B" w:rsidRPr="004C7A7B">
        <w:rPr>
          <w:rFonts w:ascii="Garamond" w:hAnsi="Garamond"/>
        </w:rPr>
        <w:t xml:space="preserve"> company was </w:t>
      </w:r>
      <w:r w:rsidR="009B274C">
        <w:rPr>
          <w:rFonts w:ascii="Garamond" w:hAnsi="Garamond"/>
        </w:rPr>
        <w:t xml:space="preserve">exempt from </w:t>
      </w:r>
      <w:r w:rsidR="004C7A7B" w:rsidRPr="004C7A7B">
        <w:rPr>
          <w:rFonts w:ascii="Garamond" w:hAnsi="Garamond"/>
        </w:rPr>
        <w:t xml:space="preserve">corporation tax </w:t>
      </w:r>
      <w:r w:rsidR="009B274C">
        <w:rPr>
          <w:rFonts w:ascii="Garamond" w:hAnsi="Garamond"/>
        </w:rPr>
        <w:t>under s.208</w:t>
      </w:r>
      <w:r w:rsidR="004C7A7B" w:rsidRPr="004C7A7B">
        <w:rPr>
          <w:rFonts w:ascii="Garamond" w:hAnsi="Garamond"/>
        </w:rPr>
        <w:t xml:space="preserve"> of the Income and Corporation Taxes Act 1988</w:t>
      </w:r>
      <w:r w:rsidR="004C7A7B">
        <w:rPr>
          <w:rFonts w:ascii="Garamond" w:hAnsi="Garamond"/>
        </w:rPr>
        <w:t xml:space="preserve"> (“</w:t>
      </w:r>
      <w:r w:rsidR="004C7A7B" w:rsidRPr="004C7A7B">
        <w:rPr>
          <w:rFonts w:ascii="Garamond" w:hAnsi="Garamond"/>
          <w:b/>
        </w:rPr>
        <w:t>ICTA</w:t>
      </w:r>
      <w:r w:rsidR="004C7A7B">
        <w:rPr>
          <w:rFonts w:ascii="Garamond" w:hAnsi="Garamond"/>
        </w:rPr>
        <w:t>”)</w:t>
      </w:r>
      <w:r w:rsidR="004C7A7B" w:rsidRPr="004C7A7B">
        <w:rPr>
          <w:rFonts w:ascii="Garamond" w:hAnsi="Garamond"/>
        </w:rPr>
        <w:t xml:space="preserve">, </w:t>
      </w:r>
      <w:r w:rsidR="009B274C">
        <w:rPr>
          <w:rFonts w:ascii="Garamond" w:hAnsi="Garamond"/>
        </w:rPr>
        <w:t>and by s.</w:t>
      </w:r>
      <w:r w:rsidR="009634FC">
        <w:rPr>
          <w:rFonts w:ascii="Garamond" w:hAnsi="Garamond"/>
        </w:rPr>
        <w:t xml:space="preserve">231(1) </w:t>
      </w:r>
      <w:r w:rsidR="009B274C">
        <w:rPr>
          <w:rFonts w:ascii="Garamond" w:hAnsi="Garamond"/>
        </w:rPr>
        <w:t xml:space="preserve">ICTA, </w:t>
      </w:r>
      <w:r w:rsidR="004C7A7B" w:rsidRPr="004C7A7B">
        <w:rPr>
          <w:rFonts w:ascii="Garamond" w:hAnsi="Garamond"/>
        </w:rPr>
        <w:t xml:space="preserve">would receive a tax credit equal to the amount of </w:t>
      </w:r>
      <w:r w:rsidR="001A5D41">
        <w:rPr>
          <w:rFonts w:ascii="Garamond" w:hAnsi="Garamond"/>
        </w:rPr>
        <w:t>advance corporation tax (“</w:t>
      </w:r>
      <w:r w:rsidR="004C7A7B" w:rsidRPr="009634FC">
        <w:rPr>
          <w:rFonts w:ascii="Garamond" w:hAnsi="Garamond"/>
          <w:b/>
        </w:rPr>
        <w:t>ACT</w:t>
      </w:r>
      <w:r w:rsidR="001A5D41">
        <w:rPr>
          <w:rFonts w:ascii="Garamond" w:hAnsi="Garamond"/>
        </w:rPr>
        <w:t>”)</w:t>
      </w:r>
      <w:r w:rsidR="004C7A7B" w:rsidRPr="004C7A7B">
        <w:rPr>
          <w:rFonts w:ascii="Garamond" w:hAnsi="Garamond"/>
        </w:rPr>
        <w:t xml:space="preserve"> </w:t>
      </w:r>
      <w:r w:rsidR="008261FC">
        <w:rPr>
          <w:rFonts w:ascii="Garamond" w:hAnsi="Garamond"/>
        </w:rPr>
        <w:t>that</w:t>
      </w:r>
      <w:r w:rsidR="004C7A7B" w:rsidRPr="004C7A7B">
        <w:rPr>
          <w:rFonts w:ascii="Garamond" w:hAnsi="Garamond"/>
        </w:rPr>
        <w:t xml:space="preserve"> the distributing company had paid on the distribution. </w:t>
      </w:r>
      <w:r w:rsidR="00034EA3">
        <w:rPr>
          <w:rFonts w:ascii="Garamond" w:hAnsi="Garamond"/>
        </w:rPr>
        <w:t>By</w:t>
      </w:r>
      <w:r w:rsidR="004C7A7B" w:rsidRPr="004C7A7B">
        <w:rPr>
          <w:rFonts w:ascii="Garamond" w:hAnsi="Garamond"/>
        </w:rPr>
        <w:t xml:space="preserve"> </w:t>
      </w:r>
      <w:r w:rsidR="009634FC">
        <w:rPr>
          <w:rFonts w:ascii="Garamond" w:hAnsi="Garamond"/>
        </w:rPr>
        <w:t>s.</w:t>
      </w:r>
      <w:r w:rsidR="004C7A7B" w:rsidRPr="004C7A7B">
        <w:rPr>
          <w:rFonts w:ascii="Garamond" w:hAnsi="Garamond"/>
        </w:rPr>
        <w:t>238(1)</w:t>
      </w:r>
      <w:r w:rsidR="00034EA3">
        <w:rPr>
          <w:rFonts w:ascii="Garamond" w:hAnsi="Garamond"/>
        </w:rPr>
        <w:t xml:space="preserve"> ICTA</w:t>
      </w:r>
      <w:r w:rsidR="00054F67">
        <w:rPr>
          <w:rFonts w:ascii="Garamond" w:hAnsi="Garamond"/>
        </w:rPr>
        <w:t>,</w:t>
      </w:r>
      <w:r w:rsidR="004C7A7B" w:rsidRPr="004C7A7B">
        <w:rPr>
          <w:rFonts w:ascii="Garamond" w:hAnsi="Garamond"/>
        </w:rPr>
        <w:t xml:space="preserve"> the dividend received and the tax credit together constituted “franked investment income” (“</w:t>
      </w:r>
      <w:r w:rsidR="004C7A7B" w:rsidRPr="00034EA3">
        <w:rPr>
          <w:rFonts w:ascii="Garamond" w:hAnsi="Garamond"/>
          <w:b/>
        </w:rPr>
        <w:t>FII</w:t>
      </w:r>
      <w:r w:rsidR="004C7A7B" w:rsidRPr="004C7A7B">
        <w:rPr>
          <w:rFonts w:ascii="Garamond" w:hAnsi="Garamond"/>
        </w:rPr>
        <w:t xml:space="preserve">”) in the hands of the recipient company, which, by </w:t>
      </w:r>
      <w:r w:rsidR="009634FC">
        <w:rPr>
          <w:rFonts w:ascii="Garamond" w:hAnsi="Garamond"/>
        </w:rPr>
        <w:t>s.</w:t>
      </w:r>
      <w:r w:rsidR="004C7A7B" w:rsidRPr="004C7A7B">
        <w:rPr>
          <w:rFonts w:ascii="Garamond" w:hAnsi="Garamond"/>
        </w:rPr>
        <w:t>241</w:t>
      </w:r>
      <w:r w:rsidR="00034EA3">
        <w:rPr>
          <w:rFonts w:ascii="Garamond" w:hAnsi="Garamond"/>
        </w:rPr>
        <w:t xml:space="preserve"> ICTA</w:t>
      </w:r>
      <w:r w:rsidR="004C7A7B" w:rsidRPr="004C7A7B">
        <w:rPr>
          <w:rFonts w:ascii="Garamond" w:hAnsi="Garamond"/>
        </w:rPr>
        <w:t xml:space="preserve">, </w:t>
      </w:r>
      <w:r w:rsidR="00DF0F80">
        <w:rPr>
          <w:rFonts w:ascii="Garamond" w:hAnsi="Garamond"/>
        </w:rPr>
        <w:t>could be</w:t>
      </w:r>
      <w:r w:rsidR="004C7A7B" w:rsidRPr="004C7A7B">
        <w:rPr>
          <w:rFonts w:ascii="Garamond" w:hAnsi="Garamond"/>
        </w:rPr>
        <w:t xml:space="preserve"> use</w:t>
      </w:r>
      <w:r w:rsidR="00DF0F80">
        <w:rPr>
          <w:rFonts w:ascii="Garamond" w:hAnsi="Garamond"/>
        </w:rPr>
        <w:t>d</w:t>
      </w:r>
      <w:r w:rsidR="004C7A7B" w:rsidRPr="004C7A7B">
        <w:rPr>
          <w:rFonts w:ascii="Garamond" w:hAnsi="Garamond"/>
        </w:rPr>
        <w:t xml:space="preserve"> to eliminate </w:t>
      </w:r>
      <w:r w:rsidR="00034EA3">
        <w:rPr>
          <w:rFonts w:ascii="Garamond" w:hAnsi="Garamond"/>
        </w:rPr>
        <w:t xml:space="preserve">or reduce </w:t>
      </w:r>
      <w:r w:rsidR="004C7A7B" w:rsidRPr="004C7A7B">
        <w:rPr>
          <w:rFonts w:ascii="Garamond" w:hAnsi="Garamond"/>
        </w:rPr>
        <w:t>its own liability to ACT on distributions (“</w:t>
      </w:r>
      <w:r w:rsidR="004C7A7B" w:rsidRPr="00034EA3">
        <w:rPr>
          <w:rFonts w:ascii="Garamond" w:hAnsi="Garamond"/>
          <w:b/>
        </w:rPr>
        <w:t>franked payments</w:t>
      </w:r>
      <w:r w:rsidR="004C7A7B" w:rsidRPr="004C7A7B">
        <w:rPr>
          <w:rFonts w:ascii="Garamond" w:hAnsi="Garamond"/>
        </w:rPr>
        <w:t xml:space="preserve">”) to its own shareholders. </w:t>
      </w:r>
      <w:r w:rsidR="00034EA3">
        <w:rPr>
          <w:rFonts w:ascii="Garamond" w:hAnsi="Garamond"/>
        </w:rPr>
        <w:t>In contrast</w:t>
      </w:r>
      <w:r w:rsidR="004C7A7B" w:rsidRPr="004C7A7B">
        <w:rPr>
          <w:rFonts w:ascii="Garamond" w:hAnsi="Garamond"/>
        </w:rPr>
        <w:t xml:space="preserve">, a UK-resident company </w:t>
      </w:r>
      <w:r w:rsidR="00034EA3">
        <w:rPr>
          <w:rFonts w:ascii="Garamond" w:hAnsi="Garamond"/>
        </w:rPr>
        <w:t xml:space="preserve">receiving dividends from an </w:t>
      </w:r>
      <w:r w:rsidR="00034EA3" w:rsidRPr="00990AC1">
        <w:rPr>
          <w:rFonts w:ascii="Garamond" w:hAnsi="Garamond"/>
        </w:rPr>
        <w:t>overseas company</w:t>
      </w:r>
      <w:r w:rsidR="00034EA3">
        <w:rPr>
          <w:rFonts w:ascii="Garamond" w:hAnsi="Garamond"/>
        </w:rPr>
        <w:t xml:space="preserve"> </w:t>
      </w:r>
      <w:r w:rsidR="004C7A7B" w:rsidRPr="004C7A7B">
        <w:rPr>
          <w:rFonts w:ascii="Garamond" w:hAnsi="Garamond"/>
        </w:rPr>
        <w:t>was subject to corporation tax</w:t>
      </w:r>
      <w:r w:rsidR="00034EA3">
        <w:rPr>
          <w:rFonts w:ascii="Garamond" w:hAnsi="Garamond"/>
        </w:rPr>
        <w:t xml:space="preserve"> </w:t>
      </w:r>
      <w:r w:rsidR="001A5D41">
        <w:rPr>
          <w:rFonts w:ascii="Garamond" w:hAnsi="Garamond"/>
        </w:rPr>
        <w:t xml:space="preserve">under schedule D of ICTA </w:t>
      </w:r>
      <w:r w:rsidR="00034EA3">
        <w:rPr>
          <w:rFonts w:ascii="Garamond" w:hAnsi="Garamond"/>
        </w:rPr>
        <w:t>(“DV tax”)</w:t>
      </w:r>
      <w:r w:rsidR="004775F3">
        <w:rPr>
          <w:rFonts w:ascii="Garamond" w:hAnsi="Garamond"/>
        </w:rPr>
        <w:t>.</w:t>
      </w:r>
      <w:r w:rsidR="004C7A7B" w:rsidRPr="004C7A7B">
        <w:rPr>
          <w:rFonts w:ascii="Garamond" w:hAnsi="Garamond"/>
        </w:rPr>
        <w:t xml:space="preserve"> </w:t>
      </w:r>
      <w:r w:rsidR="004775F3">
        <w:rPr>
          <w:rFonts w:ascii="Garamond" w:hAnsi="Garamond"/>
        </w:rPr>
        <w:t xml:space="preserve">Furthermore, it </w:t>
      </w:r>
      <w:r w:rsidR="004C7A7B" w:rsidRPr="004C7A7B">
        <w:rPr>
          <w:rFonts w:ascii="Garamond" w:hAnsi="Garamond"/>
        </w:rPr>
        <w:t>did not receive a tax credit on the dividends</w:t>
      </w:r>
      <w:r w:rsidR="00034EA3">
        <w:rPr>
          <w:rFonts w:ascii="Garamond" w:hAnsi="Garamond"/>
        </w:rPr>
        <w:t>, which did not qualify as FII</w:t>
      </w:r>
      <w:r w:rsidR="009B274C">
        <w:rPr>
          <w:rFonts w:ascii="Garamond" w:hAnsi="Garamond"/>
        </w:rPr>
        <w:t xml:space="preserve">, although it could be </w:t>
      </w:r>
      <w:r w:rsidR="00034EA3" w:rsidRPr="00034EA3">
        <w:rPr>
          <w:rFonts w:ascii="Garamond" w:hAnsi="Garamond"/>
        </w:rPr>
        <w:t>entitled to some relief a</w:t>
      </w:r>
      <w:r w:rsidR="00034EA3">
        <w:rPr>
          <w:rFonts w:ascii="Garamond" w:hAnsi="Garamond"/>
        </w:rPr>
        <w:t>gainst double taxation under domestic rules</w:t>
      </w:r>
      <w:r w:rsidR="00DF0F80">
        <w:rPr>
          <w:rFonts w:ascii="Garamond" w:hAnsi="Garamond"/>
        </w:rPr>
        <w:t>,</w:t>
      </w:r>
      <w:r w:rsidR="00034EA3">
        <w:rPr>
          <w:rFonts w:ascii="Garamond" w:hAnsi="Garamond"/>
        </w:rPr>
        <w:t xml:space="preserve"> or conventions </w:t>
      </w:r>
      <w:r w:rsidR="00D35B0D">
        <w:rPr>
          <w:rFonts w:ascii="Garamond" w:hAnsi="Garamond"/>
        </w:rPr>
        <w:t xml:space="preserve">between the UK and </w:t>
      </w:r>
      <w:r w:rsidR="00034EA3">
        <w:rPr>
          <w:rFonts w:ascii="Garamond" w:hAnsi="Garamond"/>
        </w:rPr>
        <w:t>other countries</w:t>
      </w:r>
      <w:r w:rsidR="004C7A7B" w:rsidRPr="004C7A7B">
        <w:rPr>
          <w:rFonts w:ascii="Garamond" w:hAnsi="Garamond"/>
        </w:rPr>
        <w:t>.</w:t>
      </w:r>
      <w:r w:rsidR="00034EA3">
        <w:rPr>
          <w:rFonts w:ascii="Garamond" w:hAnsi="Garamond"/>
        </w:rPr>
        <w:t xml:space="preserve"> </w:t>
      </w:r>
    </w:p>
    <w:p w14:paraId="4BF23CED" w14:textId="77777777" w:rsidR="00BB7280" w:rsidRDefault="00BB7280" w:rsidP="00B46ECD">
      <w:pPr>
        <w:jc w:val="both"/>
        <w:rPr>
          <w:rFonts w:ascii="Garamond" w:hAnsi="Garamond"/>
        </w:rPr>
      </w:pPr>
    </w:p>
    <w:p w14:paraId="271825E4" w14:textId="4BC41B9A" w:rsidR="00454E5B" w:rsidRDefault="003348CC" w:rsidP="00B46ECD">
      <w:pPr>
        <w:jc w:val="both"/>
        <w:rPr>
          <w:rFonts w:ascii="Garamond" w:hAnsi="Garamond"/>
        </w:rPr>
      </w:pPr>
      <w:r>
        <w:rPr>
          <w:rFonts w:ascii="Garamond" w:hAnsi="Garamond"/>
        </w:rPr>
        <w:t xml:space="preserve">PAC brought a claim to recover corporation tax and </w:t>
      </w:r>
      <w:r w:rsidRPr="009634FC">
        <w:rPr>
          <w:rFonts w:ascii="Garamond" w:hAnsi="Garamond"/>
        </w:rPr>
        <w:t>ACT</w:t>
      </w:r>
      <w:r>
        <w:rPr>
          <w:rFonts w:ascii="Garamond" w:hAnsi="Garamond"/>
        </w:rPr>
        <w:t xml:space="preserve"> levied contrary to EU law. </w:t>
      </w:r>
      <w:r w:rsidR="00054F67">
        <w:rPr>
          <w:rFonts w:ascii="Garamond" w:hAnsi="Garamond"/>
        </w:rPr>
        <w:t xml:space="preserve">Before PAC’s claim was heard, </w:t>
      </w:r>
      <w:r w:rsidR="00FA2E60">
        <w:rPr>
          <w:rFonts w:ascii="Garamond" w:hAnsi="Garamond"/>
        </w:rPr>
        <w:t xml:space="preserve">the </w:t>
      </w:r>
      <w:r w:rsidR="00D35B0D">
        <w:rPr>
          <w:rFonts w:ascii="Garamond" w:hAnsi="Garamond"/>
        </w:rPr>
        <w:t>Court of Justice of the European Union (“</w:t>
      </w:r>
      <w:r w:rsidR="00FA2E60" w:rsidRPr="00A23B29">
        <w:rPr>
          <w:rFonts w:ascii="Garamond" w:hAnsi="Garamond"/>
          <w:b/>
        </w:rPr>
        <w:t>CJEU</w:t>
      </w:r>
      <w:r w:rsidR="00D35B0D">
        <w:rPr>
          <w:rFonts w:ascii="Garamond" w:hAnsi="Garamond"/>
        </w:rPr>
        <w:t>”)</w:t>
      </w:r>
      <w:r w:rsidR="00FA2E60">
        <w:rPr>
          <w:rFonts w:ascii="Garamond" w:hAnsi="Garamond"/>
        </w:rPr>
        <w:t xml:space="preserve"> </w:t>
      </w:r>
      <w:r w:rsidR="00BB7280">
        <w:rPr>
          <w:rFonts w:ascii="Garamond" w:hAnsi="Garamond"/>
        </w:rPr>
        <w:t>concluded</w:t>
      </w:r>
      <w:r w:rsidR="00BB7280" w:rsidRPr="004A41F7">
        <w:rPr>
          <w:rFonts w:ascii="Garamond" w:hAnsi="Garamond"/>
        </w:rPr>
        <w:t xml:space="preserve"> </w:t>
      </w:r>
      <w:r w:rsidR="00054F67">
        <w:rPr>
          <w:rFonts w:ascii="Garamond" w:hAnsi="Garamond"/>
        </w:rPr>
        <w:t xml:space="preserve">in two decisions </w:t>
      </w:r>
      <w:r w:rsidR="00BB7280" w:rsidRPr="004A41F7">
        <w:rPr>
          <w:rFonts w:ascii="Garamond" w:hAnsi="Garamond"/>
        </w:rPr>
        <w:t xml:space="preserve">that </w:t>
      </w:r>
      <w:r w:rsidR="00BB7280">
        <w:rPr>
          <w:rFonts w:ascii="Garamond" w:hAnsi="Garamond"/>
        </w:rPr>
        <w:t>th</w:t>
      </w:r>
      <w:r w:rsidR="00C177C9">
        <w:rPr>
          <w:rFonts w:ascii="Garamond" w:hAnsi="Garamond"/>
        </w:rPr>
        <w:t>e UK’s</w:t>
      </w:r>
      <w:r w:rsidR="00BB7280">
        <w:rPr>
          <w:rFonts w:ascii="Garamond" w:hAnsi="Garamond"/>
        </w:rPr>
        <w:t xml:space="preserve"> treatment</w:t>
      </w:r>
      <w:r w:rsidR="00BB7280" w:rsidRPr="004A41F7">
        <w:rPr>
          <w:rFonts w:ascii="Garamond" w:hAnsi="Garamond"/>
        </w:rPr>
        <w:t xml:space="preserve"> of </w:t>
      </w:r>
      <w:r w:rsidR="00BB7280">
        <w:rPr>
          <w:rFonts w:ascii="Garamond" w:hAnsi="Garamond"/>
        </w:rPr>
        <w:t xml:space="preserve">overseas dividends was contrary to </w:t>
      </w:r>
      <w:r w:rsidR="00A23B29">
        <w:rPr>
          <w:rFonts w:ascii="Garamond" w:hAnsi="Garamond"/>
        </w:rPr>
        <w:t>EU law</w:t>
      </w:r>
      <w:r w:rsidR="00ED2F6F">
        <w:rPr>
          <w:rFonts w:ascii="Garamond" w:hAnsi="Garamond"/>
        </w:rPr>
        <w:t xml:space="preserve"> in that it treated dividends received from </w:t>
      </w:r>
      <w:r w:rsidR="004B3510">
        <w:rPr>
          <w:rFonts w:ascii="Garamond" w:hAnsi="Garamond"/>
        </w:rPr>
        <w:t>overseas</w:t>
      </w:r>
      <w:r w:rsidR="00ED2F6F">
        <w:rPr>
          <w:rFonts w:ascii="Garamond" w:hAnsi="Garamond"/>
        </w:rPr>
        <w:t xml:space="preserve"> companies </w:t>
      </w:r>
      <w:r w:rsidR="00FA2E60">
        <w:rPr>
          <w:rFonts w:ascii="Garamond" w:hAnsi="Garamond"/>
        </w:rPr>
        <w:t xml:space="preserve">less favourably than dividends </w:t>
      </w:r>
      <w:r w:rsidR="00ED2F6F">
        <w:rPr>
          <w:rFonts w:ascii="Garamond" w:hAnsi="Garamond"/>
        </w:rPr>
        <w:t>from UK-resident companies</w:t>
      </w:r>
      <w:r w:rsidR="00BB7280" w:rsidRPr="002C4B42">
        <w:rPr>
          <w:rFonts w:ascii="Garamond" w:hAnsi="Garamond"/>
        </w:rPr>
        <w:t>.</w:t>
      </w:r>
      <w:r w:rsidR="00BB7280">
        <w:rPr>
          <w:rStyle w:val="FootnoteReference"/>
          <w:rFonts w:ascii="Garamond" w:hAnsi="Garamond"/>
        </w:rPr>
        <w:footnoteReference w:id="1"/>
      </w:r>
      <w:r w:rsidR="00BB7280">
        <w:rPr>
          <w:rFonts w:ascii="Garamond" w:hAnsi="Garamond"/>
        </w:rPr>
        <w:t xml:space="preserve"> </w:t>
      </w:r>
      <w:r w:rsidR="00A23B29">
        <w:rPr>
          <w:rFonts w:ascii="Garamond" w:hAnsi="Garamond"/>
        </w:rPr>
        <w:t>Following these decisions, t</w:t>
      </w:r>
      <w:r w:rsidR="00D35B0D">
        <w:rPr>
          <w:rFonts w:ascii="Garamond" w:hAnsi="Garamond"/>
        </w:rPr>
        <w:t xml:space="preserve">he </w:t>
      </w:r>
      <w:r w:rsidR="00A23B29">
        <w:rPr>
          <w:rFonts w:ascii="Garamond" w:hAnsi="Garamond"/>
        </w:rPr>
        <w:t xml:space="preserve">first instance </w:t>
      </w:r>
      <w:r w:rsidR="00D35B0D">
        <w:rPr>
          <w:rFonts w:ascii="Garamond" w:hAnsi="Garamond"/>
        </w:rPr>
        <w:t xml:space="preserve">judge </w:t>
      </w:r>
      <w:r w:rsidR="00BB7280">
        <w:rPr>
          <w:rFonts w:ascii="Garamond" w:hAnsi="Garamond"/>
        </w:rPr>
        <w:t>gave two judgment</w:t>
      </w:r>
      <w:r w:rsidR="00C177C9">
        <w:rPr>
          <w:rFonts w:ascii="Garamond" w:hAnsi="Garamond"/>
        </w:rPr>
        <w:t>s</w:t>
      </w:r>
      <w:r w:rsidR="00FA2E60">
        <w:rPr>
          <w:rFonts w:ascii="Garamond" w:hAnsi="Garamond"/>
        </w:rPr>
        <w:t xml:space="preserve"> in favour of PAC</w:t>
      </w:r>
      <w:r w:rsidR="00BB7280">
        <w:rPr>
          <w:rFonts w:ascii="Garamond" w:hAnsi="Garamond"/>
        </w:rPr>
        <w:t xml:space="preserve">. The Court of Appeal dismissed HMRC’s appeal against the judge’s conclusions on Issues I, </w:t>
      </w:r>
      <w:r w:rsidR="00C177C9">
        <w:rPr>
          <w:rFonts w:ascii="Garamond" w:hAnsi="Garamond"/>
        </w:rPr>
        <w:t>II, III and IV</w:t>
      </w:r>
      <w:r w:rsidR="00FA2E60">
        <w:rPr>
          <w:rFonts w:ascii="Garamond" w:hAnsi="Garamond"/>
        </w:rPr>
        <w:t xml:space="preserve"> below</w:t>
      </w:r>
      <w:r w:rsidR="00BB7280">
        <w:rPr>
          <w:rFonts w:ascii="Garamond" w:hAnsi="Garamond"/>
        </w:rPr>
        <w:t xml:space="preserve">, and allowed in part </w:t>
      </w:r>
      <w:r w:rsidR="00C177C9">
        <w:rPr>
          <w:rFonts w:ascii="Garamond" w:hAnsi="Garamond"/>
        </w:rPr>
        <w:t>their</w:t>
      </w:r>
      <w:r w:rsidR="00BB7280">
        <w:rPr>
          <w:rFonts w:ascii="Garamond" w:hAnsi="Garamond"/>
        </w:rPr>
        <w:t xml:space="preserve"> appeal </w:t>
      </w:r>
      <w:r w:rsidR="00C177C9">
        <w:rPr>
          <w:rFonts w:ascii="Garamond" w:hAnsi="Garamond"/>
        </w:rPr>
        <w:t>on</w:t>
      </w:r>
      <w:r w:rsidR="00BB7280">
        <w:rPr>
          <w:rFonts w:ascii="Garamond" w:hAnsi="Garamond"/>
        </w:rPr>
        <w:t xml:space="preserve"> Issue V</w:t>
      </w:r>
      <w:r w:rsidR="00C177C9">
        <w:rPr>
          <w:rFonts w:ascii="Garamond" w:hAnsi="Garamond"/>
        </w:rPr>
        <w:t>.</w:t>
      </w:r>
      <w:r w:rsidR="00BB7280">
        <w:rPr>
          <w:rFonts w:ascii="Garamond" w:hAnsi="Garamond"/>
        </w:rPr>
        <w:t xml:space="preserve"> </w:t>
      </w:r>
      <w:r w:rsidR="00761A43">
        <w:rPr>
          <w:rFonts w:ascii="Garamond" w:hAnsi="Garamond"/>
        </w:rPr>
        <w:t>It is</w:t>
      </w:r>
      <w:r w:rsidR="00BB7280">
        <w:rPr>
          <w:rFonts w:ascii="Garamond" w:hAnsi="Garamond"/>
        </w:rPr>
        <w:t xml:space="preserve"> </w:t>
      </w:r>
      <w:r w:rsidR="00761A43">
        <w:rPr>
          <w:rFonts w:ascii="Garamond" w:hAnsi="Garamond"/>
        </w:rPr>
        <w:t>common ground that</w:t>
      </w:r>
      <w:r w:rsidR="000764B2" w:rsidRPr="00355671">
        <w:rPr>
          <w:rFonts w:ascii="Garamond" w:hAnsi="Garamond"/>
        </w:rPr>
        <w:t xml:space="preserve"> PAC is entitled to an appropriate tax credit</w:t>
      </w:r>
      <w:r w:rsidR="00355671" w:rsidRPr="00355671">
        <w:rPr>
          <w:rFonts w:ascii="Garamond" w:hAnsi="Garamond"/>
        </w:rPr>
        <w:t xml:space="preserve">, and </w:t>
      </w:r>
      <w:r w:rsidR="000764B2" w:rsidRPr="00355671">
        <w:rPr>
          <w:rFonts w:ascii="Garamond" w:hAnsi="Garamond"/>
        </w:rPr>
        <w:t>to repayment of any tax unlawfully</w:t>
      </w:r>
      <w:r w:rsidR="005A1360">
        <w:rPr>
          <w:rFonts w:ascii="Garamond" w:hAnsi="Garamond"/>
        </w:rPr>
        <w:t xml:space="preserve"> charged</w:t>
      </w:r>
      <w:r w:rsidR="000764B2" w:rsidRPr="00355671">
        <w:rPr>
          <w:rFonts w:ascii="Garamond" w:hAnsi="Garamond"/>
        </w:rPr>
        <w:t>. The current dispute concerns the amount to be awarded</w:t>
      </w:r>
      <w:r w:rsidR="000A0144" w:rsidRPr="00355671">
        <w:rPr>
          <w:rFonts w:ascii="Garamond" w:hAnsi="Garamond"/>
        </w:rPr>
        <w:t>, which depends on issues of domestic and EU law</w:t>
      </w:r>
      <w:r w:rsidR="00355671">
        <w:rPr>
          <w:rFonts w:ascii="Garamond" w:hAnsi="Garamond"/>
        </w:rPr>
        <w:t>.</w:t>
      </w:r>
      <w:r w:rsidR="00454E5B">
        <w:rPr>
          <w:rFonts w:ascii="Garamond" w:hAnsi="Garamond"/>
        </w:rPr>
        <w:t xml:space="preserve"> </w:t>
      </w:r>
    </w:p>
    <w:p w14:paraId="647274D7" w14:textId="77777777" w:rsidR="006C6196" w:rsidRDefault="006C6196" w:rsidP="00B46ECD">
      <w:pPr>
        <w:jc w:val="both"/>
        <w:rPr>
          <w:rFonts w:ascii="Garamond" w:hAnsi="Garamond"/>
        </w:rPr>
      </w:pPr>
    </w:p>
    <w:p w14:paraId="15F95438" w14:textId="77777777" w:rsidR="00A16C02" w:rsidRDefault="00A16C02" w:rsidP="00B46ECD">
      <w:pPr>
        <w:jc w:val="both"/>
        <w:rPr>
          <w:rFonts w:ascii="Garamond" w:hAnsi="Garamond"/>
          <w:b/>
        </w:rPr>
      </w:pPr>
      <w:r>
        <w:rPr>
          <w:rFonts w:ascii="Garamond" w:hAnsi="Garamond"/>
          <w:b/>
        </w:rPr>
        <w:t>JUDGMENT</w:t>
      </w:r>
    </w:p>
    <w:p w14:paraId="1920A257" w14:textId="7B73C109" w:rsidR="00A16C02" w:rsidRDefault="00A33577" w:rsidP="00B46ECD">
      <w:pPr>
        <w:jc w:val="both"/>
        <w:rPr>
          <w:rFonts w:ascii="Garamond" w:hAnsi="Garamond"/>
        </w:rPr>
      </w:pPr>
      <w:r>
        <w:rPr>
          <w:rFonts w:ascii="Garamond" w:hAnsi="Garamond"/>
        </w:rPr>
        <w:t xml:space="preserve">The Supreme Court </w:t>
      </w:r>
      <w:r w:rsidR="00D35B0D">
        <w:rPr>
          <w:rFonts w:ascii="Garamond" w:hAnsi="Garamond"/>
        </w:rPr>
        <w:t xml:space="preserve">unanimously </w:t>
      </w:r>
      <w:r w:rsidR="00DF0F80">
        <w:rPr>
          <w:rFonts w:ascii="Garamond" w:hAnsi="Garamond"/>
        </w:rPr>
        <w:t xml:space="preserve">dismisses HMRC’s appeal on Issue I, </w:t>
      </w:r>
      <w:r w:rsidR="00C76F00">
        <w:rPr>
          <w:rFonts w:ascii="Garamond" w:hAnsi="Garamond"/>
        </w:rPr>
        <w:t xml:space="preserve">allows HMRC’s appeal </w:t>
      </w:r>
      <w:r w:rsidR="00DF0F80">
        <w:rPr>
          <w:rFonts w:ascii="Garamond" w:hAnsi="Garamond"/>
        </w:rPr>
        <w:t xml:space="preserve">on Issues II and III, </w:t>
      </w:r>
      <w:r w:rsidR="00BC536C">
        <w:rPr>
          <w:rFonts w:ascii="Garamond" w:hAnsi="Garamond"/>
        </w:rPr>
        <w:t>and allows PAC’s cross-appeal</w:t>
      </w:r>
      <w:r w:rsidR="00DF0F80">
        <w:rPr>
          <w:rFonts w:ascii="Garamond" w:hAnsi="Garamond"/>
        </w:rPr>
        <w:t xml:space="preserve"> on Issue V</w:t>
      </w:r>
      <w:r w:rsidR="00CA1397">
        <w:rPr>
          <w:rFonts w:ascii="Garamond" w:hAnsi="Garamond"/>
        </w:rPr>
        <w:t xml:space="preserve">. </w:t>
      </w:r>
      <w:r w:rsidR="00C76F00" w:rsidRPr="005A1360">
        <w:rPr>
          <w:rFonts w:ascii="Garamond" w:hAnsi="Garamond"/>
        </w:rPr>
        <w:t>Lord Mance, Lord Reed and Lord Hodge</w:t>
      </w:r>
      <w:r w:rsidR="00C76F00">
        <w:rPr>
          <w:rFonts w:ascii="Garamond" w:hAnsi="Garamond"/>
        </w:rPr>
        <w:t xml:space="preserve"> give a joint judgment, with which Lord Sumption and Lord Carnwath agree. </w:t>
      </w:r>
    </w:p>
    <w:p w14:paraId="1400ADB6" w14:textId="77777777" w:rsidR="00ED2F6F" w:rsidRDefault="00ED2F6F" w:rsidP="00B46ECD">
      <w:pPr>
        <w:jc w:val="both"/>
        <w:rPr>
          <w:rFonts w:ascii="Garamond" w:hAnsi="Garamond"/>
        </w:rPr>
      </w:pPr>
    </w:p>
    <w:p w14:paraId="7914EB3E" w14:textId="4F65A113" w:rsidR="00ED2F6F" w:rsidRDefault="00A16C02" w:rsidP="00B46ECD">
      <w:pPr>
        <w:jc w:val="both"/>
        <w:rPr>
          <w:rFonts w:ascii="Garamond" w:hAnsi="Garamond"/>
          <w:b/>
        </w:rPr>
      </w:pPr>
      <w:r w:rsidRPr="00A30FCD">
        <w:rPr>
          <w:rFonts w:ascii="Garamond" w:hAnsi="Garamond"/>
          <w:b/>
        </w:rPr>
        <w:t>REASONS FOR THE JUDGMENT</w:t>
      </w:r>
    </w:p>
    <w:p w14:paraId="32919858" w14:textId="77777777" w:rsidR="00082088" w:rsidRPr="00ED2F6F" w:rsidRDefault="00BC536C" w:rsidP="00B46ECD">
      <w:pPr>
        <w:jc w:val="both"/>
        <w:rPr>
          <w:rFonts w:ascii="Garamond" w:hAnsi="Garamond"/>
          <w:b/>
        </w:rPr>
      </w:pPr>
      <w:r>
        <w:rPr>
          <w:rFonts w:ascii="Garamond" w:hAnsi="Garamond"/>
          <w:u w:val="single"/>
        </w:rPr>
        <w:t>Issue I</w:t>
      </w:r>
      <w:r w:rsidR="00450AD0" w:rsidRPr="00082088">
        <w:rPr>
          <w:rFonts w:ascii="Garamond" w:hAnsi="Garamond"/>
          <w:u w:val="single"/>
        </w:rPr>
        <w:t xml:space="preserve">: </w:t>
      </w:r>
      <w:r w:rsidR="00EA2383">
        <w:rPr>
          <w:rFonts w:ascii="Garamond" w:hAnsi="Garamond"/>
          <w:u w:val="single"/>
        </w:rPr>
        <w:t>does</w:t>
      </w:r>
      <w:r w:rsidR="00450AD0" w:rsidRPr="00082088">
        <w:rPr>
          <w:rFonts w:ascii="Garamond" w:hAnsi="Garamond"/>
          <w:u w:val="single"/>
        </w:rPr>
        <w:t xml:space="preserve"> </w:t>
      </w:r>
      <w:r w:rsidR="00ED3257" w:rsidRPr="00082088">
        <w:rPr>
          <w:rFonts w:ascii="Garamond" w:hAnsi="Garamond"/>
          <w:u w:val="single"/>
        </w:rPr>
        <w:t xml:space="preserve">EU law require </w:t>
      </w:r>
      <w:r w:rsidR="00082088" w:rsidRPr="00082088">
        <w:rPr>
          <w:rFonts w:ascii="Garamond" w:hAnsi="Garamond"/>
          <w:u w:val="single"/>
        </w:rPr>
        <w:t>the</w:t>
      </w:r>
      <w:r w:rsidR="00ED3257" w:rsidRPr="00082088">
        <w:rPr>
          <w:rFonts w:ascii="Garamond" w:hAnsi="Garamond"/>
          <w:u w:val="single"/>
        </w:rPr>
        <w:t xml:space="preserve"> tax credit to be set by reference to the overseas tax </w:t>
      </w:r>
      <w:proofErr w:type="gramStart"/>
      <w:r w:rsidR="00ED3257" w:rsidRPr="00082088">
        <w:rPr>
          <w:rFonts w:ascii="Garamond" w:hAnsi="Garamond"/>
          <w:u w:val="single"/>
        </w:rPr>
        <w:t>actually paid</w:t>
      </w:r>
      <w:proofErr w:type="gramEnd"/>
      <w:r w:rsidR="00ED3257" w:rsidRPr="00082088">
        <w:rPr>
          <w:rFonts w:ascii="Garamond" w:hAnsi="Garamond"/>
          <w:u w:val="single"/>
        </w:rPr>
        <w:t xml:space="preserve">, </w:t>
      </w:r>
      <w:r w:rsidR="00761A43">
        <w:rPr>
          <w:rFonts w:ascii="Garamond" w:hAnsi="Garamond"/>
          <w:u w:val="single"/>
        </w:rPr>
        <w:t xml:space="preserve">as HMRC submit, </w:t>
      </w:r>
      <w:r w:rsidR="00ED3257" w:rsidRPr="00082088">
        <w:rPr>
          <w:rFonts w:ascii="Garamond" w:hAnsi="Garamond"/>
          <w:u w:val="single"/>
        </w:rPr>
        <w:t>or by reference to the foreign nominal tax rate (“</w:t>
      </w:r>
      <w:r w:rsidR="00ED3257" w:rsidRPr="00082088">
        <w:rPr>
          <w:rFonts w:ascii="Garamond" w:hAnsi="Garamond"/>
          <w:b/>
          <w:u w:val="single"/>
        </w:rPr>
        <w:t>FNR</w:t>
      </w:r>
      <w:r w:rsidR="00450AD0" w:rsidRPr="00082088">
        <w:rPr>
          <w:rFonts w:ascii="Garamond" w:hAnsi="Garamond"/>
          <w:u w:val="single"/>
        </w:rPr>
        <w:t>”)</w:t>
      </w:r>
      <w:r w:rsidR="00761A43">
        <w:rPr>
          <w:rFonts w:ascii="Garamond" w:hAnsi="Garamond"/>
          <w:u w:val="single"/>
        </w:rPr>
        <w:t>, as PAC submits</w:t>
      </w:r>
      <w:r w:rsidR="00EA2383">
        <w:rPr>
          <w:rFonts w:ascii="Garamond" w:hAnsi="Garamond"/>
          <w:u w:val="single"/>
        </w:rPr>
        <w:t>?</w:t>
      </w:r>
    </w:p>
    <w:p w14:paraId="168E3453" w14:textId="17F469EA" w:rsidR="00082088" w:rsidRPr="00C76F00" w:rsidRDefault="00A25121" w:rsidP="00B46ECD">
      <w:pPr>
        <w:jc w:val="both"/>
        <w:rPr>
          <w:rFonts w:ascii="Garamond" w:hAnsi="Garamond"/>
          <w:u w:val="single"/>
        </w:rPr>
      </w:pPr>
      <w:r>
        <w:rPr>
          <w:rFonts w:ascii="Garamond" w:hAnsi="Garamond"/>
        </w:rPr>
        <w:lastRenderedPageBreak/>
        <w:t xml:space="preserve">The Supreme Court dismisses HMRC’s appeal on this issue. </w:t>
      </w:r>
      <w:r w:rsidR="00232F0D">
        <w:rPr>
          <w:rFonts w:ascii="Garamond" w:hAnsi="Garamond"/>
        </w:rPr>
        <w:t>T</w:t>
      </w:r>
      <w:r w:rsidR="00232F0D" w:rsidRPr="00B73542">
        <w:rPr>
          <w:rFonts w:ascii="Garamond" w:hAnsi="Garamond"/>
        </w:rPr>
        <w:t>he CJEU jurisprudence</w:t>
      </w:r>
      <w:r w:rsidR="00232F0D">
        <w:rPr>
          <w:rFonts w:ascii="Garamond" w:hAnsi="Garamond"/>
        </w:rPr>
        <w:t xml:space="preserve">, particularly Case C-35/11 </w:t>
      </w:r>
      <w:r w:rsidR="00245F5A" w:rsidRPr="009634FC">
        <w:rPr>
          <w:rFonts w:ascii="Garamond" w:hAnsi="Garamond"/>
        </w:rPr>
        <w:t>“</w:t>
      </w:r>
      <w:r w:rsidR="00232F0D" w:rsidRPr="009634FC">
        <w:rPr>
          <w:rFonts w:ascii="Garamond" w:hAnsi="Garamond"/>
          <w:i/>
        </w:rPr>
        <w:t>FII ECJ II</w:t>
      </w:r>
      <w:r w:rsidR="00245F5A" w:rsidRPr="009634FC">
        <w:rPr>
          <w:rFonts w:ascii="Garamond" w:hAnsi="Garamond"/>
          <w:i/>
        </w:rPr>
        <w:t>”</w:t>
      </w:r>
      <w:r w:rsidR="00232F0D" w:rsidRPr="009634FC">
        <w:rPr>
          <w:rFonts w:ascii="Garamond" w:hAnsi="Garamond"/>
        </w:rPr>
        <w:t>,</w:t>
      </w:r>
      <w:r w:rsidR="00232F0D">
        <w:rPr>
          <w:rFonts w:ascii="Garamond" w:hAnsi="Garamond"/>
        </w:rPr>
        <w:t xml:space="preserve"> </w:t>
      </w:r>
      <w:r w:rsidR="00232F0D" w:rsidRPr="00B73542">
        <w:rPr>
          <w:rFonts w:ascii="Garamond" w:hAnsi="Garamond"/>
        </w:rPr>
        <w:t>clearly</w:t>
      </w:r>
      <w:r w:rsidR="00232F0D">
        <w:rPr>
          <w:rFonts w:ascii="Garamond" w:hAnsi="Garamond"/>
        </w:rPr>
        <w:t xml:space="preserve"> establishes </w:t>
      </w:r>
      <w:r w:rsidR="00245F5A" w:rsidRPr="00245F5A">
        <w:rPr>
          <w:rFonts w:ascii="Garamond" w:hAnsi="Garamond"/>
        </w:rPr>
        <w:t>that the credit for foreign dividends should be by reference to the FNR, rather than by reference to the actual or effective tax incurred overseas.</w:t>
      </w:r>
      <w:r w:rsidR="00245F5A">
        <w:rPr>
          <w:rFonts w:ascii="Garamond" w:hAnsi="Garamond"/>
        </w:rPr>
        <w:t xml:space="preserve"> </w:t>
      </w:r>
      <w:r w:rsidR="008D027C">
        <w:rPr>
          <w:rFonts w:ascii="Garamond" w:hAnsi="Garamond"/>
        </w:rPr>
        <w:t>T</w:t>
      </w:r>
      <w:r w:rsidR="00B73542">
        <w:rPr>
          <w:rFonts w:ascii="Garamond" w:hAnsi="Garamond"/>
        </w:rPr>
        <w:t xml:space="preserve">here is no </w:t>
      </w:r>
      <w:r w:rsidR="00082088">
        <w:rPr>
          <w:rFonts w:ascii="Garamond" w:hAnsi="Garamond"/>
        </w:rPr>
        <w:t>suggestion</w:t>
      </w:r>
      <w:r w:rsidR="00B73542">
        <w:rPr>
          <w:rFonts w:ascii="Garamond" w:hAnsi="Garamond"/>
        </w:rPr>
        <w:t xml:space="preserve"> in </w:t>
      </w:r>
      <w:r w:rsidR="00B73542" w:rsidRPr="00B73542">
        <w:rPr>
          <w:rFonts w:ascii="Garamond" w:hAnsi="Garamond"/>
        </w:rPr>
        <w:t>the CJEU case law</w:t>
      </w:r>
      <w:r w:rsidR="00B73542">
        <w:rPr>
          <w:rFonts w:ascii="Garamond" w:hAnsi="Garamond"/>
          <w:i/>
        </w:rPr>
        <w:t xml:space="preserve"> </w:t>
      </w:r>
      <w:r w:rsidR="00B73542">
        <w:rPr>
          <w:rFonts w:ascii="Garamond" w:hAnsi="Garamond"/>
        </w:rPr>
        <w:t>that a</w:t>
      </w:r>
      <w:r w:rsidR="00245F5A">
        <w:rPr>
          <w:rFonts w:ascii="Garamond" w:hAnsi="Garamond"/>
        </w:rPr>
        <w:t>ny</w:t>
      </w:r>
      <w:r w:rsidR="00B73542">
        <w:rPr>
          <w:rFonts w:ascii="Garamond" w:hAnsi="Garamond"/>
        </w:rPr>
        <w:t xml:space="preserve"> distinction</w:t>
      </w:r>
      <w:r w:rsidR="00082088">
        <w:rPr>
          <w:rFonts w:ascii="Garamond" w:hAnsi="Garamond"/>
        </w:rPr>
        <w:t xml:space="preserve"> </w:t>
      </w:r>
      <w:r w:rsidR="00245F5A">
        <w:rPr>
          <w:rFonts w:ascii="Garamond" w:hAnsi="Garamond"/>
        </w:rPr>
        <w:t>is to be drawn i</w:t>
      </w:r>
      <w:r w:rsidR="00082088">
        <w:rPr>
          <w:rFonts w:ascii="Garamond" w:hAnsi="Garamond"/>
        </w:rPr>
        <w:t>n this respect</w:t>
      </w:r>
      <w:r w:rsidR="00B73542">
        <w:rPr>
          <w:rFonts w:ascii="Garamond" w:hAnsi="Garamond"/>
        </w:rPr>
        <w:t xml:space="preserve"> between portfolio and non-portfolio holdings </w:t>
      </w:r>
      <w:r w:rsidR="00B73542">
        <w:rPr>
          <w:rFonts w:ascii="Garamond" w:hAnsi="Garamond"/>
          <w:b/>
        </w:rPr>
        <w:t>[</w:t>
      </w:r>
      <w:r w:rsidR="00987FF5">
        <w:rPr>
          <w:rFonts w:ascii="Garamond" w:hAnsi="Garamond"/>
          <w:b/>
        </w:rPr>
        <w:t xml:space="preserve">17-18, </w:t>
      </w:r>
      <w:r w:rsidR="00245F5A">
        <w:rPr>
          <w:rFonts w:ascii="Garamond" w:hAnsi="Garamond"/>
          <w:b/>
        </w:rPr>
        <w:t>27-</w:t>
      </w:r>
      <w:r w:rsidR="00B73542">
        <w:rPr>
          <w:rFonts w:ascii="Garamond" w:hAnsi="Garamond"/>
          <w:b/>
        </w:rPr>
        <w:t>28]</w:t>
      </w:r>
      <w:r w:rsidR="00B73542">
        <w:rPr>
          <w:rFonts w:ascii="Garamond" w:hAnsi="Garamond"/>
        </w:rPr>
        <w:t>.</w:t>
      </w:r>
      <w:r w:rsidR="00082088">
        <w:rPr>
          <w:rFonts w:ascii="Garamond" w:hAnsi="Garamond"/>
        </w:rPr>
        <w:t xml:space="preserve"> </w:t>
      </w:r>
      <w:proofErr w:type="gramStart"/>
      <w:r w:rsidR="00C76F00">
        <w:rPr>
          <w:rFonts w:ascii="Garamond" w:hAnsi="Garamond"/>
        </w:rPr>
        <w:t>As a result of</w:t>
      </w:r>
      <w:proofErr w:type="gramEnd"/>
      <w:r w:rsidR="00C76F00">
        <w:rPr>
          <w:rFonts w:ascii="Garamond" w:hAnsi="Garamond"/>
        </w:rPr>
        <w:t xml:space="preserve"> the Court’s conclusion on </w:t>
      </w:r>
      <w:r w:rsidR="00232F0D">
        <w:rPr>
          <w:rFonts w:ascii="Garamond" w:hAnsi="Garamond"/>
        </w:rPr>
        <w:t>Issue I</w:t>
      </w:r>
      <w:r w:rsidR="00C76F00">
        <w:rPr>
          <w:rFonts w:ascii="Garamond" w:hAnsi="Garamond"/>
        </w:rPr>
        <w:t xml:space="preserve">, Issue IV </w:t>
      </w:r>
      <w:r w:rsidR="00FB11BA">
        <w:rPr>
          <w:rFonts w:ascii="Garamond" w:hAnsi="Garamond"/>
        </w:rPr>
        <w:t>(</w:t>
      </w:r>
      <w:r w:rsidR="008D027C">
        <w:rPr>
          <w:rFonts w:ascii="Garamond" w:hAnsi="Garamond"/>
        </w:rPr>
        <w:t xml:space="preserve">i.e. </w:t>
      </w:r>
      <w:r w:rsidR="00DC40CF">
        <w:rPr>
          <w:rFonts w:ascii="Garamond" w:hAnsi="Garamond"/>
        </w:rPr>
        <w:t xml:space="preserve">the </w:t>
      </w:r>
      <w:r w:rsidR="008D027C">
        <w:rPr>
          <w:rFonts w:ascii="Garamond" w:hAnsi="Garamond"/>
        </w:rPr>
        <w:t>construction of</w:t>
      </w:r>
      <w:r w:rsidR="00FB11BA">
        <w:rPr>
          <w:rFonts w:ascii="Garamond" w:hAnsi="Garamond"/>
        </w:rPr>
        <w:t xml:space="preserve"> the domestic provisions if HMRC</w:t>
      </w:r>
      <w:r w:rsidR="00DC40CF">
        <w:rPr>
          <w:rFonts w:ascii="Garamond" w:hAnsi="Garamond"/>
        </w:rPr>
        <w:t xml:space="preserve"> were to</w:t>
      </w:r>
      <w:r w:rsidR="00FB11BA">
        <w:rPr>
          <w:rFonts w:ascii="Garamond" w:hAnsi="Garamond"/>
        </w:rPr>
        <w:t xml:space="preserve"> </w:t>
      </w:r>
      <w:r w:rsidR="008D027C">
        <w:rPr>
          <w:rFonts w:ascii="Garamond" w:hAnsi="Garamond"/>
        </w:rPr>
        <w:t>succeed</w:t>
      </w:r>
      <w:r w:rsidR="00DC40CF">
        <w:rPr>
          <w:rFonts w:ascii="Garamond" w:hAnsi="Garamond"/>
        </w:rPr>
        <w:t xml:space="preserve"> on Issue I</w:t>
      </w:r>
      <w:r w:rsidR="00FB11BA">
        <w:rPr>
          <w:rFonts w:ascii="Garamond" w:hAnsi="Garamond"/>
        </w:rPr>
        <w:t xml:space="preserve">) </w:t>
      </w:r>
      <w:r w:rsidR="00C76F00">
        <w:rPr>
          <w:rFonts w:ascii="Garamond" w:hAnsi="Garamond"/>
        </w:rPr>
        <w:t xml:space="preserve">does not arise </w:t>
      </w:r>
      <w:r w:rsidR="00C76F00">
        <w:rPr>
          <w:rFonts w:ascii="Garamond" w:hAnsi="Garamond"/>
          <w:b/>
        </w:rPr>
        <w:t>[34]</w:t>
      </w:r>
      <w:r w:rsidR="00C76F00">
        <w:rPr>
          <w:rFonts w:ascii="Garamond" w:hAnsi="Garamond"/>
        </w:rPr>
        <w:t xml:space="preserve">. </w:t>
      </w:r>
    </w:p>
    <w:p w14:paraId="687A0B26" w14:textId="77777777" w:rsidR="00082088" w:rsidRDefault="00082088" w:rsidP="00B46ECD">
      <w:pPr>
        <w:jc w:val="both"/>
        <w:rPr>
          <w:rFonts w:ascii="Garamond" w:hAnsi="Garamond"/>
        </w:rPr>
      </w:pPr>
    </w:p>
    <w:p w14:paraId="2D0A9715" w14:textId="77777777" w:rsidR="00082088" w:rsidRDefault="00082088" w:rsidP="00B46ECD">
      <w:pPr>
        <w:jc w:val="both"/>
        <w:rPr>
          <w:rFonts w:ascii="Garamond" w:hAnsi="Garamond"/>
        </w:rPr>
      </w:pPr>
      <w:r w:rsidRPr="00082088">
        <w:rPr>
          <w:rFonts w:ascii="Garamond" w:hAnsi="Garamond"/>
          <w:u w:val="single"/>
        </w:rPr>
        <w:t xml:space="preserve">Issue </w:t>
      </w:r>
      <w:r w:rsidR="00BC536C">
        <w:rPr>
          <w:rFonts w:ascii="Garamond" w:hAnsi="Garamond"/>
          <w:u w:val="single"/>
        </w:rPr>
        <w:t>II</w:t>
      </w:r>
      <w:r>
        <w:rPr>
          <w:rFonts w:ascii="Garamond" w:hAnsi="Garamond"/>
          <w:u w:val="single"/>
        </w:rPr>
        <w:t xml:space="preserve">: </w:t>
      </w:r>
      <w:r w:rsidR="00472B4E">
        <w:rPr>
          <w:rFonts w:ascii="Garamond" w:hAnsi="Garamond"/>
          <w:u w:val="single"/>
        </w:rPr>
        <w:t>i</w:t>
      </w:r>
      <w:r w:rsidR="00472B4E" w:rsidRPr="00472B4E">
        <w:rPr>
          <w:rFonts w:ascii="Garamond" w:hAnsi="Garamond"/>
          <w:u w:val="single"/>
        </w:rPr>
        <w:t>s PAC entitled to compound interest in respect of tax which was levied in breach of EU law, on the basis that HMRC were unjustly enriched by the opportunity to use the money in question?</w:t>
      </w:r>
    </w:p>
    <w:p w14:paraId="0A52D826" w14:textId="160EA581" w:rsidR="008F5120" w:rsidRDefault="00A25121" w:rsidP="00B46ECD">
      <w:pPr>
        <w:jc w:val="both"/>
        <w:rPr>
          <w:rFonts w:ascii="Garamond" w:hAnsi="Garamond"/>
        </w:rPr>
      </w:pPr>
      <w:r>
        <w:rPr>
          <w:rFonts w:ascii="Garamond" w:hAnsi="Garamond"/>
        </w:rPr>
        <w:t xml:space="preserve">The Supreme Court allows HMRC’s appeal on this issue. </w:t>
      </w:r>
      <w:r w:rsidR="00C76F00">
        <w:rPr>
          <w:rFonts w:ascii="Garamond" w:hAnsi="Garamond"/>
        </w:rPr>
        <w:t xml:space="preserve">In </w:t>
      </w:r>
      <w:r w:rsidR="00472B4E" w:rsidRPr="00C65300">
        <w:rPr>
          <w:rFonts w:ascii="Garamond" w:hAnsi="Garamond"/>
          <w:i/>
        </w:rPr>
        <w:t xml:space="preserve">Sempra Metals Ltd v Inland Revenue </w:t>
      </w:r>
      <w:proofErr w:type="spellStart"/>
      <w:r w:rsidR="00472B4E" w:rsidRPr="00C65300">
        <w:rPr>
          <w:rFonts w:ascii="Garamond" w:hAnsi="Garamond"/>
          <w:i/>
        </w:rPr>
        <w:t>Comrs</w:t>
      </w:r>
      <w:proofErr w:type="spellEnd"/>
      <w:r w:rsidR="00472B4E" w:rsidRPr="00472B4E">
        <w:rPr>
          <w:rFonts w:ascii="Garamond" w:hAnsi="Garamond"/>
        </w:rPr>
        <w:t xml:space="preserve"> [2007] UKHL 34</w:t>
      </w:r>
      <w:r w:rsidR="00472B4E">
        <w:rPr>
          <w:rFonts w:ascii="Garamond" w:hAnsi="Garamond"/>
        </w:rPr>
        <w:t xml:space="preserve"> </w:t>
      </w:r>
      <w:r w:rsidR="00C76F00">
        <w:rPr>
          <w:rFonts w:ascii="Garamond" w:hAnsi="Garamond"/>
        </w:rPr>
        <w:t xml:space="preserve">a majority of </w:t>
      </w:r>
      <w:r w:rsidR="00BD022E">
        <w:rPr>
          <w:rFonts w:ascii="Garamond" w:hAnsi="Garamond"/>
        </w:rPr>
        <w:t>the House of Lords held</w:t>
      </w:r>
      <w:r w:rsidR="00C76F00">
        <w:rPr>
          <w:rFonts w:ascii="Garamond" w:hAnsi="Garamond"/>
        </w:rPr>
        <w:t xml:space="preserve"> </w:t>
      </w:r>
      <w:r w:rsidR="00C65300">
        <w:rPr>
          <w:rFonts w:ascii="Garamond" w:hAnsi="Garamond"/>
        </w:rPr>
        <w:t xml:space="preserve">that </w:t>
      </w:r>
      <w:r w:rsidR="0008050D" w:rsidRPr="0008050D">
        <w:rPr>
          <w:rFonts w:ascii="Garamond" w:hAnsi="Garamond"/>
        </w:rPr>
        <w:t xml:space="preserve">a claim would lie in unjust enrichment for restitution of compound interest on money which </w:t>
      </w:r>
      <w:r w:rsidR="008D027C">
        <w:rPr>
          <w:rFonts w:ascii="Garamond" w:hAnsi="Garamond"/>
        </w:rPr>
        <w:t xml:space="preserve">was </w:t>
      </w:r>
      <w:r w:rsidR="0008050D" w:rsidRPr="0008050D">
        <w:rPr>
          <w:rFonts w:ascii="Garamond" w:hAnsi="Garamond"/>
        </w:rPr>
        <w:t>paid prematurely as the consequence of a mistake</w:t>
      </w:r>
      <w:r w:rsidR="00EA0083">
        <w:rPr>
          <w:rFonts w:ascii="Garamond" w:hAnsi="Garamond"/>
        </w:rPr>
        <w:t xml:space="preserve"> </w:t>
      </w:r>
      <w:r w:rsidR="00EA0083">
        <w:rPr>
          <w:rFonts w:ascii="Garamond" w:hAnsi="Garamond"/>
          <w:b/>
        </w:rPr>
        <w:t>[43-55]</w:t>
      </w:r>
      <w:r w:rsidR="00C65300" w:rsidRPr="00C65300">
        <w:rPr>
          <w:rFonts w:ascii="Garamond" w:hAnsi="Garamond"/>
        </w:rPr>
        <w:t xml:space="preserve">. </w:t>
      </w:r>
      <w:proofErr w:type="gramStart"/>
      <w:r w:rsidR="0008050D" w:rsidRPr="0008050D">
        <w:rPr>
          <w:rFonts w:ascii="Garamond" w:hAnsi="Garamond"/>
        </w:rPr>
        <w:t>A number of</w:t>
      </w:r>
      <w:proofErr w:type="gramEnd"/>
      <w:r w:rsidR="0008050D" w:rsidRPr="0008050D">
        <w:rPr>
          <w:rFonts w:ascii="Garamond" w:hAnsi="Garamond"/>
        </w:rPr>
        <w:t xml:space="preserve"> developments since </w:t>
      </w:r>
      <w:r w:rsidR="0008050D">
        <w:rPr>
          <w:rFonts w:ascii="Garamond" w:hAnsi="Garamond"/>
        </w:rPr>
        <w:t xml:space="preserve">that decision </w:t>
      </w:r>
      <w:r w:rsidR="00EA2383">
        <w:rPr>
          <w:rFonts w:ascii="Garamond" w:hAnsi="Garamond"/>
        </w:rPr>
        <w:t xml:space="preserve">indicate that it </w:t>
      </w:r>
      <w:r w:rsidR="00BC536C">
        <w:rPr>
          <w:rFonts w:ascii="Garamond" w:hAnsi="Garamond"/>
        </w:rPr>
        <w:t xml:space="preserve">failed </w:t>
      </w:r>
      <w:r w:rsidR="00C65300">
        <w:rPr>
          <w:rFonts w:ascii="Garamond" w:hAnsi="Garamond"/>
        </w:rPr>
        <w:t>to have regard to</w:t>
      </w:r>
      <w:r w:rsidR="008D027C">
        <w:rPr>
          <w:rFonts w:ascii="Garamond" w:hAnsi="Garamond"/>
        </w:rPr>
        <w:t xml:space="preserve"> tax legislation, </w:t>
      </w:r>
      <w:r w:rsidR="0008050D">
        <w:rPr>
          <w:rFonts w:ascii="Garamond" w:hAnsi="Garamond"/>
        </w:rPr>
        <w:t>created</w:t>
      </w:r>
      <w:r w:rsidR="00107EFE">
        <w:rPr>
          <w:rFonts w:ascii="Garamond" w:hAnsi="Garamond"/>
        </w:rPr>
        <w:t xml:space="preserve"> problems</w:t>
      </w:r>
      <w:r w:rsidR="0008050D">
        <w:rPr>
          <w:rFonts w:ascii="Garamond" w:hAnsi="Garamond"/>
        </w:rPr>
        <w:t xml:space="preserve"> in the law</w:t>
      </w:r>
      <w:r w:rsidR="008D027C">
        <w:rPr>
          <w:rFonts w:ascii="Garamond" w:hAnsi="Garamond"/>
        </w:rPr>
        <w:t xml:space="preserve"> of limitation</w:t>
      </w:r>
      <w:r w:rsidR="0008050D">
        <w:rPr>
          <w:rFonts w:ascii="Garamond" w:hAnsi="Garamond"/>
        </w:rPr>
        <w:t xml:space="preserve">, and </w:t>
      </w:r>
      <w:r w:rsidR="008D027C">
        <w:rPr>
          <w:rFonts w:ascii="Garamond" w:hAnsi="Garamond"/>
        </w:rPr>
        <w:t xml:space="preserve">caused </w:t>
      </w:r>
      <w:r w:rsidR="0008050D">
        <w:rPr>
          <w:rFonts w:ascii="Garamond" w:hAnsi="Garamond"/>
        </w:rPr>
        <w:t xml:space="preserve">disruption in public finances </w:t>
      </w:r>
      <w:r w:rsidR="0008050D" w:rsidRPr="0008050D">
        <w:rPr>
          <w:rFonts w:ascii="Garamond" w:hAnsi="Garamond"/>
          <w:b/>
        </w:rPr>
        <w:t>[</w:t>
      </w:r>
      <w:r w:rsidR="0008050D">
        <w:rPr>
          <w:rFonts w:ascii="Garamond" w:hAnsi="Garamond"/>
          <w:b/>
        </w:rPr>
        <w:t>56-67]</w:t>
      </w:r>
      <w:r w:rsidR="00BC536C">
        <w:rPr>
          <w:rFonts w:ascii="Garamond" w:hAnsi="Garamond"/>
        </w:rPr>
        <w:t xml:space="preserve">. </w:t>
      </w:r>
      <w:r w:rsidR="00EA2383">
        <w:rPr>
          <w:rFonts w:ascii="Garamond" w:hAnsi="Garamond"/>
        </w:rPr>
        <w:t xml:space="preserve"> Furthermore, it </w:t>
      </w:r>
      <w:r w:rsidR="001A5D41">
        <w:rPr>
          <w:rFonts w:ascii="Garamond" w:hAnsi="Garamond"/>
        </w:rPr>
        <w:t xml:space="preserve">is inconsistent </w:t>
      </w:r>
      <w:r w:rsidR="00EA2383">
        <w:rPr>
          <w:rFonts w:ascii="Garamond" w:hAnsi="Garamond"/>
        </w:rPr>
        <w:t xml:space="preserve">with </w:t>
      </w:r>
      <w:r w:rsidR="004D44F6" w:rsidRPr="004D44F6">
        <w:rPr>
          <w:rFonts w:ascii="Garamond" w:hAnsi="Garamond"/>
          <w:i/>
        </w:rPr>
        <w:t xml:space="preserve">Investment Trust Companies v Revenue and Customs </w:t>
      </w:r>
      <w:proofErr w:type="spellStart"/>
      <w:r w:rsidR="004D44F6" w:rsidRPr="004D44F6">
        <w:rPr>
          <w:rFonts w:ascii="Garamond" w:hAnsi="Garamond"/>
          <w:i/>
        </w:rPr>
        <w:t>Comrs</w:t>
      </w:r>
      <w:proofErr w:type="spellEnd"/>
      <w:r w:rsidR="004D44F6" w:rsidRPr="004D44F6">
        <w:rPr>
          <w:rFonts w:ascii="Garamond" w:hAnsi="Garamond"/>
        </w:rPr>
        <w:t xml:space="preserve"> [2017] UKSC 29</w:t>
      </w:r>
      <w:r w:rsidR="00DC40CF">
        <w:rPr>
          <w:rFonts w:ascii="Garamond" w:hAnsi="Garamond"/>
        </w:rPr>
        <w:t>, which explained the requirement</w:t>
      </w:r>
      <w:r w:rsidR="00245788">
        <w:rPr>
          <w:rFonts w:ascii="Garamond" w:hAnsi="Garamond"/>
        </w:rPr>
        <w:t xml:space="preserve"> </w:t>
      </w:r>
      <w:r w:rsidR="008D027C">
        <w:rPr>
          <w:rFonts w:ascii="Garamond" w:hAnsi="Garamond"/>
        </w:rPr>
        <w:t xml:space="preserve">for </w:t>
      </w:r>
      <w:r w:rsidR="0009262B">
        <w:rPr>
          <w:rFonts w:ascii="Garamond" w:hAnsi="Garamond"/>
        </w:rPr>
        <w:t xml:space="preserve">a defective transfer of value by </w:t>
      </w:r>
      <w:r w:rsidR="004D44F6" w:rsidRPr="004D44F6">
        <w:rPr>
          <w:rFonts w:ascii="Garamond" w:hAnsi="Garamond"/>
        </w:rPr>
        <w:t xml:space="preserve">the claimant </w:t>
      </w:r>
      <w:r w:rsidR="004D44F6">
        <w:rPr>
          <w:rFonts w:ascii="Garamond" w:hAnsi="Garamond"/>
        </w:rPr>
        <w:t>to the defendant</w:t>
      </w:r>
      <w:r w:rsidR="00DC40CF">
        <w:rPr>
          <w:rFonts w:ascii="Garamond" w:hAnsi="Garamond"/>
        </w:rPr>
        <w:t>. T</w:t>
      </w:r>
      <w:r w:rsidR="004D44F6" w:rsidRPr="004D44F6">
        <w:rPr>
          <w:rFonts w:ascii="Garamond" w:hAnsi="Garamond"/>
        </w:rPr>
        <w:t xml:space="preserve">he recipient’s possession of money mistakenly paid to him, and his consequent opportunity to use it, is not a distinct </w:t>
      </w:r>
      <w:r w:rsidR="004D44F6">
        <w:rPr>
          <w:rFonts w:ascii="Garamond" w:hAnsi="Garamond"/>
        </w:rPr>
        <w:t>transfer of value</w:t>
      </w:r>
      <w:r w:rsidR="001A5D41">
        <w:rPr>
          <w:rFonts w:ascii="Garamond" w:hAnsi="Garamond"/>
        </w:rPr>
        <w:t>, additional to the payment of the money</w:t>
      </w:r>
      <w:r w:rsidR="004D44F6">
        <w:rPr>
          <w:rFonts w:ascii="Garamond" w:hAnsi="Garamond"/>
        </w:rPr>
        <w:t xml:space="preserve">. </w:t>
      </w:r>
      <w:r w:rsidR="00DC40CF">
        <w:rPr>
          <w:rFonts w:ascii="Garamond" w:hAnsi="Garamond"/>
        </w:rPr>
        <w:t>Accordingly, t</w:t>
      </w:r>
      <w:r w:rsidR="004D44F6" w:rsidRPr="004D44F6">
        <w:rPr>
          <w:rFonts w:ascii="Garamond" w:hAnsi="Garamond"/>
        </w:rPr>
        <w:t xml:space="preserve">here is no right to interest </w:t>
      </w:r>
      <w:proofErr w:type="gramStart"/>
      <w:r w:rsidR="004D44F6" w:rsidRPr="004D44F6">
        <w:rPr>
          <w:rFonts w:ascii="Garamond" w:hAnsi="Garamond"/>
        </w:rPr>
        <w:t>on the basis of</w:t>
      </w:r>
      <w:proofErr w:type="gramEnd"/>
      <w:r w:rsidR="004D44F6" w:rsidRPr="004D44F6">
        <w:rPr>
          <w:rFonts w:ascii="Garamond" w:hAnsi="Garamond"/>
        </w:rPr>
        <w:t xml:space="preserve"> unjust enrichment</w:t>
      </w:r>
      <w:r w:rsidR="004D44F6">
        <w:rPr>
          <w:rFonts w:ascii="Garamond" w:hAnsi="Garamond"/>
        </w:rPr>
        <w:t xml:space="preserve"> </w:t>
      </w:r>
      <w:r w:rsidR="004D44F6" w:rsidRPr="004D44F6">
        <w:rPr>
          <w:rFonts w:ascii="Garamond" w:hAnsi="Garamond"/>
          <w:b/>
        </w:rPr>
        <w:t>[68-74]</w:t>
      </w:r>
      <w:r w:rsidR="004D44F6">
        <w:rPr>
          <w:rFonts w:ascii="Garamond" w:hAnsi="Garamond"/>
        </w:rPr>
        <w:t>.</w:t>
      </w:r>
      <w:r w:rsidR="00626789">
        <w:rPr>
          <w:rFonts w:ascii="Garamond" w:hAnsi="Garamond"/>
        </w:rPr>
        <w:t xml:space="preserve"> </w:t>
      </w:r>
      <w:r w:rsidR="00BC536C">
        <w:rPr>
          <w:rFonts w:ascii="Garamond" w:hAnsi="Garamond"/>
        </w:rPr>
        <w:t xml:space="preserve">The Supreme Court </w:t>
      </w:r>
      <w:r w:rsidR="00EA2383">
        <w:rPr>
          <w:rFonts w:ascii="Garamond" w:hAnsi="Garamond"/>
        </w:rPr>
        <w:t>therefore</w:t>
      </w:r>
      <w:r w:rsidR="002C4B42">
        <w:rPr>
          <w:rFonts w:ascii="Garamond" w:hAnsi="Garamond"/>
        </w:rPr>
        <w:t xml:space="preserve"> </w:t>
      </w:r>
      <w:r w:rsidR="00240A4B">
        <w:rPr>
          <w:rFonts w:ascii="Garamond" w:hAnsi="Garamond"/>
        </w:rPr>
        <w:t xml:space="preserve">departs from the reasoning in </w:t>
      </w:r>
      <w:r w:rsidR="00240A4B">
        <w:rPr>
          <w:rFonts w:ascii="Garamond" w:hAnsi="Garamond"/>
          <w:i/>
        </w:rPr>
        <w:t>Sempra Metals</w:t>
      </w:r>
      <w:r w:rsidR="00240A4B">
        <w:rPr>
          <w:rFonts w:ascii="Garamond" w:hAnsi="Garamond"/>
        </w:rPr>
        <w:t xml:space="preserve"> </w:t>
      </w:r>
      <w:r w:rsidR="00EA2383">
        <w:rPr>
          <w:rFonts w:ascii="Garamond" w:hAnsi="Garamond"/>
        </w:rPr>
        <w:t xml:space="preserve">on </w:t>
      </w:r>
      <w:r w:rsidR="008D027C">
        <w:rPr>
          <w:rFonts w:ascii="Garamond" w:hAnsi="Garamond"/>
        </w:rPr>
        <w:t>this issue</w:t>
      </w:r>
      <w:r w:rsidR="00ED2F6F">
        <w:rPr>
          <w:rFonts w:ascii="Garamond" w:hAnsi="Garamond"/>
        </w:rPr>
        <w:t xml:space="preserve"> and rejects PAC’s</w:t>
      </w:r>
      <w:r w:rsidR="00BC536C">
        <w:rPr>
          <w:rFonts w:ascii="Garamond" w:hAnsi="Garamond"/>
        </w:rPr>
        <w:t xml:space="preserve"> </w:t>
      </w:r>
      <w:r w:rsidR="00131CBD" w:rsidRPr="00131CBD">
        <w:rPr>
          <w:rFonts w:ascii="Garamond" w:hAnsi="Garamond"/>
        </w:rPr>
        <w:t xml:space="preserve">claims to compound interest </w:t>
      </w:r>
      <w:r w:rsidR="00EA2383">
        <w:rPr>
          <w:rFonts w:ascii="Garamond" w:hAnsi="Garamond"/>
        </w:rPr>
        <w:t xml:space="preserve">(except </w:t>
      </w:r>
      <w:r w:rsidR="008D027C">
        <w:rPr>
          <w:rFonts w:ascii="Garamond" w:hAnsi="Garamond"/>
        </w:rPr>
        <w:t>insofar as</w:t>
      </w:r>
      <w:r w:rsidR="00ED2F6F">
        <w:rPr>
          <w:rFonts w:ascii="Garamond" w:hAnsi="Garamond"/>
        </w:rPr>
        <w:t xml:space="preserve"> they were </w:t>
      </w:r>
      <w:r w:rsidR="00EA2383">
        <w:rPr>
          <w:rFonts w:ascii="Garamond" w:hAnsi="Garamond"/>
        </w:rPr>
        <w:t xml:space="preserve">conceded by HMRC) </w:t>
      </w:r>
      <w:r w:rsidR="00131CBD">
        <w:rPr>
          <w:rFonts w:ascii="Garamond" w:hAnsi="Garamond"/>
          <w:b/>
        </w:rPr>
        <w:t>[80]</w:t>
      </w:r>
      <w:r w:rsidR="00131CBD">
        <w:rPr>
          <w:rFonts w:ascii="Garamond" w:hAnsi="Garamond"/>
        </w:rPr>
        <w:t>.</w:t>
      </w:r>
    </w:p>
    <w:p w14:paraId="273AE347" w14:textId="77777777" w:rsidR="00107EFE" w:rsidRDefault="00240A4B" w:rsidP="00B46ECD">
      <w:pPr>
        <w:jc w:val="both"/>
        <w:rPr>
          <w:rFonts w:ascii="Garamond" w:hAnsi="Garamond"/>
        </w:rPr>
      </w:pPr>
      <w:r>
        <w:rPr>
          <w:rFonts w:ascii="Garamond" w:hAnsi="Garamond"/>
        </w:rPr>
        <w:t xml:space="preserve">  </w:t>
      </w:r>
    </w:p>
    <w:p w14:paraId="192DDA7C" w14:textId="77777777" w:rsidR="008F5120" w:rsidRPr="008F5120" w:rsidRDefault="008F5120" w:rsidP="00B46ECD">
      <w:pPr>
        <w:jc w:val="both"/>
        <w:rPr>
          <w:rFonts w:ascii="Garamond" w:hAnsi="Garamond"/>
          <w:u w:val="single"/>
        </w:rPr>
      </w:pPr>
      <w:r w:rsidRPr="008F5120">
        <w:rPr>
          <w:rFonts w:ascii="Garamond" w:hAnsi="Garamond"/>
          <w:u w:val="single"/>
        </w:rPr>
        <w:t xml:space="preserve">Issue </w:t>
      </w:r>
      <w:r w:rsidR="00BC536C">
        <w:rPr>
          <w:rFonts w:ascii="Garamond" w:hAnsi="Garamond"/>
          <w:u w:val="single"/>
        </w:rPr>
        <w:t>III</w:t>
      </w:r>
      <w:r w:rsidRPr="008F5120">
        <w:rPr>
          <w:rFonts w:ascii="Garamond" w:hAnsi="Garamond"/>
          <w:u w:val="single"/>
        </w:rPr>
        <w:t>: does a claim in restitution lie to recover lawful ACT which was set against unlawful</w:t>
      </w:r>
      <w:r w:rsidR="00ED2F6F">
        <w:rPr>
          <w:rFonts w:ascii="Garamond" w:hAnsi="Garamond"/>
          <w:u w:val="single"/>
        </w:rPr>
        <w:t xml:space="preserve"> mainstream corporation tax</w:t>
      </w:r>
      <w:r w:rsidRPr="008F5120">
        <w:rPr>
          <w:rFonts w:ascii="Garamond" w:hAnsi="Garamond"/>
          <w:u w:val="single"/>
        </w:rPr>
        <w:t xml:space="preserve"> </w:t>
      </w:r>
      <w:r w:rsidR="00ED2F6F">
        <w:rPr>
          <w:rFonts w:ascii="Garamond" w:hAnsi="Garamond"/>
          <w:u w:val="single"/>
        </w:rPr>
        <w:t>(“</w:t>
      </w:r>
      <w:r w:rsidR="00245788" w:rsidRPr="00ED2F6F">
        <w:rPr>
          <w:rFonts w:ascii="Garamond" w:hAnsi="Garamond"/>
          <w:b/>
          <w:u w:val="single"/>
        </w:rPr>
        <w:t>MCT</w:t>
      </w:r>
      <w:r w:rsidR="00ED2F6F">
        <w:rPr>
          <w:rFonts w:ascii="Garamond" w:hAnsi="Garamond"/>
          <w:u w:val="single"/>
        </w:rPr>
        <w:t>”)</w:t>
      </w:r>
      <w:r w:rsidR="00245788">
        <w:rPr>
          <w:rFonts w:ascii="Garamond" w:hAnsi="Garamond"/>
          <w:u w:val="single"/>
        </w:rPr>
        <w:t>?</w:t>
      </w:r>
      <w:r w:rsidR="00245788">
        <w:rPr>
          <w:rStyle w:val="FootnoteReference"/>
          <w:rFonts w:ascii="Garamond" w:hAnsi="Garamond"/>
          <w:u w:val="single"/>
        </w:rPr>
        <w:footnoteReference w:id="2"/>
      </w:r>
    </w:p>
    <w:p w14:paraId="0F2389A9" w14:textId="746DF74E" w:rsidR="00A453E1" w:rsidRDefault="00A453E1" w:rsidP="00B46ECD">
      <w:pPr>
        <w:jc w:val="both"/>
        <w:rPr>
          <w:rFonts w:ascii="Garamond" w:hAnsi="Garamond"/>
        </w:rPr>
      </w:pPr>
      <w:r>
        <w:rPr>
          <w:rFonts w:ascii="Garamond" w:hAnsi="Garamond"/>
        </w:rPr>
        <w:t xml:space="preserve">The </w:t>
      </w:r>
      <w:r w:rsidR="00245788">
        <w:rPr>
          <w:rFonts w:ascii="Garamond" w:hAnsi="Garamond"/>
        </w:rPr>
        <w:t>Supreme</w:t>
      </w:r>
      <w:r>
        <w:rPr>
          <w:rFonts w:ascii="Garamond" w:hAnsi="Garamond"/>
        </w:rPr>
        <w:t xml:space="preserve"> Court allows HMRC’s appeal on this issue</w:t>
      </w:r>
      <w:r w:rsidR="00FA2E60">
        <w:rPr>
          <w:rFonts w:ascii="Garamond" w:hAnsi="Garamond"/>
        </w:rPr>
        <w:t>, answering this question in the negative</w:t>
      </w:r>
      <w:r>
        <w:rPr>
          <w:rFonts w:ascii="Garamond" w:hAnsi="Garamond"/>
        </w:rPr>
        <w:t xml:space="preserve">. </w:t>
      </w:r>
      <w:r w:rsidR="007B0F6C">
        <w:rPr>
          <w:rFonts w:ascii="Garamond" w:hAnsi="Garamond"/>
        </w:rPr>
        <w:t>When t</w:t>
      </w:r>
      <w:r w:rsidR="00245788" w:rsidRPr="00245788">
        <w:rPr>
          <w:rFonts w:ascii="Garamond" w:hAnsi="Garamond"/>
        </w:rPr>
        <w:t>he lawful ACT</w:t>
      </w:r>
      <w:r w:rsidR="009B274C">
        <w:rPr>
          <w:rFonts w:ascii="Garamond" w:hAnsi="Garamond"/>
        </w:rPr>
        <w:t xml:space="preserve"> was set against unlawful MCT</w:t>
      </w:r>
      <w:r w:rsidR="00FA2E60">
        <w:rPr>
          <w:rFonts w:ascii="Garamond" w:hAnsi="Garamond"/>
        </w:rPr>
        <w:t>, HMRC</w:t>
      </w:r>
      <w:r w:rsidR="00245788" w:rsidRPr="00245788">
        <w:rPr>
          <w:rFonts w:ascii="Garamond" w:hAnsi="Garamond"/>
        </w:rPr>
        <w:t xml:space="preserve"> did not receive unlawfully levied tax</w:t>
      </w:r>
      <w:r w:rsidR="00245788">
        <w:rPr>
          <w:rFonts w:ascii="Garamond" w:hAnsi="Garamond"/>
        </w:rPr>
        <w:t>,</w:t>
      </w:r>
      <w:r w:rsidR="00245788" w:rsidRPr="00245788">
        <w:rPr>
          <w:rFonts w:ascii="Garamond" w:hAnsi="Garamond"/>
        </w:rPr>
        <w:t xml:space="preserve"> </w:t>
      </w:r>
      <w:r w:rsidR="00245788">
        <w:rPr>
          <w:rFonts w:ascii="Garamond" w:hAnsi="Garamond"/>
        </w:rPr>
        <w:t xml:space="preserve">as required for </w:t>
      </w:r>
      <w:r w:rsidR="00FA2E60">
        <w:rPr>
          <w:rFonts w:ascii="Garamond" w:hAnsi="Garamond"/>
        </w:rPr>
        <w:t>a</w:t>
      </w:r>
      <w:r w:rsidR="00DA0244">
        <w:rPr>
          <w:rFonts w:ascii="Garamond" w:hAnsi="Garamond"/>
        </w:rPr>
        <w:t xml:space="preserve"> </w:t>
      </w:r>
      <w:r w:rsidR="00ED2F6F">
        <w:rPr>
          <w:rFonts w:ascii="Garamond" w:hAnsi="Garamond"/>
        </w:rPr>
        <w:t>“</w:t>
      </w:r>
      <w:r w:rsidR="00ED2F6F">
        <w:rPr>
          <w:rFonts w:ascii="Garamond" w:hAnsi="Garamond"/>
          <w:i/>
        </w:rPr>
        <w:t xml:space="preserve">San </w:t>
      </w:r>
      <w:r w:rsidR="00ED2F6F" w:rsidRPr="00ED2F6F">
        <w:rPr>
          <w:rFonts w:ascii="Garamond" w:hAnsi="Garamond"/>
          <w:i/>
        </w:rPr>
        <w:t>Giorg</w:t>
      </w:r>
      <w:r w:rsidR="0009262B">
        <w:rPr>
          <w:rFonts w:ascii="Garamond" w:hAnsi="Garamond"/>
          <w:i/>
        </w:rPr>
        <w:t>i</w:t>
      </w:r>
      <w:r w:rsidR="00ED2F6F" w:rsidRPr="00ED2F6F">
        <w:rPr>
          <w:rFonts w:ascii="Garamond" w:hAnsi="Garamond"/>
          <w:i/>
        </w:rPr>
        <w:t>o</w:t>
      </w:r>
      <w:r w:rsidR="00ED2F6F">
        <w:rPr>
          <w:rFonts w:ascii="Garamond" w:hAnsi="Garamond"/>
        </w:rPr>
        <w:t xml:space="preserve">” </w:t>
      </w:r>
      <w:r w:rsidR="00245788" w:rsidRPr="00ED2F6F">
        <w:rPr>
          <w:rFonts w:ascii="Garamond" w:hAnsi="Garamond"/>
        </w:rPr>
        <w:t>claim</w:t>
      </w:r>
      <w:r w:rsidR="00DA0244">
        <w:rPr>
          <w:rFonts w:ascii="Garamond" w:hAnsi="Garamond"/>
        </w:rPr>
        <w:t xml:space="preserve"> </w:t>
      </w:r>
      <w:r w:rsidR="00DA0244">
        <w:rPr>
          <w:rFonts w:ascii="Garamond" w:hAnsi="Garamond"/>
          <w:b/>
        </w:rPr>
        <w:t>[98]</w:t>
      </w:r>
      <w:r w:rsidR="00245788" w:rsidRPr="00245788">
        <w:rPr>
          <w:rFonts w:ascii="Garamond" w:hAnsi="Garamond"/>
        </w:rPr>
        <w:t>.</w:t>
      </w:r>
      <w:r w:rsidR="00DC40CF">
        <w:rPr>
          <w:rStyle w:val="FootnoteReference"/>
          <w:rFonts w:ascii="Garamond" w:hAnsi="Garamond"/>
        </w:rPr>
        <w:footnoteReference w:id="3"/>
      </w:r>
      <w:r w:rsidR="00DC40CF">
        <w:rPr>
          <w:rFonts w:ascii="Garamond" w:hAnsi="Garamond"/>
        </w:rPr>
        <w:t xml:space="preserve"> </w:t>
      </w:r>
      <w:r w:rsidR="009B274C">
        <w:rPr>
          <w:rFonts w:ascii="Garamond" w:hAnsi="Garamond"/>
        </w:rPr>
        <w:t>I</w:t>
      </w:r>
      <w:r w:rsidR="00245788" w:rsidRPr="00245788">
        <w:rPr>
          <w:rFonts w:ascii="Garamond" w:hAnsi="Garamond"/>
        </w:rPr>
        <w:t>f an apparent charge to MCT was unlawful, that charge was a nullity.</w:t>
      </w:r>
      <w:r w:rsidR="00245788">
        <w:rPr>
          <w:rFonts w:ascii="Garamond" w:hAnsi="Garamond"/>
        </w:rPr>
        <w:t xml:space="preserve"> </w:t>
      </w:r>
      <w:r w:rsidR="00245788" w:rsidRPr="00245788">
        <w:rPr>
          <w:rFonts w:ascii="Garamond" w:hAnsi="Garamond"/>
        </w:rPr>
        <w:t xml:space="preserve">The </w:t>
      </w:r>
      <w:r w:rsidR="009B274C">
        <w:rPr>
          <w:rFonts w:ascii="Garamond" w:hAnsi="Garamond"/>
        </w:rPr>
        <w:t xml:space="preserve">lawful </w:t>
      </w:r>
      <w:r w:rsidR="00245788" w:rsidRPr="00245788">
        <w:rPr>
          <w:rFonts w:ascii="Garamond" w:hAnsi="Garamond"/>
        </w:rPr>
        <w:t>ACT could not have been set against a nullity</w:t>
      </w:r>
      <w:r w:rsidR="00245788">
        <w:rPr>
          <w:rFonts w:ascii="Garamond" w:hAnsi="Garamond"/>
        </w:rPr>
        <w:t>,</w:t>
      </w:r>
      <w:r w:rsidR="00245788" w:rsidRPr="00245788">
        <w:rPr>
          <w:rFonts w:ascii="Garamond" w:hAnsi="Garamond"/>
        </w:rPr>
        <w:t xml:space="preserve"> but </w:t>
      </w:r>
      <w:r w:rsidR="00245788">
        <w:rPr>
          <w:rFonts w:ascii="Garamond" w:hAnsi="Garamond"/>
        </w:rPr>
        <w:t>would remain</w:t>
      </w:r>
      <w:r w:rsidR="00245788" w:rsidRPr="00245788">
        <w:rPr>
          <w:rFonts w:ascii="Garamond" w:hAnsi="Garamond"/>
        </w:rPr>
        <w:t xml:space="preserve"> available</w:t>
      </w:r>
      <w:r w:rsidR="00245788">
        <w:rPr>
          <w:rFonts w:ascii="Garamond" w:hAnsi="Garamond"/>
        </w:rPr>
        <w:t xml:space="preserve"> to be otherwise utilised</w:t>
      </w:r>
      <w:r w:rsidR="00DA0244">
        <w:rPr>
          <w:rFonts w:ascii="Garamond" w:hAnsi="Garamond"/>
        </w:rPr>
        <w:t xml:space="preserve"> </w:t>
      </w:r>
      <w:r w:rsidR="00DA0244" w:rsidRPr="00DA0244">
        <w:rPr>
          <w:rFonts w:ascii="Garamond" w:hAnsi="Garamond"/>
          <w:b/>
        </w:rPr>
        <w:t>[101-102</w:t>
      </w:r>
      <w:r w:rsidR="00DA0244" w:rsidRPr="00ED2F6F">
        <w:rPr>
          <w:rFonts w:ascii="Garamond" w:hAnsi="Garamond"/>
          <w:b/>
        </w:rPr>
        <w:t>]</w:t>
      </w:r>
      <w:r w:rsidR="00245788">
        <w:rPr>
          <w:rFonts w:ascii="Garamond" w:hAnsi="Garamond"/>
        </w:rPr>
        <w:t>.  Further</w:t>
      </w:r>
      <w:r w:rsidR="0084799D">
        <w:rPr>
          <w:rFonts w:ascii="Garamond" w:hAnsi="Garamond"/>
        </w:rPr>
        <w:t>more</w:t>
      </w:r>
      <w:r w:rsidR="00245788">
        <w:rPr>
          <w:rFonts w:ascii="Garamond" w:hAnsi="Garamond"/>
        </w:rPr>
        <w:t>, t</w:t>
      </w:r>
      <w:r w:rsidR="00245788" w:rsidRPr="00245788">
        <w:rPr>
          <w:rFonts w:ascii="Garamond" w:hAnsi="Garamond"/>
        </w:rPr>
        <w:t xml:space="preserve">he payment of the ACT did not entail a defective transfer of value which </w:t>
      </w:r>
      <w:r w:rsidR="00DA0244">
        <w:rPr>
          <w:rFonts w:ascii="Garamond" w:hAnsi="Garamond"/>
        </w:rPr>
        <w:t>fell</w:t>
      </w:r>
      <w:r w:rsidR="00245788" w:rsidRPr="00245788">
        <w:rPr>
          <w:rFonts w:ascii="Garamond" w:hAnsi="Garamond"/>
        </w:rPr>
        <w:t xml:space="preserve"> to be corrected</w:t>
      </w:r>
      <w:r w:rsidR="00245788">
        <w:rPr>
          <w:rFonts w:ascii="Garamond" w:hAnsi="Garamond"/>
        </w:rPr>
        <w:t xml:space="preserve">, as required by </w:t>
      </w:r>
      <w:r w:rsidR="00245788">
        <w:rPr>
          <w:rFonts w:ascii="Garamond" w:hAnsi="Garamond"/>
          <w:i/>
        </w:rPr>
        <w:t>Investment Trust Companies</w:t>
      </w:r>
      <w:r w:rsidR="00B65DDC">
        <w:rPr>
          <w:rFonts w:ascii="Garamond" w:hAnsi="Garamond"/>
        </w:rPr>
        <w:t xml:space="preserve"> </w:t>
      </w:r>
      <w:r w:rsidR="00ED2F6F">
        <w:rPr>
          <w:rFonts w:ascii="Garamond" w:hAnsi="Garamond"/>
        </w:rPr>
        <w:t xml:space="preserve">(above) </w:t>
      </w:r>
      <w:r w:rsidR="00B65DDC">
        <w:rPr>
          <w:rFonts w:ascii="Garamond" w:hAnsi="Garamond"/>
          <w:b/>
        </w:rPr>
        <w:t>[</w:t>
      </w:r>
      <w:r w:rsidR="00DA0244">
        <w:rPr>
          <w:rFonts w:ascii="Garamond" w:hAnsi="Garamond"/>
          <w:b/>
        </w:rPr>
        <w:t>103</w:t>
      </w:r>
      <w:r w:rsidR="00B65DDC">
        <w:rPr>
          <w:rFonts w:ascii="Garamond" w:hAnsi="Garamond"/>
          <w:b/>
        </w:rPr>
        <w:t>]</w:t>
      </w:r>
      <w:r w:rsidR="00B65DDC">
        <w:rPr>
          <w:rFonts w:ascii="Garamond" w:hAnsi="Garamond"/>
        </w:rPr>
        <w:t>.</w:t>
      </w:r>
      <w:r w:rsidR="00FA2E60" w:rsidRPr="00FA2E60">
        <w:t xml:space="preserve"> </w:t>
      </w:r>
    </w:p>
    <w:p w14:paraId="6164DE3A" w14:textId="77777777" w:rsidR="00B65DDC" w:rsidRDefault="00B65DDC" w:rsidP="00B46ECD">
      <w:pPr>
        <w:jc w:val="both"/>
        <w:rPr>
          <w:rFonts w:ascii="Garamond" w:hAnsi="Garamond"/>
        </w:rPr>
      </w:pPr>
    </w:p>
    <w:p w14:paraId="75AE3BFF" w14:textId="10E77DF0" w:rsidR="008F5120" w:rsidRPr="00C177C9" w:rsidRDefault="00B65DDC" w:rsidP="00B46ECD">
      <w:pPr>
        <w:jc w:val="both"/>
        <w:rPr>
          <w:rFonts w:ascii="Garamond" w:hAnsi="Garamond"/>
          <w:u w:val="single"/>
        </w:rPr>
      </w:pPr>
      <w:r w:rsidRPr="00C177C9">
        <w:rPr>
          <w:rFonts w:ascii="Garamond" w:hAnsi="Garamond"/>
          <w:u w:val="single"/>
        </w:rPr>
        <w:t xml:space="preserve">Issue </w:t>
      </w:r>
      <w:r w:rsidR="00BC536C" w:rsidRPr="00C177C9">
        <w:rPr>
          <w:rFonts w:ascii="Garamond" w:hAnsi="Garamond"/>
          <w:u w:val="single"/>
        </w:rPr>
        <w:t>V</w:t>
      </w:r>
      <w:r w:rsidRPr="00C177C9">
        <w:rPr>
          <w:rFonts w:ascii="Garamond" w:hAnsi="Garamond"/>
          <w:u w:val="single"/>
        </w:rPr>
        <w:t xml:space="preserve">(a): </w:t>
      </w:r>
      <w:r w:rsidR="00ED2F6F">
        <w:rPr>
          <w:rFonts w:ascii="Garamond" w:hAnsi="Garamond"/>
          <w:u w:val="single"/>
        </w:rPr>
        <w:t>w</w:t>
      </w:r>
      <w:r w:rsidRPr="00C177C9">
        <w:rPr>
          <w:rFonts w:ascii="Garamond" w:hAnsi="Garamond"/>
          <w:u w:val="single"/>
        </w:rPr>
        <w:t xml:space="preserve">here ACT from a pool which includes unlawful and lawful ACT is utilised against an unlawful </w:t>
      </w:r>
      <w:r w:rsidR="00DC40CF">
        <w:rPr>
          <w:rFonts w:ascii="Garamond" w:hAnsi="Garamond"/>
          <w:u w:val="single"/>
        </w:rPr>
        <w:t>MCT</w:t>
      </w:r>
      <w:r w:rsidRPr="00C177C9">
        <w:rPr>
          <w:rFonts w:ascii="Garamond" w:hAnsi="Garamond"/>
          <w:u w:val="single"/>
        </w:rPr>
        <w:t xml:space="preserve"> liability, is the unlawful ACT regarded as a pre-payment of the unlawful </w:t>
      </w:r>
      <w:r w:rsidR="00DC40CF">
        <w:rPr>
          <w:rFonts w:ascii="Garamond" w:hAnsi="Garamond"/>
          <w:u w:val="single"/>
        </w:rPr>
        <w:t>MCT</w:t>
      </w:r>
      <w:r w:rsidRPr="00C177C9">
        <w:rPr>
          <w:rFonts w:ascii="Garamond" w:hAnsi="Garamond"/>
          <w:u w:val="single"/>
        </w:rPr>
        <w:t xml:space="preserve"> liability or is the ACT so utilised regarded as partly lawful and unlawful pro rata?</w:t>
      </w:r>
    </w:p>
    <w:p w14:paraId="3840992D" w14:textId="6B55764F" w:rsidR="00F52911" w:rsidRPr="00C9358B" w:rsidRDefault="00F52911" w:rsidP="00B46ECD">
      <w:pPr>
        <w:jc w:val="both"/>
        <w:rPr>
          <w:rFonts w:ascii="Garamond" w:hAnsi="Garamond"/>
        </w:rPr>
      </w:pPr>
      <w:r>
        <w:rPr>
          <w:rFonts w:ascii="Garamond" w:hAnsi="Garamond"/>
        </w:rPr>
        <w:t xml:space="preserve">The Supreme Court allows PAC’s cross-appeal on this issue. </w:t>
      </w:r>
      <w:r w:rsidR="009B274C">
        <w:rPr>
          <w:rFonts w:ascii="Garamond" w:hAnsi="Garamond"/>
        </w:rPr>
        <w:t>Unlawful ACT is treated as set first against unlawful MCT. Further, b</w:t>
      </w:r>
      <w:r w:rsidR="00C177C9">
        <w:rPr>
          <w:rFonts w:ascii="Garamond" w:hAnsi="Garamond"/>
        </w:rPr>
        <w:t xml:space="preserve">ecause </w:t>
      </w:r>
      <w:r>
        <w:rPr>
          <w:rFonts w:ascii="Garamond" w:hAnsi="Garamond"/>
        </w:rPr>
        <w:t>unlawful MCT</w:t>
      </w:r>
      <w:r w:rsidR="00C177C9">
        <w:rPr>
          <w:rFonts w:ascii="Garamond" w:hAnsi="Garamond"/>
        </w:rPr>
        <w:t xml:space="preserve"> i</w:t>
      </w:r>
      <w:r>
        <w:rPr>
          <w:rFonts w:ascii="Garamond" w:hAnsi="Garamond"/>
        </w:rPr>
        <w:t>s a nullity</w:t>
      </w:r>
      <w:r w:rsidR="00C177C9">
        <w:rPr>
          <w:rFonts w:ascii="Garamond" w:hAnsi="Garamond"/>
        </w:rPr>
        <w:t xml:space="preserve">, </w:t>
      </w:r>
      <w:r w:rsidRPr="00F52911">
        <w:rPr>
          <w:rFonts w:ascii="Garamond" w:hAnsi="Garamond"/>
        </w:rPr>
        <w:t>the unlawful ACT is recoverable unless it has been set against a lawful MCT charge</w:t>
      </w:r>
      <w:r w:rsidR="007612BA">
        <w:rPr>
          <w:rFonts w:ascii="Garamond" w:hAnsi="Garamond"/>
        </w:rPr>
        <w:t xml:space="preserve"> </w:t>
      </w:r>
      <w:r w:rsidR="007612BA">
        <w:rPr>
          <w:rFonts w:ascii="Garamond" w:hAnsi="Garamond"/>
          <w:b/>
        </w:rPr>
        <w:t>[111]</w:t>
      </w:r>
      <w:r w:rsidRPr="00F52911">
        <w:rPr>
          <w:rFonts w:ascii="Garamond" w:hAnsi="Garamond"/>
        </w:rPr>
        <w:t>.</w:t>
      </w:r>
    </w:p>
    <w:p w14:paraId="214130C9" w14:textId="77777777" w:rsidR="00B65DDC" w:rsidRDefault="00B65DDC" w:rsidP="00B46ECD">
      <w:pPr>
        <w:jc w:val="both"/>
        <w:rPr>
          <w:rFonts w:ascii="Garamond" w:hAnsi="Garamond"/>
          <w:i/>
        </w:rPr>
      </w:pPr>
    </w:p>
    <w:p w14:paraId="5CF955E6" w14:textId="77777777" w:rsidR="009621B7" w:rsidRPr="00C9358B" w:rsidRDefault="00C9358B" w:rsidP="00B46ECD">
      <w:pPr>
        <w:jc w:val="both"/>
        <w:rPr>
          <w:rFonts w:ascii="Garamond" w:hAnsi="Garamond"/>
          <w:u w:val="single"/>
        </w:rPr>
      </w:pPr>
      <w:r w:rsidRPr="00C9358B">
        <w:rPr>
          <w:rFonts w:ascii="Garamond" w:hAnsi="Garamond"/>
          <w:u w:val="single"/>
        </w:rPr>
        <w:t xml:space="preserve">Issue </w:t>
      </w:r>
      <w:r w:rsidR="00BC536C">
        <w:rPr>
          <w:rFonts w:ascii="Garamond" w:hAnsi="Garamond"/>
          <w:u w:val="single"/>
        </w:rPr>
        <w:t>V</w:t>
      </w:r>
      <w:r w:rsidRPr="00C9358B">
        <w:rPr>
          <w:rFonts w:ascii="Garamond" w:hAnsi="Garamond"/>
          <w:u w:val="single"/>
        </w:rPr>
        <w:t xml:space="preserve">(b): </w:t>
      </w:r>
      <w:r w:rsidR="00ED3257" w:rsidRPr="00C9358B">
        <w:rPr>
          <w:rFonts w:ascii="Garamond" w:hAnsi="Garamond"/>
          <w:u w:val="single"/>
        </w:rPr>
        <w:t xml:space="preserve">where domestic </w:t>
      </w:r>
      <w:r w:rsidR="009B5965">
        <w:rPr>
          <w:rFonts w:ascii="Garamond" w:hAnsi="Garamond"/>
          <w:u w:val="single"/>
        </w:rPr>
        <w:t>FII</w:t>
      </w:r>
      <w:r w:rsidR="00ED3257" w:rsidRPr="00C9358B">
        <w:rPr>
          <w:rFonts w:ascii="Garamond" w:hAnsi="Garamond"/>
          <w:u w:val="single"/>
        </w:rPr>
        <w:t xml:space="preserve"> was carried back to an earlier quarter, is it to be treated as having been applied to relieve the lawful and unlawful ACT pro rata, or only lawful ACT?</w:t>
      </w:r>
    </w:p>
    <w:p w14:paraId="049FA746" w14:textId="5A511DA1" w:rsidR="00ED3257" w:rsidRDefault="00A25121" w:rsidP="00A23B29">
      <w:pPr>
        <w:jc w:val="both"/>
        <w:rPr>
          <w:rFonts w:ascii="Garamond" w:hAnsi="Garamond"/>
        </w:rPr>
      </w:pPr>
      <w:r w:rsidRPr="00A25121">
        <w:rPr>
          <w:rFonts w:ascii="Garamond" w:hAnsi="Garamond"/>
        </w:rPr>
        <w:t>The Supreme Court allows PAC’s cross-appeal on this issue.</w:t>
      </w:r>
      <w:r>
        <w:rPr>
          <w:rFonts w:ascii="Garamond" w:hAnsi="Garamond"/>
        </w:rPr>
        <w:t xml:space="preserve"> D</w:t>
      </w:r>
      <w:r w:rsidR="00C76F00" w:rsidRPr="00C76F00">
        <w:rPr>
          <w:rFonts w:ascii="Garamond" w:hAnsi="Garamond"/>
        </w:rPr>
        <w:t xml:space="preserve">omestic FII which is carried back to an earlier quarter </w:t>
      </w:r>
      <w:r w:rsidR="00C76F00">
        <w:rPr>
          <w:rFonts w:ascii="Garamond" w:hAnsi="Garamond"/>
        </w:rPr>
        <w:t xml:space="preserve">is </w:t>
      </w:r>
      <w:r w:rsidR="00C76F00" w:rsidRPr="00C76F00">
        <w:rPr>
          <w:rFonts w:ascii="Garamond" w:hAnsi="Garamond"/>
        </w:rPr>
        <w:t>to be regarded as having been app</w:t>
      </w:r>
      <w:r w:rsidR="00C76F00">
        <w:rPr>
          <w:rFonts w:ascii="Garamond" w:hAnsi="Garamond"/>
        </w:rPr>
        <w:t>lied to relieve only lawful ACT.</w:t>
      </w:r>
      <w:r w:rsidR="009B5965">
        <w:rPr>
          <w:rFonts w:ascii="Garamond" w:hAnsi="Garamond"/>
        </w:rPr>
        <w:t xml:space="preserve"> </w:t>
      </w:r>
      <w:r w:rsidR="00C177C9">
        <w:rPr>
          <w:rFonts w:ascii="Garamond" w:hAnsi="Garamond"/>
        </w:rPr>
        <w:t xml:space="preserve">HMRC’s pro rata </w:t>
      </w:r>
      <w:r w:rsidR="009B5965">
        <w:rPr>
          <w:rFonts w:ascii="Garamond" w:hAnsi="Garamond"/>
        </w:rPr>
        <w:t xml:space="preserve">approach would deprive a company </w:t>
      </w:r>
      <w:r>
        <w:rPr>
          <w:rFonts w:ascii="Garamond" w:hAnsi="Garamond"/>
        </w:rPr>
        <w:t xml:space="preserve">of </w:t>
      </w:r>
      <w:r w:rsidR="009D4EB2">
        <w:rPr>
          <w:rFonts w:ascii="Garamond" w:hAnsi="Garamond"/>
        </w:rPr>
        <w:t>the</w:t>
      </w:r>
      <w:r w:rsidR="005A1360">
        <w:rPr>
          <w:rFonts w:ascii="Garamond" w:hAnsi="Garamond"/>
        </w:rPr>
        <w:t xml:space="preserve"> tax </w:t>
      </w:r>
      <w:r>
        <w:rPr>
          <w:rFonts w:ascii="Garamond" w:hAnsi="Garamond"/>
        </w:rPr>
        <w:t>credit</w:t>
      </w:r>
      <w:r w:rsidR="00C177C9">
        <w:rPr>
          <w:rFonts w:ascii="Garamond" w:hAnsi="Garamond"/>
        </w:rPr>
        <w:t xml:space="preserve"> </w:t>
      </w:r>
      <w:r w:rsidR="009D4EB2">
        <w:rPr>
          <w:rFonts w:ascii="Garamond" w:hAnsi="Garamond"/>
        </w:rPr>
        <w:t xml:space="preserve">at the FNR </w:t>
      </w:r>
      <w:r w:rsidR="005A1360">
        <w:rPr>
          <w:rFonts w:ascii="Garamond" w:hAnsi="Garamond"/>
        </w:rPr>
        <w:t>required under EU law</w:t>
      </w:r>
      <w:r w:rsidR="00C177C9">
        <w:rPr>
          <w:rFonts w:ascii="Garamond" w:hAnsi="Garamond"/>
        </w:rPr>
        <w:t xml:space="preserve"> </w:t>
      </w:r>
      <w:r w:rsidR="009B5965">
        <w:rPr>
          <w:rFonts w:ascii="Garamond" w:hAnsi="Garamond"/>
          <w:b/>
        </w:rPr>
        <w:t>[118-122]</w:t>
      </w:r>
      <w:r w:rsidR="009B5965" w:rsidRPr="00ED2F6F">
        <w:rPr>
          <w:rFonts w:ascii="Garamond" w:hAnsi="Garamond"/>
        </w:rPr>
        <w:t xml:space="preserve">. </w:t>
      </w:r>
    </w:p>
    <w:p w14:paraId="50E75197" w14:textId="77777777" w:rsidR="00B12BAF" w:rsidRPr="009621B7" w:rsidRDefault="00B12BAF" w:rsidP="00A23B29">
      <w:pPr>
        <w:jc w:val="both"/>
        <w:rPr>
          <w:rFonts w:ascii="Garamond" w:hAnsi="Garamond"/>
          <w:b/>
          <w:u w:val="single"/>
        </w:rPr>
      </w:pPr>
    </w:p>
    <w:p w14:paraId="7DAE95F3" w14:textId="7A011EF4" w:rsidR="00ED2F6F" w:rsidRPr="00ED2F6F" w:rsidRDefault="00566BC2" w:rsidP="00B46ECD">
      <w:pPr>
        <w:jc w:val="both"/>
        <w:rPr>
          <w:rFonts w:ascii="Garamond" w:hAnsi="Garamond"/>
          <w:i/>
        </w:rPr>
      </w:pPr>
      <w:r w:rsidRPr="00566BC2">
        <w:rPr>
          <w:rFonts w:ascii="Garamond" w:hAnsi="Garamond"/>
          <w:i/>
        </w:rPr>
        <w:t>References in square brackets are to paragraphs in the judgment</w:t>
      </w:r>
    </w:p>
    <w:p w14:paraId="3925BE48" w14:textId="77777777" w:rsidR="005A1360" w:rsidRDefault="005A1360" w:rsidP="00B46ECD">
      <w:pPr>
        <w:jc w:val="both"/>
        <w:rPr>
          <w:rFonts w:ascii="Garamond" w:hAnsi="Garamond"/>
          <w:b/>
          <w:sz w:val="20"/>
          <w:szCs w:val="20"/>
          <w:u w:val="single"/>
        </w:rPr>
      </w:pPr>
    </w:p>
    <w:p w14:paraId="2DBB7980" w14:textId="7652FFD6" w:rsidR="00A16C02" w:rsidRPr="00ED2F6F" w:rsidRDefault="00A16C02" w:rsidP="00B46ECD">
      <w:pPr>
        <w:jc w:val="both"/>
        <w:rPr>
          <w:rFonts w:ascii="Garamond" w:hAnsi="Garamond"/>
          <w:b/>
          <w:sz w:val="20"/>
          <w:szCs w:val="20"/>
          <w:u w:val="single"/>
        </w:rPr>
      </w:pPr>
      <w:r w:rsidRPr="00ED2F6F">
        <w:rPr>
          <w:rFonts w:ascii="Garamond" w:hAnsi="Garamond"/>
          <w:b/>
          <w:sz w:val="20"/>
          <w:szCs w:val="20"/>
          <w:u w:val="single"/>
        </w:rPr>
        <w:t>NOTE</w:t>
      </w:r>
    </w:p>
    <w:p w14:paraId="0C30DE79" w14:textId="77777777" w:rsidR="00A16C02" w:rsidRPr="005A1360" w:rsidRDefault="00A16C02" w:rsidP="00B46ECD">
      <w:pPr>
        <w:jc w:val="both"/>
        <w:rPr>
          <w:rFonts w:ascii="Garamond" w:hAnsi="Garamond"/>
          <w:b/>
        </w:rPr>
      </w:pPr>
      <w:r w:rsidRPr="005A1360">
        <w:rPr>
          <w:rFonts w:ascii="Garamond" w:hAnsi="Garamond"/>
          <w:b/>
        </w:rPr>
        <w:t>This summary is provided to assist in understanding the Court’s decision.  It does not form part of the reasons for the decision.  The full judgment of the Court is the only</w:t>
      </w:r>
      <w:r w:rsidR="004B0054" w:rsidRPr="005A1360">
        <w:rPr>
          <w:rFonts w:ascii="Garamond" w:hAnsi="Garamond"/>
          <w:b/>
        </w:rPr>
        <w:t xml:space="preserve"> authoritative document.   Judg</w:t>
      </w:r>
      <w:r w:rsidRPr="005A1360">
        <w:rPr>
          <w:rFonts w:ascii="Garamond" w:hAnsi="Garamond"/>
          <w:b/>
        </w:rPr>
        <w:t>ments are public documents and are available at:</w:t>
      </w:r>
    </w:p>
    <w:p w14:paraId="49D3798F" w14:textId="77777777" w:rsidR="006D6D23" w:rsidRPr="005A1360" w:rsidRDefault="00C014A8" w:rsidP="00B46ECD">
      <w:pPr>
        <w:jc w:val="both"/>
        <w:rPr>
          <w:rFonts w:ascii="Garamond" w:hAnsi="Garamond"/>
        </w:rPr>
      </w:pPr>
      <w:hyperlink r:id="rId11" w:history="1">
        <w:r w:rsidR="00677EF9" w:rsidRPr="005A1360">
          <w:rPr>
            <w:rStyle w:val="Hyperlink"/>
            <w:rFonts w:ascii="Garamond" w:hAnsi="Garamond"/>
          </w:rPr>
          <w:t>http://supre</w:t>
        </w:r>
        <w:r w:rsidR="00305E6A" w:rsidRPr="005A1360">
          <w:rPr>
            <w:rStyle w:val="Hyperlink"/>
            <w:rFonts w:ascii="Garamond" w:hAnsi="Garamond"/>
          </w:rPr>
          <w:t>mecourt.uk/decided-cases/index.</w:t>
        </w:r>
        <w:r w:rsidR="00677EF9" w:rsidRPr="005A1360">
          <w:rPr>
            <w:rStyle w:val="Hyperlink"/>
            <w:rFonts w:ascii="Garamond" w:hAnsi="Garamond"/>
          </w:rPr>
          <w:t>html</w:t>
        </w:r>
      </w:hyperlink>
      <w:r w:rsidR="00677EF9" w:rsidRPr="005A1360">
        <w:rPr>
          <w:rFonts w:ascii="Garamond" w:hAnsi="Garamond"/>
        </w:rPr>
        <w:t xml:space="preserve"> </w:t>
      </w:r>
      <w:r w:rsidR="00B73D9F" w:rsidRPr="005A1360">
        <w:rPr>
          <w:rFonts w:ascii="Garamond" w:hAnsi="Garamond"/>
        </w:rPr>
        <w:t xml:space="preserve"> </w:t>
      </w:r>
      <w:r w:rsidR="004F156B" w:rsidRPr="005A1360">
        <w:rPr>
          <w:rFonts w:ascii="Garamond" w:hAnsi="Garamond"/>
        </w:rPr>
        <w:t xml:space="preserve">  </w:t>
      </w:r>
    </w:p>
    <w:sectPr w:rsidR="006D6D23" w:rsidRPr="005A1360" w:rsidSect="00437284">
      <w:footerReference w:type="default" r:id="rId12"/>
      <w:pgSz w:w="11906" w:h="16838" w:code="9"/>
      <w:pgMar w:top="567" w:right="964" w:bottom="964" w:left="232" w:header="0" w:footer="0"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5676E" w14:textId="77777777" w:rsidR="00165953" w:rsidRDefault="00165953">
      <w:r>
        <w:separator/>
      </w:r>
    </w:p>
  </w:endnote>
  <w:endnote w:type="continuationSeparator" w:id="0">
    <w:p w14:paraId="4F4F6826" w14:textId="77777777" w:rsidR="00165953" w:rsidRDefault="00165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haker 2 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D08AD" w14:textId="77777777" w:rsidR="00301406" w:rsidRDefault="00301406" w:rsidP="00ED05C2">
    <w:pPr>
      <w:pStyle w:val="Footer"/>
      <w:jc w:val="center"/>
      <w:rPr>
        <w:rFonts w:ascii="Shaker 2 Regular" w:hAnsi="Shaker 2 Regular"/>
        <w:b/>
        <w:sz w:val="20"/>
      </w:rPr>
    </w:pPr>
    <w:r w:rsidRPr="00821EB9">
      <w:rPr>
        <w:rFonts w:ascii="Shaker 2 Regular" w:hAnsi="Shaker 2 Regular"/>
        <w:b/>
        <w:sz w:val="20"/>
      </w:rPr>
      <w:t>The Supreme Court of the United Kingdom</w:t>
    </w:r>
  </w:p>
  <w:p w14:paraId="4A829BCE" w14:textId="77777777" w:rsidR="00301406" w:rsidRPr="00821EB9" w:rsidRDefault="00301406" w:rsidP="00ED05C2">
    <w:pPr>
      <w:pStyle w:val="Footer"/>
      <w:jc w:val="center"/>
      <w:rPr>
        <w:rFonts w:ascii="Shaker 2 Regular" w:hAnsi="Shaker 2 Regular"/>
        <w:sz w:val="20"/>
      </w:rPr>
    </w:pPr>
    <w:r w:rsidRPr="00821EB9">
      <w:rPr>
        <w:rFonts w:ascii="Shaker 2 Regular" w:hAnsi="Shaker 2 Regular"/>
        <w:b/>
        <w:sz w:val="20"/>
      </w:rPr>
      <w:t xml:space="preserve"> </w:t>
    </w:r>
    <w:r w:rsidRPr="00821EB9">
      <w:rPr>
        <w:rFonts w:ascii="Shaker 2 Regular" w:hAnsi="Shaker 2 Regular"/>
        <w:sz w:val="20"/>
      </w:rPr>
      <w:t xml:space="preserve">Parliament Square London SW1P 3BD </w:t>
    </w:r>
    <w:r w:rsidRPr="00821EB9">
      <w:rPr>
        <w:rFonts w:ascii="Shaker 2 Regular" w:hAnsi="Shaker 2 Regular"/>
        <w:b/>
        <w:sz w:val="20"/>
      </w:rPr>
      <w:t xml:space="preserve">T: </w:t>
    </w:r>
    <w:r>
      <w:rPr>
        <w:rFonts w:ascii="Shaker 2 Regular" w:hAnsi="Shaker 2 Regular"/>
        <w:sz w:val="20"/>
      </w:rPr>
      <w:t>020 7960 1886/1887</w:t>
    </w:r>
    <w:r w:rsidRPr="00821EB9">
      <w:rPr>
        <w:rFonts w:ascii="Shaker 2 Regular" w:hAnsi="Shaker 2 Regular"/>
        <w:sz w:val="20"/>
      </w:rPr>
      <w:t xml:space="preserve"> </w:t>
    </w:r>
    <w:r w:rsidRPr="00821EB9">
      <w:rPr>
        <w:rFonts w:ascii="Shaker 2 Regular" w:hAnsi="Shaker 2 Regular"/>
        <w:b/>
        <w:sz w:val="20"/>
      </w:rPr>
      <w:t xml:space="preserve">F: </w:t>
    </w:r>
    <w:r w:rsidRPr="00821EB9">
      <w:rPr>
        <w:rFonts w:ascii="Shaker 2 Regular" w:hAnsi="Shaker 2 Regular"/>
        <w:sz w:val="20"/>
      </w:rPr>
      <w:t xml:space="preserve">020 7960 1901 </w:t>
    </w:r>
    <w:r w:rsidRPr="00821EB9">
      <w:rPr>
        <w:rFonts w:ascii="Shaker 2 Regular" w:hAnsi="Shaker 2 Regular"/>
        <w:b/>
        <w:sz w:val="20"/>
      </w:rPr>
      <w:t>www.supremecourt.uk</w:t>
    </w:r>
  </w:p>
  <w:p w14:paraId="0FA00834" w14:textId="77777777" w:rsidR="00301406" w:rsidRDefault="00301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E8B61" w14:textId="77777777" w:rsidR="00165953" w:rsidRDefault="00165953">
      <w:r>
        <w:separator/>
      </w:r>
    </w:p>
  </w:footnote>
  <w:footnote w:type="continuationSeparator" w:id="0">
    <w:p w14:paraId="1A3CA88E" w14:textId="77777777" w:rsidR="00165953" w:rsidRDefault="00165953">
      <w:r>
        <w:continuationSeparator/>
      </w:r>
    </w:p>
  </w:footnote>
  <w:footnote w:id="1">
    <w:p w14:paraId="30F9BB66" w14:textId="459569BE" w:rsidR="00301406" w:rsidRPr="008D10C3" w:rsidRDefault="00301406" w:rsidP="00BB7280">
      <w:pPr>
        <w:pStyle w:val="FootnoteText"/>
        <w:rPr>
          <w:rFonts w:ascii="Garamond" w:hAnsi="Garamond"/>
          <w:sz w:val="22"/>
          <w:szCs w:val="22"/>
        </w:rPr>
      </w:pPr>
      <w:r w:rsidRPr="008D10C3">
        <w:rPr>
          <w:rStyle w:val="FootnoteReference"/>
          <w:rFonts w:ascii="Garamond" w:hAnsi="Garamond"/>
          <w:sz w:val="22"/>
          <w:szCs w:val="22"/>
        </w:rPr>
        <w:footnoteRef/>
      </w:r>
      <w:r w:rsidRPr="008D10C3">
        <w:rPr>
          <w:rFonts w:ascii="Garamond" w:hAnsi="Garamond"/>
          <w:sz w:val="22"/>
          <w:szCs w:val="22"/>
        </w:rPr>
        <w:t xml:space="preserve"> See the decision in Case C-446/04 </w:t>
      </w:r>
      <w:r w:rsidRPr="008D10C3">
        <w:rPr>
          <w:rFonts w:ascii="Garamond" w:hAnsi="Garamond"/>
          <w:i/>
          <w:sz w:val="22"/>
          <w:szCs w:val="22"/>
        </w:rPr>
        <w:t>Test Claimants in the FII Group Litigation</w:t>
      </w:r>
      <w:r w:rsidRPr="008D10C3">
        <w:rPr>
          <w:rFonts w:ascii="Garamond" w:hAnsi="Garamond"/>
          <w:sz w:val="22"/>
          <w:szCs w:val="22"/>
        </w:rPr>
        <w:t xml:space="preserve"> and the Reasoned Order in Case C-201/05 </w:t>
      </w:r>
      <w:r w:rsidRPr="008D10C3">
        <w:rPr>
          <w:rFonts w:ascii="Garamond" w:hAnsi="Garamond"/>
          <w:i/>
          <w:sz w:val="22"/>
          <w:szCs w:val="22"/>
        </w:rPr>
        <w:t xml:space="preserve">Test Claimants in the CFC and Dividend Group Litigation v Revenue and Customs </w:t>
      </w:r>
      <w:proofErr w:type="spellStart"/>
      <w:r w:rsidRPr="008D10C3">
        <w:rPr>
          <w:rFonts w:ascii="Garamond" w:hAnsi="Garamond"/>
          <w:i/>
          <w:sz w:val="22"/>
          <w:szCs w:val="22"/>
        </w:rPr>
        <w:t>Comrs</w:t>
      </w:r>
      <w:proofErr w:type="spellEnd"/>
    </w:p>
  </w:footnote>
  <w:footnote w:id="2">
    <w:p w14:paraId="77971184" w14:textId="77777777" w:rsidR="00301406" w:rsidRPr="00ED2F6F" w:rsidRDefault="00301406">
      <w:pPr>
        <w:pStyle w:val="FootnoteText"/>
        <w:rPr>
          <w:rFonts w:ascii="Garamond" w:hAnsi="Garamond"/>
        </w:rPr>
      </w:pPr>
      <w:r w:rsidRPr="00ED2F6F">
        <w:rPr>
          <w:rStyle w:val="FootnoteReference"/>
          <w:rFonts w:ascii="Garamond" w:hAnsi="Garamond"/>
        </w:rPr>
        <w:footnoteRef/>
      </w:r>
      <w:r w:rsidRPr="00ED2F6F">
        <w:rPr>
          <w:rFonts w:ascii="Garamond" w:hAnsi="Garamond"/>
        </w:rPr>
        <w:t xml:space="preserve"> Lawful ACT refers to the element within an ACT charge which did not represent unduly levied tax on overseas-sourced dividends. Unlawful MCT refers to the part of the MCT charge which is attributable to the failure to give the overseas dividends a tax credit at the FNR (pursuant to the Court’s conclusion on Issue I) </w:t>
      </w:r>
      <w:r w:rsidRPr="00ED2F6F">
        <w:rPr>
          <w:rFonts w:ascii="Garamond" w:hAnsi="Garamond"/>
          <w:b/>
        </w:rPr>
        <w:t>[88]</w:t>
      </w:r>
      <w:r w:rsidRPr="00ED2F6F">
        <w:rPr>
          <w:rFonts w:ascii="Garamond" w:hAnsi="Garamond"/>
        </w:rPr>
        <w:t>.</w:t>
      </w:r>
    </w:p>
  </w:footnote>
  <w:footnote w:id="3">
    <w:p w14:paraId="5AD20E5C" w14:textId="77777777" w:rsidR="00DC40CF" w:rsidRPr="00ED2F6F" w:rsidRDefault="00DC40CF" w:rsidP="00DC40CF">
      <w:pPr>
        <w:pStyle w:val="FootnoteText"/>
        <w:rPr>
          <w:rFonts w:ascii="Garamond" w:hAnsi="Garamond"/>
        </w:rPr>
      </w:pPr>
      <w:r w:rsidRPr="00ED2F6F">
        <w:rPr>
          <w:rStyle w:val="FootnoteReference"/>
          <w:rFonts w:ascii="Garamond" w:hAnsi="Garamond"/>
        </w:rPr>
        <w:footnoteRef/>
      </w:r>
      <w:r w:rsidRPr="00ED2F6F">
        <w:rPr>
          <w:rFonts w:ascii="Garamond" w:hAnsi="Garamond"/>
        </w:rPr>
        <w:t xml:space="preserve"> See Case C-199/82</w:t>
      </w:r>
      <w:r>
        <w:rPr>
          <w:rFonts w:ascii="Garamond" w:hAnsi="Garamond"/>
        </w:rPr>
        <w:t xml:space="preserve"> </w:t>
      </w:r>
      <w:proofErr w:type="spellStart"/>
      <w:r w:rsidRPr="00ED2F6F">
        <w:rPr>
          <w:rFonts w:ascii="Garamond" w:hAnsi="Garamond"/>
          <w:i/>
        </w:rPr>
        <w:t>Amministrazione</w:t>
      </w:r>
      <w:proofErr w:type="spellEnd"/>
      <w:r w:rsidRPr="00ED2F6F">
        <w:rPr>
          <w:rFonts w:ascii="Garamond" w:hAnsi="Garamond"/>
          <w:i/>
        </w:rPr>
        <w:t xml:space="preserve"> </w:t>
      </w:r>
      <w:proofErr w:type="spellStart"/>
      <w:r w:rsidRPr="00ED2F6F">
        <w:rPr>
          <w:rFonts w:ascii="Garamond" w:hAnsi="Garamond"/>
          <w:i/>
        </w:rPr>
        <w:t>delle</w:t>
      </w:r>
      <w:proofErr w:type="spellEnd"/>
      <w:r w:rsidRPr="00ED2F6F">
        <w:rPr>
          <w:rFonts w:ascii="Garamond" w:hAnsi="Garamond"/>
          <w:i/>
        </w:rPr>
        <w:t xml:space="preserve"> </w:t>
      </w:r>
      <w:proofErr w:type="spellStart"/>
      <w:r w:rsidRPr="00ED2F6F">
        <w:rPr>
          <w:rFonts w:ascii="Garamond" w:hAnsi="Garamond"/>
          <w:i/>
        </w:rPr>
        <w:t>Finanze</w:t>
      </w:r>
      <w:proofErr w:type="spellEnd"/>
      <w:r w:rsidRPr="00ED2F6F">
        <w:rPr>
          <w:rFonts w:ascii="Garamond" w:hAnsi="Garamond"/>
          <w:i/>
        </w:rPr>
        <w:t xml:space="preserve"> </w:t>
      </w:r>
      <w:proofErr w:type="spellStart"/>
      <w:r w:rsidRPr="00ED2F6F">
        <w:rPr>
          <w:rFonts w:ascii="Garamond" w:hAnsi="Garamond"/>
          <w:i/>
        </w:rPr>
        <w:t>dello</w:t>
      </w:r>
      <w:proofErr w:type="spellEnd"/>
      <w:r w:rsidRPr="00ED2F6F">
        <w:rPr>
          <w:rFonts w:ascii="Garamond" w:hAnsi="Garamond"/>
          <w:i/>
        </w:rPr>
        <w:t xml:space="preserve"> </w:t>
      </w:r>
      <w:proofErr w:type="spellStart"/>
      <w:r w:rsidRPr="00ED2F6F">
        <w:rPr>
          <w:rFonts w:ascii="Garamond" w:hAnsi="Garamond"/>
          <w:i/>
        </w:rPr>
        <w:t>Stato</w:t>
      </w:r>
      <w:proofErr w:type="spellEnd"/>
      <w:r w:rsidRPr="00ED2F6F">
        <w:rPr>
          <w:rFonts w:ascii="Garamond" w:hAnsi="Garamond"/>
          <w:i/>
        </w:rPr>
        <w:t xml:space="preserve"> v San Giorgio </w:t>
      </w:r>
      <w:proofErr w:type="spellStart"/>
      <w:r w:rsidRPr="00ED2F6F">
        <w:rPr>
          <w:rFonts w:ascii="Garamond" w:hAnsi="Garamond"/>
          <w:i/>
        </w:rPr>
        <w:t>SpA</w:t>
      </w:r>
      <w:proofErr w:type="spellEnd"/>
      <w:r w:rsidRPr="00ED2F6F">
        <w:rPr>
          <w:rFonts w:ascii="Garamond" w:hAnsi="Garamond"/>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3324F"/>
    <w:multiLevelType w:val="hybridMultilevel"/>
    <w:tmpl w:val="504ABB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57263"/>
    <w:multiLevelType w:val="hybridMultilevel"/>
    <w:tmpl w:val="3F5641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7B1BE8"/>
    <w:multiLevelType w:val="hybridMultilevel"/>
    <w:tmpl w:val="8CEA5E3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39373DC2"/>
    <w:multiLevelType w:val="hybridMultilevel"/>
    <w:tmpl w:val="A920CFD0"/>
    <w:lvl w:ilvl="0" w:tplc="1D580142">
      <w:start w:val="25"/>
      <w:numFmt w:val="bullet"/>
      <w:lvlText w:val="-"/>
      <w:lvlJc w:val="left"/>
      <w:pPr>
        <w:ind w:left="72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C14C39"/>
    <w:multiLevelType w:val="hybridMultilevel"/>
    <w:tmpl w:val="834EE128"/>
    <w:lvl w:ilvl="0" w:tplc="0809000F">
      <w:start w:val="1"/>
      <w:numFmt w:val="decimal"/>
      <w:lvlText w:val="%1."/>
      <w:lvlJc w:val="left"/>
      <w:pPr>
        <w:ind w:left="720" w:hanging="360"/>
      </w:pPr>
    </w:lvl>
    <w:lvl w:ilvl="1" w:tplc="6E30C3B2">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3702D4"/>
    <w:multiLevelType w:val="hybridMultilevel"/>
    <w:tmpl w:val="2C8AF2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4B1889"/>
    <w:multiLevelType w:val="hybridMultilevel"/>
    <w:tmpl w:val="FEF807A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9E667B"/>
    <w:multiLevelType w:val="hybridMultilevel"/>
    <w:tmpl w:val="90AEC7F6"/>
    <w:lvl w:ilvl="0" w:tplc="08090013">
      <w:start w:val="1"/>
      <w:numFmt w:val="upperRoman"/>
      <w:lvlText w:val="%1."/>
      <w:lvlJc w:val="right"/>
      <w:pPr>
        <w:ind w:left="720" w:hanging="360"/>
      </w:pPr>
    </w:lvl>
    <w:lvl w:ilvl="1" w:tplc="6E30C3B2">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C774E6"/>
    <w:multiLevelType w:val="hybridMultilevel"/>
    <w:tmpl w:val="E77ADEDE"/>
    <w:lvl w:ilvl="0" w:tplc="1D580142">
      <w:start w:val="25"/>
      <w:numFmt w:val="bullet"/>
      <w:lvlText w:val="-"/>
      <w:lvlJc w:val="left"/>
      <w:pPr>
        <w:ind w:left="72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246ACF"/>
    <w:multiLevelType w:val="hybridMultilevel"/>
    <w:tmpl w:val="9ACE78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B07351"/>
    <w:multiLevelType w:val="hybridMultilevel"/>
    <w:tmpl w:val="41ACCC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9911539"/>
    <w:multiLevelType w:val="hybridMultilevel"/>
    <w:tmpl w:val="CEDEA2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9"/>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1"/>
  </w:num>
  <w:num w:numId="7">
    <w:abstractNumId w:val="1"/>
  </w:num>
  <w:num w:numId="8">
    <w:abstractNumId w:val="4"/>
  </w:num>
  <w:num w:numId="9">
    <w:abstractNumId w:val="7"/>
  </w:num>
  <w:num w:numId="10">
    <w:abstractNumId w:val="3"/>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C2"/>
    <w:rsid w:val="000005FE"/>
    <w:rsid w:val="00027162"/>
    <w:rsid w:val="00034EA3"/>
    <w:rsid w:val="00054F67"/>
    <w:rsid w:val="000575DB"/>
    <w:rsid w:val="00064056"/>
    <w:rsid w:val="0006506C"/>
    <w:rsid w:val="000764B2"/>
    <w:rsid w:val="0008050D"/>
    <w:rsid w:val="00082088"/>
    <w:rsid w:val="00086F57"/>
    <w:rsid w:val="0009262B"/>
    <w:rsid w:val="000948B2"/>
    <w:rsid w:val="000950C8"/>
    <w:rsid w:val="000A0144"/>
    <w:rsid w:val="000B3E81"/>
    <w:rsid w:val="000B7A7F"/>
    <w:rsid w:val="000C3BF2"/>
    <w:rsid w:val="000C421E"/>
    <w:rsid w:val="000D20A0"/>
    <w:rsid w:val="000D6187"/>
    <w:rsid w:val="000F4B66"/>
    <w:rsid w:val="00105EAC"/>
    <w:rsid w:val="00107EFE"/>
    <w:rsid w:val="00125CC7"/>
    <w:rsid w:val="00131CBD"/>
    <w:rsid w:val="00134213"/>
    <w:rsid w:val="0013756F"/>
    <w:rsid w:val="001418CE"/>
    <w:rsid w:val="0015103F"/>
    <w:rsid w:val="001561B2"/>
    <w:rsid w:val="00165953"/>
    <w:rsid w:val="001859EB"/>
    <w:rsid w:val="001974C0"/>
    <w:rsid w:val="001A5D41"/>
    <w:rsid w:val="001C06D4"/>
    <w:rsid w:val="001C1EB6"/>
    <w:rsid w:val="001C78CB"/>
    <w:rsid w:val="001F4EF0"/>
    <w:rsid w:val="00210AAC"/>
    <w:rsid w:val="00232F0D"/>
    <w:rsid w:val="00240A4B"/>
    <w:rsid w:val="00245788"/>
    <w:rsid w:val="00245F5A"/>
    <w:rsid w:val="0025011D"/>
    <w:rsid w:val="00282AF2"/>
    <w:rsid w:val="002B0F59"/>
    <w:rsid w:val="002B3E29"/>
    <w:rsid w:val="002B631E"/>
    <w:rsid w:val="002C4B42"/>
    <w:rsid w:val="002E30D8"/>
    <w:rsid w:val="002E340D"/>
    <w:rsid w:val="002E6DCA"/>
    <w:rsid w:val="002F582D"/>
    <w:rsid w:val="00301406"/>
    <w:rsid w:val="00305E6A"/>
    <w:rsid w:val="00307AC8"/>
    <w:rsid w:val="003348CC"/>
    <w:rsid w:val="003501D3"/>
    <w:rsid w:val="00355671"/>
    <w:rsid w:val="0037345C"/>
    <w:rsid w:val="003808B5"/>
    <w:rsid w:val="0038189A"/>
    <w:rsid w:val="003B7C5F"/>
    <w:rsid w:val="003C2EC3"/>
    <w:rsid w:val="003C3F13"/>
    <w:rsid w:val="003D7D7D"/>
    <w:rsid w:val="003E018B"/>
    <w:rsid w:val="003E07E2"/>
    <w:rsid w:val="003E7AC8"/>
    <w:rsid w:val="003F15C8"/>
    <w:rsid w:val="00437284"/>
    <w:rsid w:val="0044315A"/>
    <w:rsid w:val="00443E3A"/>
    <w:rsid w:val="004470C3"/>
    <w:rsid w:val="00450AD0"/>
    <w:rsid w:val="00454E5B"/>
    <w:rsid w:val="00472B4E"/>
    <w:rsid w:val="00474DE9"/>
    <w:rsid w:val="004775F3"/>
    <w:rsid w:val="0047770B"/>
    <w:rsid w:val="00494E9F"/>
    <w:rsid w:val="00496941"/>
    <w:rsid w:val="004A325F"/>
    <w:rsid w:val="004A41F7"/>
    <w:rsid w:val="004B0054"/>
    <w:rsid w:val="004B2973"/>
    <w:rsid w:val="004B3510"/>
    <w:rsid w:val="004B58B8"/>
    <w:rsid w:val="004C5516"/>
    <w:rsid w:val="004C7A7B"/>
    <w:rsid w:val="004D44F6"/>
    <w:rsid w:val="004F0C57"/>
    <w:rsid w:val="004F12B4"/>
    <w:rsid w:val="004F156B"/>
    <w:rsid w:val="004F2030"/>
    <w:rsid w:val="004F433A"/>
    <w:rsid w:val="00543649"/>
    <w:rsid w:val="00560A2F"/>
    <w:rsid w:val="00560A48"/>
    <w:rsid w:val="00566BC2"/>
    <w:rsid w:val="00570219"/>
    <w:rsid w:val="00572E9D"/>
    <w:rsid w:val="005817B3"/>
    <w:rsid w:val="00582CFA"/>
    <w:rsid w:val="00583A80"/>
    <w:rsid w:val="00587DCB"/>
    <w:rsid w:val="00591F3E"/>
    <w:rsid w:val="005A1360"/>
    <w:rsid w:val="005F7093"/>
    <w:rsid w:val="00626789"/>
    <w:rsid w:val="006446A4"/>
    <w:rsid w:val="00647FCA"/>
    <w:rsid w:val="00654AEE"/>
    <w:rsid w:val="00655BD8"/>
    <w:rsid w:val="0065680E"/>
    <w:rsid w:val="006667A0"/>
    <w:rsid w:val="00667198"/>
    <w:rsid w:val="00677EAB"/>
    <w:rsid w:val="00677EF9"/>
    <w:rsid w:val="0068413A"/>
    <w:rsid w:val="006859FE"/>
    <w:rsid w:val="00686FFE"/>
    <w:rsid w:val="00692050"/>
    <w:rsid w:val="00694995"/>
    <w:rsid w:val="006B60F9"/>
    <w:rsid w:val="006C6196"/>
    <w:rsid w:val="006D6D23"/>
    <w:rsid w:val="006E198D"/>
    <w:rsid w:val="0070274C"/>
    <w:rsid w:val="00723903"/>
    <w:rsid w:val="00725B27"/>
    <w:rsid w:val="0075710B"/>
    <w:rsid w:val="007612BA"/>
    <w:rsid w:val="00761A43"/>
    <w:rsid w:val="00762D19"/>
    <w:rsid w:val="00767DDC"/>
    <w:rsid w:val="00773983"/>
    <w:rsid w:val="00796CA9"/>
    <w:rsid w:val="00797173"/>
    <w:rsid w:val="007B0F6C"/>
    <w:rsid w:val="007B5513"/>
    <w:rsid w:val="007B6492"/>
    <w:rsid w:val="007C0540"/>
    <w:rsid w:val="007C2BEB"/>
    <w:rsid w:val="007D5CD0"/>
    <w:rsid w:val="00800002"/>
    <w:rsid w:val="008261FC"/>
    <w:rsid w:val="0084799D"/>
    <w:rsid w:val="008607AC"/>
    <w:rsid w:val="00864E04"/>
    <w:rsid w:val="00864FE0"/>
    <w:rsid w:val="0088293B"/>
    <w:rsid w:val="008A4956"/>
    <w:rsid w:val="008B181A"/>
    <w:rsid w:val="008B4A25"/>
    <w:rsid w:val="008C21BC"/>
    <w:rsid w:val="008C484E"/>
    <w:rsid w:val="008D027C"/>
    <w:rsid w:val="008D10C3"/>
    <w:rsid w:val="008E243C"/>
    <w:rsid w:val="008E7422"/>
    <w:rsid w:val="008F398F"/>
    <w:rsid w:val="008F5120"/>
    <w:rsid w:val="00903E5A"/>
    <w:rsid w:val="00904B67"/>
    <w:rsid w:val="0091496F"/>
    <w:rsid w:val="00923D09"/>
    <w:rsid w:val="00924565"/>
    <w:rsid w:val="00937F9E"/>
    <w:rsid w:val="009478FC"/>
    <w:rsid w:val="009621B7"/>
    <w:rsid w:val="009634FC"/>
    <w:rsid w:val="00967718"/>
    <w:rsid w:val="00987FF5"/>
    <w:rsid w:val="00990AC1"/>
    <w:rsid w:val="00991EAB"/>
    <w:rsid w:val="009A5821"/>
    <w:rsid w:val="009B0FC3"/>
    <w:rsid w:val="009B274C"/>
    <w:rsid w:val="009B5965"/>
    <w:rsid w:val="009D4EB2"/>
    <w:rsid w:val="009E0904"/>
    <w:rsid w:val="009F0C75"/>
    <w:rsid w:val="009F52B2"/>
    <w:rsid w:val="00A05535"/>
    <w:rsid w:val="00A11E70"/>
    <w:rsid w:val="00A13032"/>
    <w:rsid w:val="00A16439"/>
    <w:rsid w:val="00A16C02"/>
    <w:rsid w:val="00A23B29"/>
    <w:rsid w:val="00A24542"/>
    <w:rsid w:val="00A25121"/>
    <w:rsid w:val="00A33577"/>
    <w:rsid w:val="00A33A7D"/>
    <w:rsid w:val="00A34A22"/>
    <w:rsid w:val="00A37225"/>
    <w:rsid w:val="00A411FC"/>
    <w:rsid w:val="00A428A6"/>
    <w:rsid w:val="00A453E1"/>
    <w:rsid w:val="00A569C2"/>
    <w:rsid w:val="00A70C5E"/>
    <w:rsid w:val="00A754A1"/>
    <w:rsid w:val="00A80EDC"/>
    <w:rsid w:val="00A82CB4"/>
    <w:rsid w:val="00A867C9"/>
    <w:rsid w:val="00AB48FE"/>
    <w:rsid w:val="00AB7971"/>
    <w:rsid w:val="00AC7F69"/>
    <w:rsid w:val="00AE3873"/>
    <w:rsid w:val="00B12BAF"/>
    <w:rsid w:val="00B14355"/>
    <w:rsid w:val="00B24A03"/>
    <w:rsid w:val="00B30ABB"/>
    <w:rsid w:val="00B33E4F"/>
    <w:rsid w:val="00B45FA6"/>
    <w:rsid w:val="00B46ECD"/>
    <w:rsid w:val="00B520AA"/>
    <w:rsid w:val="00B646D4"/>
    <w:rsid w:val="00B65DDC"/>
    <w:rsid w:val="00B72E0B"/>
    <w:rsid w:val="00B73542"/>
    <w:rsid w:val="00B73D9F"/>
    <w:rsid w:val="00BB627F"/>
    <w:rsid w:val="00BB7280"/>
    <w:rsid w:val="00BC02C7"/>
    <w:rsid w:val="00BC536C"/>
    <w:rsid w:val="00BD022E"/>
    <w:rsid w:val="00BD1F42"/>
    <w:rsid w:val="00BE4557"/>
    <w:rsid w:val="00BF1818"/>
    <w:rsid w:val="00BF691C"/>
    <w:rsid w:val="00C014A8"/>
    <w:rsid w:val="00C0454B"/>
    <w:rsid w:val="00C177C9"/>
    <w:rsid w:val="00C46A23"/>
    <w:rsid w:val="00C65300"/>
    <w:rsid w:val="00C7235E"/>
    <w:rsid w:val="00C76F00"/>
    <w:rsid w:val="00C82E85"/>
    <w:rsid w:val="00C9358B"/>
    <w:rsid w:val="00C97A13"/>
    <w:rsid w:val="00CA1397"/>
    <w:rsid w:val="00CC0C46"/>
    <w:rsid w:val="00CC0E89"/>
    <w:rsid w:val="00D15CA0"/>
    <w:rsid w:val="00D248D5"/>
    <w:rsid w:val="00D26C41"/>
    <w:rsid w:val="00D35B0D"/>
    <w:rsid w:val="00D45952"/>
    <w:rsid w:val="00D60848"/>
    <w:rsid w:val="00D615A8"/>
    <w:rsid w:val="00D7478F"/>
    <w:rsid w:val="00D8298C"/>
    <w:rsid w:val="00DA0244"/>
    <w:rsid w:val="00DA4306"/>
    <w:rsid w:val="00DA4C36"/>
    <w:rsid w:val="00DA676E"/>
    <w:rsid w:val="00DB33C8"/>
    <w:rsid w:val="00DB50BA"/>
    <w:rsid w:val="00DC0B86"/>
    <w:rsid w:val="00DC236A"/>
    <w:rsid w:val="00DC40CF"/>
    <w:rsid w:val="00DD1BC9"/>
    <w:rsid w:val="00DF0F80"/>
    <w:rsid w:val="00DF5C22"/>
    <w:rsid w:val="00E0183F"/>
    <w:rsid w:val="00E37718"/>
    <w:rsid w:val="00EA0083"/>
    <w:rsid w:val="00EA2383"/>
    <w:rsid w:val="00EA463F"/>
    <w:rsid w:val="00EA693A"/>
    <w:rsid w:val="00EB272B"/>
    <w:rsid w:val="00EB279C"/>
    <w:rsid w:val="00EC59A7"/>
    <w:rsid w:val="00ED036D"/>
    <w:rsid w:val="00ED05C2"/>
    <w:rsid w:val="00ED2F6F"/>
    <w:rsid w:val="00ED3257"/>
    <w:rsid w:val="00ED3C95"/>
    <w:rsid w:val="00EE6B74"/>
    <w:rsid w:val="00EF1192"/>
    <w:rsid w:val="00F01FFF"/>
    <w:rsid w:val="00F34DA2"/>
    <w:rsid w:val="00F4541E"/>
    <w:rsid w:val="00F52911"/>
    <w:rsid w:val="00F75AEE"/>
    <w:rsid w:val="00F90D1C"/>
    <w:rsid w:val="00FA2E60"/>
    <w:rsid w:val="00FA3D1D"/>
    <w:rsid w:val="00FB0DCF"/>
    <w:rsid w:val="00FB11BA"/>
    <w:rsid w:val="00FB2923"/>
    <w:rsid w:val="00FE22D2"/>
    <w:rsid w:val="00FF3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2222A5"/>
  <w14:defaultImageDpi w14:val="300"/>
  <w15:chartTrackingRefBased/>
  <w15:docId w15:val="{E77D2724-2FCF-41A5-AF97-592801DF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05C2"/>
    <w:pPr>
      <w:tabs>
        <w:tab w:val="center" w:pos="4153"/>
        <w:tab w:val="right" w:pos="8306"/>
      </w:tabs>
    </w:pPr>
  </w:style>
  <w:style w:type="paragraph" w:styleId="Footer">
    <w:name w:val="footer"/>
    <w:basedOn w:val="Normal"/>
    <w:link w:val="FooterChar"/>
    <w:rsid w:val="00ED05C2"/>
    <w:pPr>
      <w:tabs>
        <w:tab w:val="center" w:pos="4153"/>
        <w:tab w:val="right" w:pos="8306"/>
      </w:tabs>
    </w:pPr>
  </w:style>
  <w:style w:type="character" w:customStyle="1" w:styleId="FooterChar">
    <w:name w:val="Footer Char"/>
    <w:link w:val="Footer"/>
    <w:rsid w:val="00ED05C2"/>
    <w:rPr>
      <w:sz w:val="24"/>
      <w:szCs w:val="24"/>
      <w:lang w:val="en-GB" w:eastAsia="en-GB" w:bidi="ar-SA"/>
    </w:rPr>
  </w:style>
  <w:style w:type="paragraph" w:styleId="BalloonText">
    <w:name w:val="Balloon Text"/>
    <w:basedOn w:val="Normal"/>
    <w:semiHidden/>
    <w:rsid w:val="00ED036D"/>
    <w:rPr>
      <w:rFonts w:ascii="Tahoma" w:hAnsi="Tahoma" w:cs="Tahoma"/>
      <w:sz w:val="16"/>
      <w:szCs w:val="16"/>
    </w:rPr>
  </w:style>
  <w:style w:type="character" w:styleId="Strong">
    <w:name w:val="Strong"/>
    <w:qFormat/>
    <w:rsid w:val="000F4B66"/>
    <w:rPr>
      <w:b/>
      <w:bCs/>
    </w:rPr>
  </w:style>
  <w:style w:type="character" w:styleId="Hyperlink">
    <w:name w:val="Hyperlink"/>
    <w:rsid w:val="00A16C02"/>
    <w:rPr>
      <w:color w:val="0000FF"/>
      <w:u w:val="single"/>
    </w:rPr>
  </w:style>
  <w:style w:type="paragraph" w:styleId="FootnoteText">
    <w:name w:val="footnote text"/>
    <w:basedOn w:val="Normal"/>
    <w:link w:val="FootnoteTextChar"/>
    <w:rsid w:val="00D45952"/>
    <w:rPr>
      <w:sz w:val="20"/>
      <w:szCs w:val="20"/>
    </w:rPr>
  </w:style>
  <w:style w:type="character" w:customStyle="1" w:styleId="FootnoteTextChar">
    <w:name w:val="Footnote Text Char"/>
    <w:basedOn w:val="DefaultParagraphFont"/>
    <w:link w:val="FootnoteText"/>
    <w:rsid w:val="00D45952"/>
  </w:style>
  <w:style w:type="character" w:styleId="FootnoteReference">
    <w:name w:val="footnote reference"/>
    <w:basedOn w:val="DefaultParagraphFont"/>
    <w:rsid w:val="00D45952"/>
    <w:rPr>
      <w:vertAlign w:val="superscript"/>
    </w:rPr>
  </w:style>
  <w:style w:type="paragraph" w:styleId="ListParagraph">
    <w:name w:val="List Paragraph"/>
    <w:basedOn w:val="Normal"/>
    <w:uiPriority w:val="72"/>
    <w:qFormat/>
    <w:rsid w:val="002C4B42"/>
    <w:pPr>
      <w:ind w:left="720"/>
      <w:contextualSpacing/>
    </w:pPr>
  </w:style>
  <w:style w:type="character" w:styleId="CommentReference">
    <w:name w:val="annotation reference"/>
    <w:basedOn w:val="DefaultParagraphFont"/>
    <w:rsid w:val="000950C8"/>
    <w:rPr>
      <w:sz w:val="16"/>
      <w:szCs w:val="16"/>
    </w:rPr>
  </w:style>
  <w:style w:type="paragraph" w:styleId="CommentText">
    <w:name w:val="annotation text"/>
    <w:basedOn w:val="Normal"/>
    <w:link w:val="CommentTextChar"/>
    <w:rsid w:val="000950C8"/>
    <w:rPr>
      <w:sz w:val="20"/>
      <w:szCs w:val="20"/>
    </w:rPr>
  </w:style>
  <w:style w:type="character" w:customStyle="1" w:styleId="CommentTextChar">
    <w:name w:val="Comment Text Char"/>
    <w:basedOn w:val="DefaultParagraphFont"/>
    <w:link w:val="CommentText"/>
    <w:rsid w:val="000950C8"/>
  </w:style>
  <w:style w:type="paragraph" w:styleId="CommentSubject">
    <w:name w:val="annotation subject"/>
    <w:basedOn w:val="CommentText"/>
    <w:next w:val="CommentText"/>
    <w:link w:val="CommentSubjectChar"/>
    <w:rsid w:val="000950C8"/>
    <w:rPr>
      <w:b/>
      <w:bCs/>
    </w:rPr>
  </w:style>
  <w:style w:type="character" w:customStyle="1" w:styleId="CommentSubjectChar">
    <w:name w:val="Comment Subject Char"/>
    <w:basedOn w:val="CommentTextChar"/>
    <w:link w:val="CommentSubject"/>
    <w:rsid w:val="000950C8"/>
    <w:rPr>
      <w:b/>
      <w:bCs/>
    </w:rPr>
  </w:style>
  <w:style w:type="paragraph" w:styleId="Revision">
    <w:name w:val="Revision"/>
    <w:hidden/>
    <w:uiPriority w:val="71"/>
    <w:rsid w:val="00A23B2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730021">
      <w:bodyDiv w:val="1"/>
      <w:marLeft w:val="0"/>
      <w:marRight w:val="0"/>
      <w:marTop w:val="0"/>
      <w:marBottom w:val="0"/>
      <w:divBdr>
        <w:top w:val="none" w:sz="0" w:space="0" w:color="auto"/>
        <w:left w:val="none" w:sz="0" w:space="0" w:color="auto"/>
        <w:bottom w:val="none" w:sz="0" w:space="0" w:color="auto"/>
        <w:right w:val="none" w:sz="0" w:space="0" w:color="auto"/>
      </w:divBdr>
    </w:div>
    <w:div w:id="118066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premecourt.uk/decided-cases/index.shtml" TargetMode="Externa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4" ma:contentTypeDescription="Create a new document." ma:contentTypeScope="" ma:versionID="34e0ca7b94d4cacc273154739476b6c7">
  <xsd:schema xmlns:xsd="http://www.w3.org/2001/XMLSchema" xmlns:xs="http://www.w3.org/2001/XMLSchema" xmlns:p="http://schemas.microsoft.com/office/2006/metadata/properties" xmlns:ns2="d1912800-d0d5-4897-aa13-fa15486e9ce2" targetNamespace="http://schemas.microsoft.com/office/2006/metadata/properties" ma:root="true" ma:fieldsID="2460a5e349f4dfc73fc5b4ebdcfd4041" ns2:_="">
    <xsd:import namespace="d1912800-d0d5-4897-aa13-fa15486e9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7918B5-A0A4-4DB5-9251-B81926DD7F3F}"/>
</file>

<file path=customXml/itemProps2.xml><?xml version="1.0" encoding="utf-8"?>
<ds:datastoreItem xmlns:ds="http://schemas.openxmlformats.org/officeDocument/2006/customXml" ds:itemID="{D1964D42-5E6A-4E0B-B37D-2D677AF93392}">
  <ds:schemaRefs>
    <ds:schemaRef ds:uri="http://schemas.microsoft.com/sharepoint/v3/contenttype/forms"/>
  </ds:schemaRefs>
</ds:datastoreItem>
</file>

<file path=customXml/itemProps3.xml><?xml version="1.0" encoding="utf-8"?>
<ds:datastoreItem xmlns:ds="http://schemas.openxmlformats.org/officeDocument/2006/customXml" ds:itemID="{9B08947A-86BE-4CD7-BC79-E2B3A0956CC5}">
  <ds:schemaRefs>
    <ds:schemaRef ds:uri="http://schemas.openxmlformats.org/officeDocument/2006/bibliography"/>
  </ds:schemaRefs>
</ds:datastoreItem>
</file>

<file path=customXml/itemProps4.xml><?xml version="1.0" encoding="utf-8"?>
<ds:datastoreItem xmlns:ds="http://schemas.openxmlformats.org/officeDocument/2006/customXml" ds:itemID="{310C5BD6-D768-4C8F-A976-F2D39A5E3848}"/>
</file>

<file path=docProps/app.xml><?xml version="1.0" encoding="utf-8"?>
<Properties xmlns="http://schemas.openxmlformats.org/officeDocument/2006/extended-properties" xmlns:vt="http://schemas.openxmlformats.org/officeDocument/2006/docPropsVTypes">
  <Template>Normal</Template>
  <TotalTime>5</TotalTime>
  <Pages>2</Pages>
  <Words>1177</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Prudential Assurance Company Ltd (Respondent) v Commissioners for Her Majesty's Revenue and Customs (Appellant)</vt:lpstr>
    </vt:vector>
  </TitlesOfParts>
  <Company>The Supreme Court (UKSC)</Company>
  <LinksUpToDate>false</LinksUpToDate>
  <CharactersWithSpaces>7216</CharactersWithSpaces>
  <SharedDoc>false</SharedDoc>
  <HLinks>
    <vt:vector size="6" baseType="variant">
      <vt:variant>
        <vt:i4>655380</vt:i4>
      </vt:variant>
      <vt:variant>
        <vt:i4>0</vt:i4>
      </vt:variant>
      <vt:variant>
        <vt:i4>0</vt:i4>
      </vt:variant>
      <vt:variant>
        <vt:i4>5</vt:i4>
      </vt:variant>
      <vt:variant>
        <vt:lpwstr>http://supremecourt.uk/decided-cases/index.shtml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Prudential Assurance Company Ltd (Respondent) v Commissioners for Her Majesty's Revenue and Customs (Appellant)</dc:title>
  <dc:subject>Judgment handed down on Wednesday 25 July 2018</dc:subject>
  <dc:creator>The Supreme Court (UKSC)</dc:creator>
  <cp:keywords>[2016] EWCA Civ 376; UKSC 2016/0102; [2018] UKSC 39</cp:keywords>
  <dc:description/>
  <cp:lastModifiedBy>Anita Homji</cp:lastModifiedBy>
  <cp:revision>6</cp:revision>
  <cp:lastPrinted>2018-07-24T11:46:00Z</cp:lastPrinted>
  <dcterms:created xsi:type="dcterms:W3CDTF">2018-07-20T15:22:00Z</dcterms:created>
  <dcterms:modified xsi:type="dcterms:W3CDTF">2018-07-24T11:46:00Z</dcterms:modified>
  <cp:category>Decided cases; 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0x010100AAB251F3824E8E4BABF966FB1FF33114</vt:lpwstr>
  </property>
  <property fmtid="{D5CDD505-2E9C-101B-9397-08002B2CF9AE}" pid="3" name="CaseName">
    <vt:lpwstr>Prudential Assurance Company Ltd (Respondent) v Commissioners for Her Majesty's Revenue and Customs (Appellant)</vt:lpwstr>
  </property>
  <property fmtid="{D5CDD505-2E9C-101B-9397-08002B2CF9AE}" pid="4" name="HandDownDate">
    <vt:lpwstr>25 July 2018</vt:lpwstr>
  </property>
  <property fmtid="{D5CDD505-2E9C-101B-9397-08002B2CF9AE}" pid="5" name="CaseID">
    <vt:lpwstr>2016/0102</vt:lpwstr>
  </property>
  <property fmtid="{D5CDD505-2E9C-101B-9397-08002B2CF9AE}" pid="6" name="NeutralCitationNumber">
    <vt:lpwstr>[2018] UKSC 39</vt:lpwstr>
  </property>
</Properties>
</file>