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D05C2" w:rsidRDefault="00490634" w:rsidP="00E86B97">
      <w:pPr>
        <w:jc w:val="center"/>
        <w:rPr>
          <w:rFonts w:ascii="Garamond" w:hAnsi="Garamond"/>
        </w:rPr>
      </w:pPr>
      <w:r w:rsidRPr="00C867F9">
        <w:rPr>
          <w:rFonts w:ascii="Garamond" w:hAnsi="Garamond"/>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UKSC logo" style="width:69pt;height:92.25pt;visibility:visible">
            <v:imagedata r:id="rId11" o:title="UKSC logo"/>
          </v:shape>
        </w:pict>
      </w:r>
    </w:p>
    <w:p w:rsidR="00C867F9" w:rsidRPr="00C867F9" w:rsidRDefault="00C867F9" w:rsidP="00C867F9">
      <w:pPr>
        <w:jc w:val="both"/>
        <w:rPr>
          <w:rFonts w:ascii="Garamond" w:hAnsi="Garamond"/>
          <w:b/>
          <w:bCs/>
          <w:color w:val="FF0000"/>
          <w:sz w:val="22"/>
          <w:szCs w:val="22"/>
        </w:rPr>
      </w:pPr>
      <w:r w:rsidRPr="00C867F9">
        <w:rPr>
          <w:rFonts w:ascii="Garamond" w:hAnsi="Garamond"/>
          <w:b/>
          <w:bCs/>
          <w:color w:val="FF0000"/>
          <w:sz w:val="22"/>
          <w:szCs w:val="22"/>
        </w:rPr>
        <w:t>THE COURT ORDERED that no one shall publish or reveal the name or address of the Appellant who is the subject of these proceedings or publish or reveal any information which would be likely to lead to the identification of the Appellant or of any member of his family in connection with these proceedings.</w:t>
      </w:r>
    </w:p>
    <w:p w:rsidR="00C867F9" w:rsidRPr="00BD6FFA" w:rsidRDefault="00C867F9" w:rsidP="00E86B97">
      <w:pPr>
        <w:jc w:val="center"/>
        <w:rPr>
          <w:rFonts w:ascii="Garamond" w:hAnsi="Garamond"/>
        </w:rPr>
      </w:pPr>
    </w:p>
    <w:p w:rsidR="00A16C02" w:rsidRPr="00BD6FFA" w:rsidRDefault="001E6957" w:rsidP="00A17451">
      <w:pPr>
        <w:tabs>
          <w:tab w:val="left" w:pos="8285"/>
        </w:tabs>
        <w:jc w:val="right"/>
        <w:rPr>
          <w:rFonts w:ascii="Garamond" w:hAnsi="Garamond"/>
          <w:b/>
        </w:rPr>
      </w:pPr>
      <w:r w:rsidRPr="00BD6FFA">
        <w:rPr>
          <w:rFonts w:ascii="Garamond" w:hAnsi="Garamond"/>
          <w:b/>
        </w:rPr>
        <w:t>26 February 2020</w:t>
      </w:r>
    </w:p>
    <w:p w:rsidR="00A16C02" w:rsidRPr="00BD6FFA" w:rsidRDefault="00A16C02" w:rsidP="009378D3">
      <w:pPr>
        <w:tabs>
          <w:tab w:val="left" w:pos="8285"/>
        </w:tabs>
        <w:jc w:val="center"/>
        <w:rPr>
          <w:rFonts w:ascii="Garamond" w:hAnsi="Garamond"/>
          <w:b/>
        </w:rPr>
      </w:pPr>
      <w:r w:rsidRPr="00BD6FFA">
        <w:rPr>
          <w:rFonts w:ascii="Garamond" w:hAnsi="Garamond"/>
          <w:b/>
        </w:rPr>
        <w:t>PRESS SUMMARY</w:t>
      </w:r>
    </w:p>
    <w:p w:rsidR="00A16C02" w:rsidRPr="00BD6FFA" w:rsidRDefault="00A16C02" w:rsidP="00612A1B">
      <w:pPr>
        <w:tabs>
          <w:tab w:val="left" w:pos="8285"/>
        </w:tabs>
        <w:jc w:val="both"/>
        <w:rPr>
          <w:rFonts w:ascii="Garamond" w:hAnsi="Garamond"/>
          <w:b/>
        </w:rPr>
      </w:pPr>
    </w:p>
    <w:p w:rsidR="00CB393E" w:rsidRDefault="00767E47" w:rsidP="00C867F9">
      <w:pPr>
        <w:tabs>
          <w:tab w:val="left" w:pos="8285"/>
        </w:tabs>
        <w:rPr>
          <w:rFonts w:ascii="Garamond" w:hAnsi="Garamond"/>
          <w:b/>
        </w:rPr>
      </w:pPr>
      <w:r w:rsidRPr="00BD6FFA">
        <w:rPr>
          <w:rFonts w:ascii="Garamond" w:hAnsi="Garamond"/>
          <w:b/>
        </w:rPr>
        <w:t>R (on the application of DN (Rwanda)</w:t>
      </w:r>
      <w:r w:rsidR="00C867F9">
        <w:rPr>
          <w:rFonts w:ascii="Garamond" w:hAnsi="Garamond"/>
          <w:b/>
        </w:rPr>
        <w:t>)</w:t>
      </w:r>
      <w:r w:rsidRPr="00BD6FFA">
        <w:rPr>
          <w:rFonts w:ascii="Garamond" w:hAnsi="Garamond"/>
          <w:b/>
        </w:rPr>
        <w:t xml:space="preserve"> (Appellant) v Secretary of State for the Home Department (Respondent</w:t>
      </w:r>
      <w:r w:rsidR="00C867F9">
        <w:rPr>
          <w:rFonts w:ascii="Garamond" w:hAnsi="Garamond"/>
          <w:b/>
        </w:rPr>
        <w:t>)</w:t>
      </w:r>
    </w:p>
    <w:p w:rsidR="00C867F9" w:rsidRPr="00BD6FFA" w:rsidRDefault="00C867F9" w:rsidP="00C867F9">
      <w:pPr>
        <w:tabs>
          <w:tab w:val="left" w:pos="8285"/>
        </w:tabs>
        <w:rPr>
          <w:rFonts w:ascii="Garamond" w:hAnsi="Garamond"/>
          <w:b/>
        </w:rPr>
      </w:pPr>
      <w:r>
        <w:rPr>
          <w:rFonts w:ascii="Garamond" w:hAnsi="Garamond"/>
          <w:b/>
        </w:rPr>
        <w:t>[2020] UKSC 7</w:t>
      </w:r>
    </w:p>
    <w:p w:rsidR="002F3DA4" w:rsidRPr="00BD6FFA" w:rsidRDefault="00CB393E" w:rsidP="00CB393E">
      <w:pPr>
        <w:tabs>
          <w:tab w:val="left" w:pos="8285"/>
        </w:tabs>
        <w:jc w:val="both"/>
        <w:rPr>
          <w:rFonts w:ascii="Garamond" w:hAnsi="Garamond"/>
          <w:b/>
          <w:i/>
          <w:iCs/>
        </w:rPr>
      </w:pPr>
      <w:r w:rsidRPr="00BD6FFA">
        <w:rPr>
          <w:rFonts w:ascii="Garamond" w:hAnsi="Garamond"/>
          <w:b/>
          <w:i/>
          <w:iCs/>
        </w:rPr>
        <w:t xml:space="preserve">On appeal from: </w:t>
      </w:r>
      <w:r w:rsidR="00630BC6" w:rsidRPr="00BD6FFA">
        <w:rPr>
          <w:rFonts w:ascii="Garamond" w:hAnsi="Garamond"/>
          <w:b/>
          <w:i/>
          <w:iCs/>
        </w:rPr>
        <w:t xml:space="preserve">[2018] EWCA </w:t>
      </w:r>
      <w:proofErr w:type="spellStart"/>
      <w:r w:rsidR="00630BC6" w:rsidRPr="00BD6FFA">
        <w:rPr>
          <w:rFonts w:ascii="Garamond" w:hAnsi="Garamond"/>
          <w:b/>
          <w:i/>
          <w:iCs/>
        </w:rPr>
        <w:t>Civ</w:t>
      </w:r>
      <w:proofErr w:type="spellEnd"/>
      <w:r w:rsidR="00630BC6" w:rsidRPr="00BD6FFA">
        <w:rPr>
          <w:rFonts w:ascii="Garamond" w:hAnsi="Garamond"/>
          <w:b/>
          <w:i/>
          <w:iCs/>
        </w:rPr>
        <w:t xml:space="preserve"> 273</w:t>
      </w:r>
    </w:p>
    <w:p w:rsidR="00CB393E" w:rsidRPr="00BD6FFA" w:rsidRDefault="00CB393E" w:rsidP="00CB393E">
      <w:pPr>
        <w:tabs>
          <w:tab w:val="left" w:pos="8285"/>
        </w:tabs>
        <w:jc w:val="both"/>
        <w:rPr>
          <w:rFonts w:ascii="Garamond" w:hAnsi="Garamond"/>
        </w:rPr>
      </w:pPr>
    </w:p>
    <w:p w:rsidR="00937F9E" w:rsidRPr="00BD6FFA" w:rsidRDefault="00A16C02" w:rsidP="00A75147">
      <w:pPr>
        <w:tabs>
          <w:tab w:val="left" w:pos="8285"/>
        </w:tabs>
        <w:jc w:val="both"/>
        <w:rPr>
          <w:rFonts w:ascii="Garamond" w:hAnsi="Garamond"/>
        </w:rPr>
      </w:pPr>
      <w:r w:rsidRPr="00BD6FFA">
        <w:rPr>
          <w:rFonts w:ascii="Garamond" w:hAnsi="Garamond"/>
          <w:b/>
        </w:rPr>
        <w:t>JUSTICES</w:t>
      </w:r>
      <w:r w:rsidRPr="00BD6FFA">
        <w:rPr>
          <w:rFonts w:ascii="Garamond" w:hAnsi="Garamond"/>
        </w:rPr>
        <w:t>:</w:t>
      </w:r>
      <w:r w:rsidR="00312A65" w:rsidRPr="00BD6FFA">
        <w:rPr>
          <w:rFonts w:ascii="Garamond" w:hAnsi="Garamond"/>
        </w:rPr>
        <w:t xml:space="preserve"> </w:t>
      </w:r>
      <w:r w:rsidR="003E1078" w:rsidRPr="00BD6FFA">
        <w:rPr>
          <w:rFonts w:ascii="Garamond" w:hAnsi="Garamond"/>
        </w:rPr>
        <w:t xml:space="preserve">Lord Kerr, </w:t>
      </w:r>
      <w:r w:rsidR="00DB0F3E" w:rsidRPr="00BD6FFA">
        <w:rPr>
          <w:rFonts w:ascii="Garamond" w:hAnsi="Garamond"/>
        </w:rPr>
        <w:t>Lord Wilson, Lord Carnwath, Lady Black, Lord Kitchin</w:t>
      </w:r>
    </w:p>
    <w:p w:rsidR="006145E2" w:rsidRPr="00BD6FFA" w:rsidRDefault="006145E2" w:rsidP="00612A1B">
      <w:pPr>
        <w:tabs>
          <w:tab w:val="left" w:pos="8285"/>
        </w:tabs>
        <w:jc w:val="both"/>
        <w:rPr>
          <w:rFonts w:ascii="Garamond" w:hAnsi="Garamond"/>
          <w:b/>
          <w:sz w:val="20"/>
          <w:szCs w:val="20"/>
        </w:rPr>
      </w:pPr>
    </w:p>
    <w:p w:rsidR="00A16C02" w:rsidRPr="00BD6FFA" w:rsidRDefault="00A16C02" w:rsidP="00612A1B">
      <w:pPr>
        <w:tabs>
          <w:tab w:val="left" w:pos="8285"/>
        </w:tabs>
        <w:jc w:val="both"/>
        <w:rPr>
          <w:rFonts w:ascii="Garamond" w:hAnsi="Garamond"/>
          <w:b/>
        </w:rPr>
      </w:pPr>
      <w:r w:rsidRPr="00BD6FFA">
        <w:rPr>
          <w:rFonts w:ascii="Garamond" w:hAnsi="Garamond"/>
          <w:b/>
        </w:rPr>
        <w:t>BACKGROUND TO THE APPEAL</w:t>
      </w:r>
    </w:p>
    <w:p w:rsidR="00253255" w:rsidRPr="00BD6FFA" w:rsidRDefault="00253255" w:rsidP="00312A65">
      <w:pPr>
        <w:tabs>
          <w:tab w:val="left" w:pos="8285"/>
        </w:tabs>
        <w:jc w:val="both"/>
        <w:rPr>
          <w:rFonts w:ascii="Garamond" w:hAnsi="Garamond"/>
        </w:rPr>
      </w:pPr>
    </w:p>
    <w:p w:rsidR="00DF5CC4" w:rsidRPr="00C867F9" w:rsidRDefault="001E17B7" w:rsidP="00F802E6">
      <w:pPr>
        <w:tabs>
          <w:tab w:val="left" w:pos="8285"/>
        </w:tabs>
        <w:spacing w:after="120"/>
        <w:jc w:val="both"/>
        <w:rPr>
          <w:rFonts w:ascii="Garamond" w:hAnsi="Garamond"/>
          <w:sz w:val="23"/>
          <w:szCs w:val="23"/>
        </w:rPr>
      </w:pPr>
      <w:r w:rsidRPr="00C867F9">
        <w:rPr>
          <w:rFonts w:ascii="Garamond" w:hAnsi="Garamond"/>
          <w:sz w:val="23"/>
          <w:szCs w:val="23"/>
        </w:rPr>
        <w:t>The appellant, DN,</w:t>
      </w:r>
      <w:r w:rsidR="003439D6" w:rsidRPr="00C867F9">
        <w:rPr>
          <w:rFonts w:ascii="Garamond" w:hAnsi="Garamond"/>
          <w:sz w:val="23"/>
          <w:szCs w:val="23"/>
        </w:rPr>
        <w:t xml:space="preserve"> is a Rwandan national who</w:t>
      </w:r>
      <w:r w:rsidRPr="00C867F9">
        <w:rPr>
          <w:rFonts w:ascii="Garamond" w:hAnsi="Garamond"/>
          <w:sz w:val="23"/>
          <w:szCs w:val="23"/>
        </w:rPr>
        <w:t xml:space="preserve"> was granted refugee</w:t>
      </w:r>
      <w:r w:rsidR="003439D6" w:rsidRPr="00C867F9">
        <w:rPr>
          <w:rFonts w:ascii="Garamond" w:hAnsi="Garamond"/>
          <w:sz w:val="23"/>
          <w:szCs w:val="23"/>
        </w:rPr>
        <w:t xml:space="preserve"> status</w:t>
      </w:r>
      <w:r w:rsidRPr="00C867F9">
        <w:rPr>
          <w:rFonts w:ascii="Garamond" w:hAnsi="Garamond"/>
          <w:sz w:val="23"/>
          <w:szCs w:val="23"/>
        </w:rPr>
        <w:t xml:space="preserve"> </w:t>
      </w:r>
      <w:r w:rsidR="006176C4" w:rsidRPr="00C867F9">
        <w:rPr>
          <w:rFonts w:ascii="Garamond" w:hAnsi="Garamond"/>
          <w:sz w:val="23"/>
          <w:szCs w:val="23"/>
        </w:rPr>
        <w:t xml:space="preserve">in the UK </w:t>
      </w:r>
      <w:r w:rsidRPr="00C867F9">
        <w:rPr>
          <w:rFonts w:ascii="Garamond" w:hAnsi="Garamond"/>
          <w:sz w:val="23"/>
          <w:szCs w:val="23"/>
        </w:rPr>
        <w:t>pursuant to the 1951 Refugee Convention on 26 October 2000. He</w:t>
      </w:r>
      <w:r w:rsidR="003439D6" w:rsidRPr="00C867F9">
        <w:rPr>
          <w:rFonts w:ascii="Garamond" w:hAnsi="Garamond"/>
          <w:sz w:val="23"/>
          <w:szCs w:val="23"/>
        </w:rPr>
        <w:t xml:space="preserve"> was subsequently convicted in the UK of </w:t>
      </w:r>
      <w:r w:rsidR="005F2919" w:rsidRPr="00C867F9">
        <w:rPr>
          <w:rFonts w:ascii="Garamond" w:hAnsi="Garamond"/>
          <w:sz w:val="23"/>
          <w:szCs w:val="23"/>
        </w:rPr>
        <w:t>a number of</w:t>
      </w:r>
      <w:r w:rsidR="003439D6" w:rsidRPr="00C867F9">
        <w:rPr>
          <w:rFonts w:ascii="Garamond" w:hAnsi="Garamond"/>
          <w:sz w:val="23"/>
          <w:szCs w:val="23"/>
        </w:rPr>
        <w:t xml:space="preserve"> offences</w:t>
      </w:r>
      <w:r w:rsidR="00DF5CC4" w:rsidRPr="00C867F9">
        <w:rPr>
          <w:rFonts w:ascii="Garamond" w:hAnsi="Garamond"/>
          <w:sz w:val="23"/>
          <w:szCs w:val="23"/>
        </w:rPr>
        <w:t>, the most serious of which occurred on 22 January 2007 when he pleaded guilty to assisting the unlawful entry of a non-EEA</w:t>
      </w:r>
      <w:r w:rsidR="00EC591B" w:rsidRPr="00C867F9">
        <w:rPr>
          <w:rFonts w:ascii="Garamond" w:hAnsi="Garamond"/>
          <w:sz w:val="23"/>
          <w:szCs w:val="23"/>
        </w:rPr>
        <w:t xml:space="preserve"> (European Economic Area)</w:t>
      </w:r>
      <w:r w:rsidR="00DF5CC4" w:rsidRPr="00C867F9">
        <w:rPr>
          <w:rFonts w:ascii="Garamond" w:hAnsi="Garamond"/>
          <w:sz w:val="23"/>
          <w:szCs w:val="23"/>
        </w:rPr>
        <w:t xml:space="preserve"> national in the UK contrary to section 25 of the Immigration Act 1971</w:t>
      </w:r>
      <w:r w:rsidR="005608AC" w:rsidRPr="00C867F9">
        <w:rPr>
          <w:rFonts w:ascii="Garamond" w:hAnsi="Garamond"/>
          <w:sz w:val="23"/>
          <w:szCs w:val="23"/>
        </w:rPr>
        <w:t xml:space="preserve"> (“</w:t>
      </w:r>
      <w:r w:rsidR="005608AC" w:rsidRPr="00C867F9">
        <w:rPr>
          <w:rFonts w:ascii="Garamond" w:hAnsi="Garamond"/>
          <w:b/>
          <w:bCs/>
          <w:sz w:val="23"/>
          <w:szCs w:val="23"/>
        </w:rPr>
        <w:t>the 1971 Act</w:t>
      </w:r>
      <w:r w:rsidR="005608AC" w:rsidRPr="00C867F9">
        <w:rPr>
          <w:rFonts w:ascii="Garamond" w:hAnsi="Garamond"/>
          <w:sz w:val="23"/>
          <w:szCs w:val="23"/>
        </w:rPr>
        <w:t>”)</w:t>
      </w:r>
      <w:r w:rsidR="00DF5CC4" w:rsidRPr="00C867F9">
        <w:rPr>
          <w:rFonts w:ascii="Garamond" w:hAnsi="Garamond"/>
          <w:sz w:val="23"/>
          <w:szCs w:val="23"/>
        </w:rPr>
        <w:t xml:space="preserve">. </w:t>
      </w:r>
      <w:r w:rsidR="00C977E0" w:rsidRPr="00C867F9">
        <w:rPr>
          <w:rFonts w:ascii="Garamond" w:hAnsi="Garamond"/>
          <w:sz w:val="23"/>
          <w:szCs w:val="23"/>
        </w:rPr>
        <w:t xml:space="preserve">He was sentenced to 12 months’ imprisonment </w:t>
      </w:r>
      <w:r w:rsidR="00F802E6" w:rsidRPr="00C867F9">
        <w:rPr>
          <w:rFonts w:ascii="Garamond" w:hAnsi="Garamond"/>
          <w:sz w:val="23"/>
          <w:szCs w:val="23"/>
        </w:rPr>
        <w:t>for the Immigration Act offence and two months consecutively for each of three pecuniary advantage offences making a total sentence of 18 months’ imprisonment.</w:t>
      </w:r>
    </w:p>
    <w:p w:rsidR="00840CED" w:rsidRPr="00C867F9" w:rsidRDefault="00840CED" w:rsidP="00F802E6">
      <w:pPr>
        <w:tabs>
          <w:tab w:val="left" w:pos="8285"/>
        </w:tabs>
        <w:spacing w:after="120"/>
        <w:jc w:val="both"/>
        <w:rPr>
          <w:rFonts w:ascii="Garamond" w:hAnsi="Garamond"/>
          <w:sz w:val="23"/>
          <w:szCs w:val="23"/>
        </w:rPr>
      </w:pPr>
      <w:r w:rsidRPr="00C867F9">
        <w:rPr>
          <w:rFonts w:ascii="Garamond" w:hAnsi="Garamond"/>
          <w:sz w:val="23"/>
          <w:szCs w:val="23"/>
        </w:rPr>
        <w:t>The Secretary of State for the Home Department has powers, under the Nationality, Immigration and Asylum Act 2002 (“</w:t>
      </w:r>
      <w:r w:rsidRPr="00C867F9">
        <w:rPr>
          <w:rFonts w:ascii="Garamond" w:hAnsi="Garamond"/>
          <w:b/>
          <w:bCs/>
          <w:sz w:val="23"/>
          <w:szCs w:val="23"/>
        </w:rPr>
        <w:t>the 2002 Act</w:t>
      </w:r>
      <w:r w:rsidRPr="00C867F9">
        <w:rPr>
          <w:rFonts w:ascii="Garamond" w:hAnsi="Garamond"/>
          <w:sz w:val="23"/>
          <w:szCs w:val="23"/>
        </w:rPr>
        <w:t>”) to order the deportation of persons convicted of serious offences. S</w:t>
      </w:r>
      <w:r w:rsidR="00275A71" w:rsidRPr="00C867F9">
        <w:rPr>
          <w:rFonts w:ascii="Garamond" w:hAnsi="Garamond"/>
          <w:sz w:val="23"/>
          <w:szCs w:val="23"/>
        </w:rPr>
        <w:t>ection</w:t>
      </w:r>
      <w:r w:rsidRPr="00C867F9">
        <w:rPr>
          <w:rFonts w:ascii="Garamond" w:hAnsi="Garamond"/>
          <w:sz w:val="23"/>
          <w:szCs w:val="23"/>
        </w:rPr>
        <w:t xml:space="preserve"> 72(4)(a) of the 2002 Act provides that a person shall be presumed to have been convicted of a particularly serious crime and to constitute a danger to the community of the United Kingdom if s/he is convicted of an offence specified by order of the Secretary of State. The Secretary of State specified several offences which were said to be particularly serious crimes by way of the Nationality, Immigration and Asylum Act 2002 (Specification of Particularly Serious Crimes) Order 2004 (“</w:t>
      </w:r>
      <w:r w:rsidR="00A855B3" w:rsidRPr="00C867F9">
        <w:rPr>
          <w:rFonts w:ascii="Garamond" w:hAnsi="Garamond"/>
          <w:b/>
          <w:bCs/>
          <w:sz w:val="23"/>
          <w:szCs w:val="23"/>
        </w:rPr>
        <w:t xml:space="preserve">the </w:t>
      </w:r>
      <w:r w:rsidRPr="00C867F9">
        <w:rPr>
          <w:rFonts w:ascii="Garamond" w:hAnsi="Garamond"/>
          <w:b/>
          <w:bCs/>
          <w:sz w:val="23"/>
          <w:szCs w:val="23"/>
        </w:rPr>
        <w:t>2004 Order</w:t>
      </w:r>
      <w:r w:rsidRPr="00C867F9">
        <w:rPr>
          <w:rFonts w:ascii="Garamond" w:hAnsi="Garamond"/>
          <w:sz w:val="23"/>
          <w:szCs w:val="23"/>
        </w:rPr>
        <w:t xml:space="preserve">”). Assisting unlawful immigration contrary to section 25 of the 1971 </w:t>
      </w:r>
      <w:r w:rsidR="005608AC" w:rsidRPr="00C867F9">
        <w:rPr>
          <w:rFonts w:ascii="Garamond" w:hAnsi="Garamond"/>
          <w:sz w:val="23"/>
          <w:szCs w:val="23"/>
        </w:rPr>
        <w:t xml:space="preserve">Act </w:t>
      </w:r>
      <w:r w:rsidRPr="00C867F9">
        <w:rPr>
          <w:rFonts w:ascii="Garamond" w:hAnsi="Garamond"/>
          <w:sz w:val="23"/>
          <w:szCs w:val="23"/>
        </w:rPr>
        <w:t>was included among them.</w:t>
      </w:r>
    </w:p>
    <w:p w:rsidR="003439D6" w:rsidRPr="00C867F9" w:rsidRDefault="00F802E6" w:rsidP="00F802E6">
      <w:pPr>
        <w:tabs>
          <w:tab w:val="left" w:pos="8285"/>
        </w:tabs>
        <w:spacing w:after="120"/>
        <w:jc w:val="both"/>
        <w:rPr>
          <w:rFonts w:ascii="Garamond" w:hAnsi="Garamond"/>
          <w:sz w:val="23"/>
          <w:szCs w:val="23"/>
        </w:rPr>
      </w:pPr>
      <w:r w:rsidRPr="00C867F9">
        <w:rPr>
          <w:rFonts w:ascii="Garamond" w:hAnsi="Garamond"/>
          <w:sz w:val="23"/>
          <w:szCs w:val="23"/>
        </w:rPr>
        <w:t>A</w:t>
      </w:r>
      <w:r w:rsidR="003439D6" w:rsidRPr="00C867F9">
        <w:rPr>
          <w:rFonts w:ascii="Garamond" w:hAnsi="Garamond"/>
          <w:sz w:val="23"/>
          <w:szCs w:val="23"/>
        </w:rPr>
        <w:t>t the conclusion of DN’s imprisonment</w:t>
      </w:r>
      <w:r w:rsidRPr="00C867F9">
        <w:rPr>
          <w:rFonts w:ascii="Garamond" w:hAnsi="Garamond"/>
          <w:sz w:val="23"/>
          <w:szCs w:val="23"/>
        </w:rPr>
        <w:t xml:space="preserve"> on 2 July 2007,</w:t>
      </w:r>
      <w:r w:rsidR="003439D6" w:rsidRPr="00C867F9">
        <w:rPr>
          <w:rFonts w:ascii="Garamond" w:hAnsi="Garamond"/>
          <w:sz w:val="23"/>
          <w:szCs w:val="23"/>
        </w:rPr>
        <w:t xml:space="preserve"> the Secretary of State</w:t>
      </w:r>
      <w:r w:rsidR="00840CED" w:rsidRPr="00C867F9">
        <w:rPr>
          <w:rFonts w:ascii="Garamond" w:hAnsi="Garamond"/>
          <w:sz w:val="23"/>
          <w:szCs w:val="23"/>
        </w:rPr>
        <w:t xml:space="preserve"> </w:t>
      </w:r>
      <w:r w:rsidR="003439D6" w:rsidRPr="00C867F9">
        <w:rPr>
          <w:rFonts w:ascii="Garamond" w:hAnsi="Garamond"/>
          <w:sz w:val="23"/>
          <w:szCs w:val="23"/>
        </w:rPr>
        <w:t>made a</w:t>
      </w:r>
      <w:r w:rsidR="00AB4936" w:rsidRPr="00C867F9">
        <w:rPr>
          <w:rFonts w:ascii="Garamond" w:hAnsi="Garamond"/>
          <w:sz w:val="23"/>
          <w:szCs w:val="23"/>
        </w:rPr>
        <w:t xml:space="preserve"> decision to deport </w:t>
      </w:r>
      <w:r w:rsidR="006A653A" w:rsidRPr="00C867F9">
        <w:rPr>
          <w:rFonts w:ascii="Garamond" w:hAnsi="Garamond"/>
          <w:sz w:val="23"/>
          <w:szCs w:val="23"/>
        </w:rPr>
        <w:t>DN</w:t>
      </w:r>
      <w:r w:rsidR="002F3EBB" w:rsidRPr="00C867F9">
        <w:rPr>
          <w:rFonts w:ascii="Garamond" w:hAnsi="Garamond"/>
          <w:sz w:val="23"/>
          <w:szCs w:val="23"/>
        </w:rPr>
        <w:t xml:space="preserve">, </w:t>
      </w:r>
      <w:r w:rsidR="00AB4936" w:rsidRPr="00C867F9">
        <w:rPr>
          <w:rFonts w:ascii="Garamond" w:hAnsi="Garamond"/>
          <w:sz w:val="23"/>
          <w:szCs w:val="23"/>
        </w:rPr>
        <w:t xml:space="preserve">based on s. 72(4)(a) of the 2002 </w:t>
      </w:r>
      <w:r w:rsidR="00A855B3" w:rsidRPr="00C867F9">
        <w:rPr>
          <w:rFonts w:ascii="Garamond" w:hAnsi="Garamond"/>
          <w:sz w:val="23"/>
          <w:szCs w:val="23"/>
        </w:rPr>
        <w:t>Act</w:t>
      </w:r>
      <w:r w:rsidR="00C642E8" w:rsidRPr="00C867F9">
        <w:rPr>
          <w:rFonts w:ascii="Garamond" w:hAnsi="Garamond"/>
          <w:sz w:val="23"/>
          <w:szCs w:val="23"/>
        </w:rPr>
        <w:t>:</w:t>
      </w:r>
      <w:r w:rsidR="006F5E89" w:rsidRPr="00C867F9">
        <w:rPr>
          <w:rFonts w:ascii="Garamond" w:hAnsi="Garamond"/>
          <w:sz w:val="23"/>
          <w:szCs w:val="23"/>
        </w:rPr>
        <w:t xml:space="preserve"> DN was presumed, on the basis of the 2004 Order, to have been convicted of a “particularly serious crime” and to “constitute a danger to the community”. </w:t>
      </w:r>
      <w:r w:rsidR="003439D6" w:rsidRPr="00C867F9">
        <w:rPr>
          <w:rFonts w:ascii="Garamond" w:hAnsi="Garamond"/>
          <w:sz w:val="23"/>
          <w:szCs w:val="23"/>
        </w:rPr>
        <w:t xml:space="preserve">On 31 January 2008, the Secretary of State, using </w:t>
      </w:r>
      <w:r w:rsidR="000245CA" w:rsidRPr="00C867F9">
        <w:rPr>
          <w:rFonts w:ascii="Garamond" w:hAnsi="Garamond"/>
          <w:sz w:val="23"/>
          <w:szCs w:val="23"/>
        </w:rPr>
        <w:t>his</w:t>
      </w:r>
      <w:r w:rsidR="003439D6" w:rsidRPr="00C867F9">
        <w:rPr>
          <w:rFonts w:ascii="Garamond" w:hAnsi="Garamond"/>
          <w:sz w:val="23"/>
          <w:szCs w:val="23"/>
        </w:rPr>
        <w:t xml:space="preserve"> powers of administrative detention conferred by </w:t>
      </w:r>
      <w:r w:rsidR="000245CA" w:rsidRPr="00C867F9">
        <w:rPr>
          <w:rFonts w:ascii="Garamond" w:hAnsi="Garamond"/>
          <w:sz w:val="23"/>
          <w:szCs w:val="23"/>
        </w:rPr>
        <w:t>S</w:t>
      </w:r>
      <w:r w:rsidR="003439D6" w:rsidRPr="00C867F9">
        <w:rPr>
          <w:rFonts w:ascii="Garamond" w:hAnsi="Garamond"/>
          <w:sz w:val="23"/>
          <w:szCs w:val="23"/>
        </w:rPr>
        <w:t>chedule 3, paragraph 2(3) of the 1971</w:t>
      </w:r>
      <w:r w:rsidR="00F81278" w:rsidRPr="00C867F9">
        <w:rPr>
          <w:rFonts w:ascii="Garamond" w:hAnsi="Garamond"/>
          <w:sz w:val="23"/>
          <w:szCs w:val="23"/>
        </w:rPr>
        <w:t xml:space="preserve"> Act</w:t>
      </w:r>
      <w:r w:rsidR="003439D6" w:rsidRPr="00C867F9">
        <w:rPr>
          <w:rFonts w:ascii="Garamond" w:hAnsi="Garamond"/>
          <w:sz w:val="23"/>
          <w:szCs w:val="23"/>
        </w:rPr>
        <w:t xml:space="preserve">, </w:t>
      </w:r>
      <w:r w:rsidR="00F81278" w:rsidRPr="00C867F9">
        <w:rPr>
          <w:rFonts w:ascii="Garamond" w:hAnsi="Garamond"/>
          <w:sz w:val="23"/>
          <w:szCs w:val="23"/>
        </w:rPr>
        <w:t>ordered</w:t>
      </w:r>
      <w:r w:rsidR="003439D6" w:rsidRPr="00C867F9">
        <w:rPr>
          <w:rFonts w:ascii="Garamond" w:hAnsi="Garamond"/>
          <w:sz w:val="23"/>
          <w:szCs w:val="23"/>
        </w:rPr>
        <w:t xml:space="preserve"> DN’s detention pending deportation.</w:t>
      </w:r>
    </w:p>
    <w:p w:rsidR="00A721F0" w:rsidRPr="00C867F9" w:rsidRDefault="003439D6" w:rsidP="007B3134">
      <w:pPr>
        <w:tabs>
          <w:tab w:val="left" w:pos="8285"/>
        </w:tabs>
        <w:spacing w:after="120"/>
        <w:jc w:val="both"/>
        <w:rPr>
          <w:rFonts w:ascii="Garamond" w:hAnsi="Garamond"/>
          <w:sz w:val="23"/>
          <w:szCs w:val="23"/>
        </w:rPr>
      </w:pPr>
      <w:r w:rsidRPr="00C867F9">
        <w:rPr>
          <w:rFonts w:ascii="Garamond" w:hAnsi="Garamond"/>
          <w:sz w:val="23"/>
          <w:szCs w:val="23"/>
        </w:rPr>
        <w:t>DN brought a claim for judicial review of the deportation order</w:t>
      </w:r>
      <w:r w:rsidR="004B1E19" w:rsidRPr="00C867F9">
        <w:rPr>
          <w:rFonts w:ascii="Garamond" w:hAnsi="Garamond"/>
          <w:sz w:val="23"/>
          <w:szCs w:val="23"/>
        </w:rPr>
        <w:t xml:space="preserve">. Following a stay and the decision in </w:t>
      </w:r>
      <w:r w:rsidRPr="00C867F9">
        <w:rPr>
          <w:rFonts w:ascii="Garamond" w:hAnsi="Garamond"/>
          <w:i/>
          <w:iCs/>
          <w:sz w:val="23"/>
          <w:szCs w:val="23"/>
        </w:rPr>
        <w:t>EN (Serbia) v Secretary of State for the Home Department</w:t>
      </w:r>
      <w:r w:rsidRPr="00C867F9">
        <w:rPr>
          <w:rFonts w:ascii="Garamond" w:hAnsi="Garamond"/>
          <w:sz w:val="23"/>
          <w:szCs w:val="23"/>
        </w:rPr>
        <w:t xml:space="preserve"> [2009] EWCA </w:t>
      </w:r>
      <w:proofErr w:type="spellStart"/>
      <w:r w:rsidRPr="00C867F9">
        <w:rPr>
          <w:rFonts w:ascii="Garamond" w:hAnsi="Garamond"/>
          <w:sz w:val="23"/>
          <w:szCs w:val="23"/>
        </w:rPr>
        <w:t>Civ</w:t>
      </w:r>
      <w:proofErr w:type="spellEnd"/>
      <w:r w:rsidRPr="00C867F9">
        <w:rPr>
          <w:rFonts w:ascii="Garamond" w:hAnsi="Garamond"/>
          <w:sz w:val="23"/>
          <w:szCs w:val="23"/>
        </w:rPr>
        <w:t xml:space="preserve"> 630, [2010] QB 633</w:t>
      </w:r>
      <w:r w:rsidR="004B1E19" w:rsidRPr="00C867F9">
        <w:rPr>
          <w:rFonts w:ascii="Garamond" w:hAnsi="Garamond"/>
          <w:sz w:val="23"/>
          <w:szCs w:val="23"/>
        </w:rPr>
        <w:t>, which determined that the 2004 Order was unlawful, DN</w:t>
      </w:r>
      <w:r w:rsidRPr="00C867F9">
        <w:rPr>
          <w:rFonts w:ascii="Garamond" w:hAnsi="Garamond"/>
          <w:sz w:val="23"/>
          <w:szCs w:val="23"/>
        </w:rPr>
        <w:t xml:space="preserve"> amended his judicial review proceedings to concentrate on the lawfulness of the detention. </w:t>
      </w:r>
      <w:r w:rsidR="004848B6" w:rsidRPr="00C867F9">
        <w:rPr>
          <w:rFonts w:ascii="Garamond" w:hAnsi="Garamond"/>
          <w:sz w:val="23"/>
          <w:szCs w:val="23"/>
        </w:rPr>
        <w:t xml:space="preserve">Following a further stay and the decision in </w:t>
      </w:r>
      <w:r w:rsidR="00B92886" w:rsidRPr="00C867F9">
        <w:rPr>
          <w:rFonts w:ascii="Garamond" w:hAnsi="Garamond"/>
          <w:i/>
          <w:sz w:val="23"/>
          <w:szCs w:val="23"/>
        </w:rPr>
        <w:t>R (</w:t>
      </w:r>
      <w:proofErr w:type="spellStart"/>
      <w:r w:rsidR="00B92886" w:rsidRPr="00C867F9">
        <w:rPr>
          <w:rFonts w:ascii="Garamond" w:hAnsi="Garamond"/>
          <w:i/>
          <w:sz w:val="23"/>
          <w:szCs w:val="23"/>
        </w:rPr>
        <w:t>Draga</w:t>
      </w:r>
      <w:proofErr w:type="spellEnd"/>
      <w:r w:rsidR="00B92886" w:rsidRPr="00C867F9">
        <w:rPr>
          <w:rFonts w:ascii="Garamond" w:hAnsi="Garamond"/>
          <w:i/>
          <w:sz w:val="23"/>
          <w:szCs w:val="23"/>
        </w:rPr>
        <w:t xml:space="preserve">) v Secretary of State for the Home Department </w:t>
      </w:r>
      <w:r w:rsidR="00B92886" w:rsidRPr="00C867F9">
        <w:rPr>
          <w:rFonts w:ascii="Garamond" w:hAnsi="Garamond"/>
          <w:sz w:val="23"/>
          <w:szCs w:val="23"/>
        </w:rPr>
        <w:t xml:space="preserve">[2012] EWCA </w:t>
      </w:r>
      <w:proofErr w:type="spellStart"/>
      <w:r w:rsidR="00B92886" w:rsidRPr="00C867F9">
        <w:rPr>
          <w:rFonts w:ascii="Garamond" w:hAnsi="Garamond"/>
          <w:sz w:val="23"/>
          <w:szCs w:val="23"/>
        </w:rPr>
        <w:t>Civ</w:t>
      </w:r>
      <w:proofErr w:type="spellEnd"/>
      <w:r w:rsidR="00B92886" w:rsidRPr="00C867F9">
        <w:rPr>
          <w:rFonts w:ascii="Garamond" w:hAnsi="Garamond"/>
          <w:sz w:val="23"/>
          <w:szCs w:val="23"/>
        </w:rPr>
        <w:t xml:space="preserve"> 842</w:t>
      </w:r>
      <w:r w:rsidR="004848B6" w:rsidRPr="00C867F9">
        <w:rPr>
          <w:rFonts w:ascii="Garamond" w:hAnsi="Garamond"/>
          <w:sz w:val="23"/>
          <w:szCs w:val="23"/>
        </w:rPr>
        <w:t>,</w:t>
      </w:r>
      <w:r w:rsidR="00E22716" w:rsidRPr="00C867F9">
        <w:rPr>
          <w:rFonts w:ascii="Garamond" w:hAnsi="Garamond"/>
          <w:sz w:val="23"/>
          <w:szCs w:val="23"/>
        </w:rPr>
        <w:t xml:space="preserve"> where the Court of Appeal ruled detention</w:t>
      </w:r>
      <w:r w:rsidR="0067193A" w:rsidRPr="00C867F9">
        <w:rPr>
          <w:rFonts w:ascii="Garamond" w:hAnsi="Garamond"/>
          <w:sz w:val="23"/>
          <w:szCs w:val="23"/>
        </w:rPr>
        <w:t xml:space="preserve"> lawful</w:t>
      </w:r>
      <w:r w:rsidR="00E22716" w:rsidRPr="00C867F9">
        <w:rPr>
          <w:rFonts w:ascii="Garamond" w:hAnsi="Garamond"/>
          <w:sz w:val="23"/>
          <w:szCs w:val="23"/>
        </w:rPr>
        <w:t xml:space="preserve"> </w:t>
      </w:r>
      <w:r w:rsidR="007B3134" w:rsidRPr="00C867F9">
        <w:rPr>
          <w:rFonts w:ascii="Garamond" w:hAnsi="Garamond"/>
          <w:sz w:val="23"/>
          <w:szCs w:val="23"/>
        </w:rPr>
        <w:t>even whe</w:t>
      </w:r>
      <w:r w:rsidR="0067193A" w:rsidRPr="00C867F9">
        <w:rPr>
          <w:rFonts w:ascii="Garamond" w:hAnsi="Garamond"/>
          <w:sz w:val="23"/>
          <w:szCs w:val="23"/>
        </w:rPr>
        <w:t xml:space="preserve">re </w:t>
      </w:r>
      <w:r w:rsidR="007B3134" w:rsidRPr="00C867F9">
        <w:rPr>
          <w:rFonts w:ascii="Garamond" w:hAnsi="Garamond"/>
          <w:sz w:val="23"/>
          <w:szCs w:val="23"/>
        </w:rPr>
        <w:t>based on an unlawful deportation order, t</w:t>
      </w:r>
      <w:r w:rsidR="00A721F0" w:rsidRPr="00C867F9">
        <w:rPr>
          <w:rFonts w:ascii="Garamond" w:hAnsi="Garamond"/>
          <w:sz w:val="23"/>
          <w:szCs w:val="23"/>
        </w:rPr>
        <w:t xml:space="preserve">he Court of Appeal dismissed </w:t>
      </w:r>
      <w:r w:rsidR="00922087" w:rsidRPr="00C867F9">
        <w:rPr>
          <w:rFonts w:ascii="Garamond" w:hAnsi="Garamond"/>
          <w:sz w:val="23"/>
          <w:szCs w:val="23"/>
        </w:rPr>
        <w:t>DN’s substantive</w:t>
      </w:r>
      <w:r w:rsidR="00A721F0" w:rsidRPr="00C867F9">
        <w:rPr>
          <w:rFonts w:ascii="Garamond" w:hAnsi="Garamond"/>
          <w:sz w:val="23"/>
          <w:szCs w:val="23"/>
        </w:rPr>
        <w:t xml:space="preserve"> appeal.</w:t>
      </w:r>
    </w:p>
    <w:p w:rsidR="00D8494A" w:rsidRPr="00BD6FFA" w:rsidRDefault="00D8494A" w:rsidP="00312A65">
      <w:pPr>
        <w:tabs>
          <w:tab w:val="left" w:pos="8285"/>
        </w:tabs>
        <w:jc w:val="both"/>
        <w:rPr>
          <w:rFonts w:ascii="Garamond" w:hAnsi="Garamond"/>
        </w:rPr>
      </w:pPr>
    </w:p>
    <w:p w:rsidR="00A16C02" w:rsidRPr="00BD6FFA" w:rsidRDefault="00A16C02" w:rsidP="00612A1B">
      <w:pPr>
        <w:jc w:val="both"/>
        <w:rPr>
          <w:rFonts w:ascii="Garamond" w:hAnsi="Garamond"/>
          <w:b/>
        </w:rPr>
      </w:pPr>
      <w:r w:rsidRPr="00BD6FFA">
        <w:rPr>
          <w:rFonts w:ascii="Garamond" w:hAnsi="Garamond"/>
          <w:b/>
        </w:rPr>
        <w:t>JUDGMENT</w:t>
      </w:r>
    </w:p>
    <w:p w:rsidR="00A16C02" w:rsidRPr="00BD6FFA" w:rsidRDefault="00A16C02" w:rsidP="00612A1B">
      <w:pPr>
        <w:jc w:val="both"/>
        <w:rPr>
          <w:rFonts w:ascii="Garamond" w:hAnsi="Garamond"/>
          <w:b/>
          <w:sz w:val="20"/>
          <w:szCs w:val="20"/>
        </w:rPr>
      </w:pPr>
    </w:p>
    <w:p w:rsidR="00C20FB8" w:rsidRPr="00C867F9" w:rsidRDefault="00325B85" w:rsidP="00C20FB8">
      <w:pPr>
        <w:jc w:val="both"/>
        <w:rPr>
          <w:rFonts w:ascii="Garamond" w:hAnsi="Garamond"/>
          <w:sz w:val="23"/>
          <w:szCs w:val="23"/>
        </w:rPr>
      </w:pPr>
      <w:r w:rsidRPr="00C867F9">
        <w:rPr>
          <w:rFonts w:ascii="Garamond" w:hAnsi="Garamond"/>
          <w:sz w:val="23"/>
          <w:szCs w:val="23"/>
        </w:rPr>
        <w:t xml:space="preserve">The Supreme Court unanimously allows </w:t>
      </w:r>
      <w:r w:rsidR="00E03828" w:rsidRPr="00C867F9">
        <w:rPr>
          <w:rFonts w:ascii="Garamond" w:hAnsi="Garamond"/>
          <w:sz w:val="23"/>
          <w:szCs w:val="23"/>
        </w:rPr>
        <w:t>the</w:t>
      </w:r>
      <w:r w:rsidRPr="00C867F9">
        <w:rPr>
          <w:rFonts w:ascii="Garamond" w:hAnsi="Garamond"/>
          <w:sz w:val="23"/>
          <w:szCs w:val="23"/>
        </w:rPr>
        <w:t xml:space="preserve"> appeal</w:t>
      </w:r>
      <w:r w:rsidR="000A388D" w:rsidRPr="00C867F9">
        <w:rPr>
          <w:rFonts w:ascii="Garamond" w:hAnsi="Garamond"/>
          <w:sz w:val="23"/>
          <w:szCs w:val="23"/>
        </w:rPr>
        <w:t>.</w:t>
      </w:r>
      <w:r w:rsidR="00DB0F3E" w:rsidRPr="00C867F9">
        <w:rPr>
          <w:rFonts w:ascii="Garamond" w:hAnsi="Garamond"/>
          <w:sz w:val="23"/>
          <w:szCs w:val="23"/>
        </w:rPr>
        <w:t xml:space="preserve"> </w:t>
      </w:r>
      <w:r w:rsidR="00B44837" w:rsidRPr="00C867F9">
        <w:rPr>
          <w:rFonts w:ascii="Garamond" w:hAnsi="Garamond"/>
          <w:sz w:val="23"/>
          <w:szCs w:val="23"/>
        </w:rPr>
        <w:t xml:space="preserve">It holds that </w:t>
      </w:r>
      <w:r w:rsidR="00FC6006" w:rsidRPr="00C867F9">
        <w:rPr>
          <w:rFonts w:ascii="Garamond" w:hAnsi="Garamond"/>
          <w:sz w:val="23"/>
          <w:szCs w:val="23"/>
        </w:rPr>
        <w:t>the appellant was unlawfully detained and is entitled to pursue a claim for damages for false imprisonment</w:t>
      </w:r>
      <w:r w:rsidR="00B44837" w:rsidRPr="00C867F9">
        <w:rPr>
          <w:rFonts w:ascii="Garamond" w:hAnsi="Garamond"/>
          <w:sz w:val="23"/>
          <w:szCs w:val="23"/>
        </w:rPr>
        <w:t xml:space="preserve">. </w:t>
      </w:r>
      <w:r w:rsidR="00DB0F3E" w:rsidRPr="00C867F9">
        <w:rPr>
          <w:rFonts w:ascii="Garamond" w:hAnsi="Garamond"/>
          <w:sz w:val="23"/>
          <w:szCs w:val="23"/>
        </w:rPr>
        <w:t>Lord Kerr</w:t>
      </w:r>
      <w:r w:rsidR="004B23ED" w:rsidRPr="00C867F9">
        <w:rPr>
          <w:rFonts w:ascii="Garamond" w:hAnsi="Garamond"/>
          <w:sz w:val="23"/>
          <w:szCs w:val="23"/>
        </w:rPr>
        <w:t>, with whom Lord Wilson, Lady Black and Lord Kitchin agree,</w:t>
      </w:r>
      <w:r w:rsidR="00DB0F3E" w:rsidRPr="00C867F9">
        <w:rPr>
          <w:rFonts w:ascii="Garamond" w:hAnsi="Garamond"/>
          <w:sz w:val="23"/>
          <w:szCs w:val="23"/>
        </w:rPr>
        <w:t xml:space="preserve"> gives the </w:t>
      </w:r>
      <w:r w:rsidR="004B23ED" w:rsidRPr="00C867F9">
        <w:rPr>
          <w:rFonts w:ascii="Garamond" w:hAnsi="Garamond"/>
          <w:sz w:val="23"/>
          <w:szCs w:val="23"/>
        </w:rPr>
        <w:t xml:space="preserve">lead </w:t>
      </w:r>
      <w:r w:rsidR="00B44837" w:rsidRPr="00C867F9">
        <w:rPr>
          <w:rFonts w:ascii="Garamond" w:hAnsi="Garamond"/>
          <w:sz w:val="23"/>
          <w:szCs w:val="23"/>
        </w:rPr>
        <w:t>judgment. Lord Carnwath gives a concurring judgment.</w:t>
      </w:r>
      <w:r w:rsidR="000A388D" w:rsidRPr="00C867F9">
        <w:rPr>
          <w:rFonts w:ascii="Garamond" w:hAnsi="Garamond"/>
          <w:sz w:val="23"/>
          <w:szCs w:val="23"/>
        </w:rPr>
        <w:t xml:space="preserve"> </w:t>
      </w:r>
    </w:p>
    <w:p w:rsidR="00D8494A" w:rsidRDefault="00D8494A" w:rsidP="00C20FB8">
      <w:pPr>
        <w:jc w:val="both"/>
        <w:rPr>
          <w:rFonts w:ascii="Garamond" w:hAnsi="Garamond"/>
        </w:rPr>
      </w:pPr>
    </w:p>
    <w:p w:rsidR="00C867F9" w:rsidRPr="00BD6FFA" w:rsidRDefault="00C867F9" w:rsidP="00C20FB8">
      <w:pPr>
        <w:jc w:val="both"/>
        <w:rPr>
          <w:rFonts w:ascii="Garamond" w:hAnsi="Garamond"/>
        </w:rPr>
      </w:pPr>
    </w:p>
    <w:p w:rsidR="00DB7C3C" w:rsidRPr="00BD6FFA" w:rsidRDefault="00A16C02" w:rsidP="007A4EAA">
      <w:pPr>
        <w:spacing w:after="120"/>
        <w:jc w:val="both"/>
        <w:rPr>
          <w:rFonts w:ascii="Garamond" w:hAnsi="Garamond"/>
        </w:rPr>
      </w:pPr>
      <w:r w:rsidRPr="00BD6FFA">
        <w:rPr>
          <w:rFonts w:ascii="Garamond" w:hAnsi="Garamond"/>
          <w:b/>
        </w:rPr>
        <w:t>REASONS FOR THE JUDGMENT</w:t>
      </w:r>
    </w:p>
    <w:p w:rsidR="004B23ED" w:rsidRPr="00C867F9" w:rsidRDefault="004B23ED" w:rsidP="004B23ED">
      <w:pPr>
        <w:tabs>
          <w:tab w:val="left" w:pos="8285"/>
        </w:tabs>
        <w:spacing w:after="120"/>
        <w:jc w:val="both"/>
        <w:rPr>
          <w:rFonts w:ascii="Garamond" w:hAnsi="Garamond"/>
          <w:sz w:val="23"/>
          <w:szCs w:val="23"/>
          <w:u w:val="single"/>
        </w:rPr>
      </w:pPr>
      <w:r w:rsidRPr="00C867F9">
        <w:rPr>
          <w:rFonts w:ascii="Garamond" w:hAnsi="Garamond"/>
          <w:sz w:val="23"/>
          <w:szCs w:val="23"/>
          <w:u w:val="single"/>
        </w:rPr>
        <w:t>Lord Kerr</w:t>
      </w:r>
      <w:r w:rsidR="007A4EAA" w:rsidRPr="00C867F9">
        <w:rPr>
          <w:rFonts w:ascii="Garamond" w:hAnsi="Garamond"/>
          <w:sz w:val="23"/>
          <w:szCs w:val="23"/>
          <w:u w:val="single"/>
        </w:rPr>
        <w:t>, with whom Lord Wilson, Lady Black and Lord Kitchin agree</w:t>
      </w:r>
    </w:p>
    <w:p w:rsidR="004B23ED" w:rsidRPr="00C867F9" w:rsidRDefault="00A22212" w:rsidP="004B23ED">
      <w:pPr>
        <w:tabs>
          <w:tab w:val="left" w:pos="8285"/>
        </w:tabs>
        <w:spacing w:after="120"/>
        <w:jc w:val="both"/>
        <w:rPr>
          <w:rFonts w:ascii="Garamond" w:hAnsi="Garamond"/>
          <w:sz w:val="23"/>
          <w:szCs w:val="23"/>
        </w:rPr>
      </w:pPr>
      <w:r w:rsidRPr="00C867F9">
        <w:rPr>
          <w:rFonts w:ascii="Garamond" w:hAnsi="Garamond"/>
          <w:sz w:val="23"/>
          <w:szCs w:val="23"/>
        </w:rPr>
        <w:t xml:space="preserve">First, </w:t>
      </w:r>
      <w:r w:rsidR="00F94A21" w:rsidRPr="00C867F9">
        <w:rPr>
          <w:rFonts w:ascii="Garamond" w:hAnsi="Garamond"/>
          <w:sz w:val="23"/>
          <w:szCs w:val="23"/>
        </w:rPr>
        <w:t>the Court</w:t>
      </w:r>
      <w:r w:rsidRPr="00C867F9">
        <w:rPr>
          <w:rFonts w:ascii="Garamond" w:hAnsi="Garamond"/>
          <w:sz w:val="23"/>
          <w:szCs w:val="23"/>
        </w:rPr>
        <w:t xml:space="preserve"> </w:t>
      </w:r>
      <w:r w:rsidR="008A25CF" w:rsidRPr="00C867F9">
        <w:rPr>
          <w:rFonts w:ascii="Garamond" w:hAnsi="Garamond"/>
          <w:sz w:val="23"/>
          <w:szCs w:val="23"/>
        </w:rPr>
        <w:t xml:space="preserve">notes that Lord Dyson in </w:t>
      </w:r>
      <w:r w:rsidR="00F6056A" w:rsidRPr="00C867F9">
        <w:rPr>
          <w:rFonts w:ascii="Garamond" w:hAnsi="Garamond"/>
          <w:i/>
          <w:iCs/>
          <w:sz w:val="23"/>
          <w:szCs w:val="23"/>
        </w:rPr>
        <w:t>R</w:t>
      </w:r>
      <w:r w:rsidR="006B3207">
        <w:rPr>
          <w:rFonts w:ascii="Garamond" w:hAnsi="Garamond"/>
          <w:i/>
          <w:iCs/>
          <w:sz w:val="23"/>
          <w:szCs w:val="23"/>
        </w:rPr>
        <w:t xml:space="preserve"> </w:t>
      </w:r>
      <w:r w:rsidR="00F6056A" w:rsidRPr="00C867F9">
        <w:rPr>
          <w:rFonts w:ascii="Garamond" w:hAnsi="Garamond"/>
          <w:i/>
          <w:iCs/>
          <w:sz w:val="23"/>
          <w:szCs w:val="23"/>
        </w:rPr>
        <w:t>(</w:t>
      </w:r>
      <w:proofErr w:type="spellStart"/>
      <w:r w:rsidR="008A25CF" w:rsidRPr="00C867F9">
        <w:rPr>
          <w:rFonts w:ascii="Garamond" w:hAnsi="Garamond"/>
          <w:i/>
          <w:iCs/>
          <w:sz w:val="23"/>
          <w:szCs w:val="23"/>
        </w:rPr>
        <w:t>Lumba</w:t>
      </w:r>
      <w:proofErr w:type="spellEnd"/>
      <w:r w:rsidR="00F6056A" w:rsidRPr="00C867F9">
        <w:rPr>
          <w:rFonts w:ascii="Garamond" w:hAnsi="Garamond"/>
          <w:i/>
          <w:iCs/>
          <w:sz w:val="23"/>
          <w:szCs w:val="23"/>
        </w:rPr>
        <w:t>)</w:t>
      </w:r>
      <w:r w:rsidR="00F6056A" w:rsidRPr="00C867F9">
        <w:rPr>
          <w:rFonts w:ascii="Garamond" w:hAnsi="Garamond"/>
          <w:sz w:val="23"/>
          <w:szCs w:val="23"/>
        </w:rPr>
        <w:t xml:space="preserve"> </w:t>
      </w:r>
      <w:r w:rsidR="00F6056A" w:rsidRPr="00C867F9">
        <w:rPr>
          <w:rFonts w:ascii="Garamond" w:hAnsi="Garamond"/>
          <w:i/>
          <w:iCs/>
          <w:sz w:val="23"/>
          <w:szCs w:val="23"/>
        </w:rPr>
        <w:t>v</w:t>
      </w:r>
      <w:r w:rsidR="00F6056A" w:rsidRPr="00C867F9">
        <w:rPr>
          <w:rFonts w:ascii="Garamond" w:hAnsi="Garamond"/>
          <w:sz w:val="23"/>
          <w:szCs w:val="23"/>
        </w:rPr>
        <w:t xml:space="preserve"> </w:t>
      </w:r>
      <w:r w:rsidR="00F6056A" w:rsidRPr="00C867F9">
        <w:rPr>
          <w:rFonts w:ascii="Garamond" w:hAnsi="Garamond"/>
          <w:i/>
          <w:iCs/>
          <w:sz w:val="23"/>
          <w:szCs w:val="23"/>
        </w:rPr>
        <w:t xml:space="preserve">Secretary of State for the Home Department </w:t>
      </w:r>
      <w:r w:rsidR="00F6056A" w:rsidRPr="00C867F9">
        <w:rPr>
          <w:rFonts w:ascii="Garamond" w:hAnsi="Garamond"/>
          <w:sz w:val="23"/>
          <w:szCs w:val="23"/>
        </w:rPr>
        <w:t xml:space="preserve">[2011] UKSC 12 </w:t>
      </w:r>
      <w:r w:rsidR="00C57DF7" w:rsidRPr="00C867F9">
        <w:rPr>
          <w:rFonts w:ascii="Garamond" w:hAnsi="Garamond"/>
          <w:sz w:val="23"/>
          <w:szCs w:val="23"/>
        </w:rPr>
        <w:t xml:space="preserve">made it clear that there is no difference between a detention that is unlawful because there was no statutory power to detain and a detention </w:t>
      </w:r>
      <w:r w:rsidR="00626FCD" w:rsidRPr="00C867F9">
        <w:rPr>
          <w:rFonts w:ascii="Garamond" w:hAnsi="Garamond"/>
          <w:sz w:val="23"/>
          <w:szCs w:val="23"/>
        </w:rPr>
        <w:t>that</w:t>
      </w:r>
      <w:r w:rsidR="00C57DF7" w:rsidRPr="00C867F9">
        <w:rPr>
          <w:rFonts w:ascii="Garamond" w:hAnsi="Garamond"/>
          <w:sz w:val="23"/>
          <w:szCs w:val="23"/>
        </w:rPr>
        <w:t xml:space="preserve"> is unlawful because the decision to detain was made in breach of a rule of public law. Here, as in </w:t>
      </w:r>
      <w:proofErr w:type="spellStart"/>
      <w:r w:rsidR="00C57DF7" w:rsidRPr="00C867F9">
        <w:rPr>
          <w:rFonts w:ascii="Garamond" w:hAnsi="Garamond"/>
          <w:i/>
          <w:iCs/>
          <w:sz w:val="23"/>
          <w:szCs w:val="23"/>
        </w:rPr>
        <w:t>Lumba</w:t>
      </w:r>
      <w:proofErr w:type="spellEnd"/>
      <w:r w:rsidR="00C57DF7" w:rsidRPr="00C867F9">
        <w:rPr>
          <w:rFonts w:ascii="Garamond" w:hAnsi="Garamond"/>
          <w:sz w:val="23"/>
          <w:szCs w:val="23"/>
        </w:rPr>
        <w:t>, there was no statutory power to detain</w:t>
      </w:r>
      <w:r w:rsidR="00810E04" w:rsidRPr="00C867F9">
        <w:rPr>
          <w:rFonts w:ascii="Garamond" w:hAnsi="Garamond"/>
          <w:sz w:val="23"/>
          <w:szCs w:val="23"/>
        </w:rPr>
        <w:t>. T</w:t>
      </w:r>
      <w:r w:rsidR="00FA07D5" w:rsidRPr="00C867F9">
        <w:rPr>
          <w:rFonts w:ascii="Garamond" w:hAnsi="Garamond"/>
          <w:sz w:val="23"/>
          <w:szCs w:val="23"/>
        </w:rPr>
        <w:t xml:space="preserve">he 2004 Order </w:t>
      </w:r>
      <w:r w:rsidR="00F94A21" w:rsidRPr="00C867F9">
        <w:rPr>
          <w:rFonts w:ascii="Garamond" w:hAnsi="Garamond"/>
          <w:sz w:val="23"/>
          <w:szCs w:val="23"/>
        </w:rPr>
        <w:t xml:space="preserve">upon which the decision to deport was based was ruled unlawful in </w:t>
      </w:r>
      <w:r w:rsidR="00F94A21" w:rsidRPr="00C867F9">
        <w:rPr>
          <w:rFonts w:ascii="Garamond" w:hAnsi="Garamond"/>
          <w:i/>
          <w:iCs/>
          <w:sz w:val="23"/>
          <w:szCs w:val="23"/>
        </w:rPr>
        <w:t>EN (Serbia)</w:t>
      </w:r>
      <w:r w:rsidR="00810E04" w:rsidRPr="00C867F9">
        <w:rPr>
          <w:rFonts w:ascii="Garamond" w:hAnsi="Garamond"/>
          <w:sz w:val="23"/>
          <w:szCs w:val="23"/>
        </w:rPr>
        <w:t>. As detention was for the express purpose of facilitating deportation, without a lawful deportation order the occasion for detention simply does not arise</w:t>
      </w:r>
      <w:r w:rsidR="00F50E8D" w:rsidRPr="00C867F9">
        <w:rPr>
          <w:rFonts w:ascii="Garamond" w:hAnsi="Garamond"/>
          <w:sz w:val="23"/>
          <w:szCs w:val="23"/>
        </w:rPr>
        <w:t xml:space="preserve"> </w:t>
      </w:r>
      <w:r w:rsidR="00F50E8D" w:rsidRPr="00C867F9">
        <w:rPr>
          <w:rFonts w:ascii="Garamond" w:hAnsi="Garamond"/>
          <w:b/>
          <w:bCs/>
          <w:sz w:val="23"/>
          <w:szCs w:val="23"/>
        </w:rPr>
        <w:t>[17]</w:t>
      </w:r>
      <w:r w:rsidR="00F50E8D" w:rsidRPr="00C867F9">
        <w:rPr>
          <w:rFonts w:ascii="Garamond" w:hAnsi="Garamond"/>
          <w:sz w:val="23"/>
          <w:szCs w:val="23"/>
        </w:rPr>
        <w:t>.</w:t>
      </w:r>
    </w:p>
    <w:p w:rsidR="00F94A21" w:rsidRPr="00C867F9" w:rsidRDefault="00F94A21" w:rsidP="004B23ED">
      <w:pPr>
        <w:tabs>
          <w:tab w:val="left" w:pos="8285"/>
        </w:tabs>
        <w:spacing w:after="120"/>
        <w:jc w:val="both"/>
        <w:rPr>
          <w:rFonts w:ascii="Garamond" w:hAnsi="Garamond"/>
          <w:sz w:val="23"/>
          <w:szCs w:val="23"/>
        </w:rPr>
      </w:pPr>
      <w:r w:rsidRPr="00C867F9">
        <w:rPr>
          <w:rFonts w:ascii="Garamond" w:hAnsi="Garamond"/>
          <w:sz w:val="23"/>
          <w:szCs w:val="23"/>
        </w:rPr>
        <w:t xml:space="preserve">Second, </w:t>
      </w:r>
      <w:r w:rsidR="00C019D7" w:rsidRPr="00C867F9">
        <w:rPr>
          <w:rFonts w:ascii="Garamond" w:hAnsi="Garamond"/>
          <w:sz w:val="23"/>
          <w:szCs w:val="23"/>
        </w:rPr>
        <w:t>detention is entirely dependent on the decision to deport.</w:t>
      </w:r>
      <w:r w:rsidR="000B0E3C" w:rsidRPr="00C867F9">
        <w:rPr>
          <w:rFonts w:ascii="Garamond" w:hAnsi="Garamond"/>
          <w:sz w:val="23"/>
          <w:szCs w:val="23"/>
        </w:rPr>
        <w:t xml:space="preserve"> </w:t>
      </w:r>
      <w:r w:rsidR="00757ED3" w:rsidRPr="00C867F9">
        <w:rPr>
          <w:rFonts w:ascii="Garamond" w:hAnsi="Garamond"/>
          <w:sz w:val="23"/>
          <w:szCs w:val="23"/>
        </w:rPr>
        <w:t>DN’s</w:t>
      </w:r>
      <w:r w:rsidR="000B0E3C" w:rsidRPr="00C867F9">
        <w:rPr>
          <w:rFonts w:ascii="Garamond" w:hAnsi="Garamond"/>
          <w:sz w:val="23"/>
          <w:szCs w:val="23"/>
        </w:rPr>
        <w:t xml:space="preserve"> detention was uniquely linked to the deportation order.</w:t>
      </w:r>
      <w:r w:rsidR="00C019D7" w:rsidRPr="00C867F9">
        <w:rPr>
          <w:rFonts w:ascii="Garamond" w:hAnsi="Garamond"/>
          <w:sz w:val="23"/>
          <w:szCs w:val="23"/>
        </w:rPr>
        <w:t xml:space="preserve"> </w:t>
      </w:r>
      <w:r w:rsidR="00F12223" w:rsidRPr="00C867F9">
        <w:rPr>
          <w:rFonts w:ascii="Garamond" w:hAnsi="Garamond"/>
          <w:sz w:val="23"/>
          <w:szCs w:val="23"/>
        </w:rPr>
        <w:t>Without a lawful decision to deport, the question of detention cannot arise, much less be legal</w:t>
      </w:r>
      <w:r w:rsidR="001B3568" w:rsidRPr="00C867F9">
        <w:rPr>
          <w:rFonts w:ascii="Garamond" w:hAnsi="Garamond"/>
          <w:sz w:val="23"/>
          <w:szCs w:val="23"/>
        </w:rPr>
        <w:t xml:space="preserve"> </w:t>
      </w:r>
      <w:r w:rsidR="001B3568" w:rsidRPr="00C867F9">
        <w:rPr>
          <w:rFonts w:ascii="Garamond" w:hAnsi="Garamond"/>
          <w:b/>
          <w:bCs/>
          <w:sz w:val="23"/>
          <w:szCs w:val="23"/>
        </w:rPr>
        <w:t>[18</w:t>
      </w:r>
      <w:r w:rsidR="000B0E3C" w:rsidRPr="00C867F9">
        <w:rPr>
          <w:rFonts w:ascii="Garamond" w:hAnsi="Garamond"/>
          <w:b/>
          <w:bCs/>
          <w:sz w:val="23"/>
          <w:szCs w:val="23"/>
        </w:rPr>
        <w:t>, 20</w:t>
      </w:r>
      <w:r w:rsidR="001B3568" w:rsidRPr="00C867F9">
        <w:rPr>
          <w:rFonts w:ascii="Garamond" w:hAnsi="Garamond"/>
          <w:b/>
          <w:bCs/>
          <w:sz w:val="23"/>
          <w:szCs w:val="23"/>
        </w:rPr>
        <w:t>]</w:t>
      </w:r>
      <w:r w:rsidR="00F12223" w:rsidRPr="00C867F9">
        <w:rPr>
          <w:rFonts w:ascii="Garamond" w:hAnsi="Garamond"/>
          <w:sz w:val="23"/>
          <w:szCs w:val="23"/>
        </w:rPr>
        <w:t>.</w:t>
      </w:r>
      <w:r w:rsidR="001B3568" w:rsidRPr="00C867F9">
        <w:rPr>
          <w:rFonts w:ascii="Garamond" w:hAnsi="Garamond"/>
          <w:sz w:val="23"/>
          <w:szCs w:val="23"/>
        </w:rPr>
        <w:t xml:space="preserve"> The lawfulness of detention is always referable back to the </w:t>
      </w:r>
      <w:r w:rsidR="001B1632" w:rsidRPr="00C867F9">
        <w:rPr>
          <w:rFonts w:ascii="Garamond" w:hAnsi="Garamond"/>
          <w:sz w:val="23"/>
          <w:szCs w:val="23"/>
        </w:rPr>
        <w:t>legality of the decision to deport, and this is not an instance of a series of successive steps, each having an independen</w:t>
      </w:r>
      <w:r w:rsidR="002D3534" w:rsidRPr="00C867F9">
        <w:rPr>
          <w:rFonts w:ascii="Garamond" w:hAnsi="Garamond"/>
          <w:sz w:val="23"/>
          <w:szCs w:val="23"/>
        </w:rPr>
        <w:t>t</w:t>
      </w:r>
      <w:r w:rsidR="001B1632" w:rsidRPr="00C867F9">
        <w:rPr>
          <w:rFonts w:ascii="Garamond" w:hAnsi="Garamond"/>
          <w:sz w:val="23"/>
          <w:szCs w:val="23"/>
        </w:rPr>
        <w:t xml:space="preserve"> existence.</w:t>
      </w:r>
      <w:r w:rsidR="007A4EAA" w:rsidRPr="00C867F9">
        <w:rPr>
          <w:rFonts w:ascii="Garamond" w:hAnsi="Garamond"/>
          <w:sz w:val="23"/>
          <w:szCs w:val="23"/>
        </w:rPr>
        <w:t xml:space="preserve"> </w:t>
      </w:r>
      <w:r w:rsidR="001B1632" w:rsidRPr="00C867F9">
        <w:rPr>
          <w:rFonts w:ascii="Garamond" w:hAnsi="Garamond"/>
          <w:sz w:val="23"/>
          <w:szCs w:val="23"/>
        </w:rPr>
        <w:t>For this reason, the Court does not accept the argument that the independent judicial decision made in statutory appeals (per section 82 of the 2002 Act) is a step “removing the legal error” in question</w:t>
      </w:r>
      <w:r w:rsidR="007A4EAA" w:rsidRPr="00C867F9">
        <w:rPr>
          <w:rFonts w:ascii="Garamond" w:hAnsi="Garamond"/>
          <w:sz w:val="23"/>
          <w:szCs w:val="23"/>
        </w:rPr>
        <w:t>. The rubric, “chain of causation” is inapposite in this context</w:t>
      </w:r>
      <w:r w:rsidR="00757ED3" w:rsidRPr="00C867F9">
        <w:rPr>
          <w:rFonts w:ascii="Garamond" w:hAnsi="Garamond"/>
          <w:sz w:val="23"/>
          <w:szCs w:val="23"/>
        </w:rPr>
        <w:t xml:space="preserve"> </w:t>
      </w:r>
      <w:r w:rsidR="001B1632" w:rsidRPr="00C867F9">
        <w:rPr>
          <w:rFonts w:ascii="Garamond" w:hAnsi="Garamond"/>
          <w:b/>
          <w:bCs/>
          <w:sz w:val="23"/>
          <w:szCs w:val="23"/>
        </w:rPr>
        <w:t>[1</w:t>
      </w:r>
      <w:r w:rsidR="00201030" w:rsidRPr="00C867F9">
        <w:rPr>
          <w:rFonts w:ascii="Garamond" w:hAnsi="Garamond"/>
          <w:b/>
          <w:bCs/>
          <w:sz w:val="23"/>
          <w:szCs w:val="23"/>
        </w:rPr>
        <w:t>9</w:t>
      </w:r>
      <w:r w:rsidR="001B1632" w:rsidRPr="00C867F9">
        <w:rPr>
          <w:rFonts w:ascii="Garamond" w:hAnsi="Garamond"/>
          <w:b/>
          <w:bCs/>
          <w:sz w:val="23"/>
          <w:szCs w:val="23"/>
        </w:rPr>
        <w:t>]</w:t>
      </w:r>
      <w:r w:rsidR="00201030" w:rsidRPr="00C867F9">
        <w:rPr>
          <w:rFonts w:ascii="Garamond" w:hAnsi="Garamond"/>
          <w:sz w:val="23"/>
          <w:szCs w:val="23"/>
        </w:rPr>
        <w:t>.</w:t>
      </w:r>
    </w:p>
    <w:p w:rsidR="007566DC" w:rsidRPr="00C867F9" w:rsidRDefault="00EB3078" w:rsidP="004B23ED">
      <w:pPr>
        <w:tabs>
          <w:tab w:val="left" w:pos="8285"/>
        </w:tabs>
        <w:spacing w:after="120"/>
        <w:jc w:val="both"/>
        <w:rPr>
          <w:rFonts w:ascii="Garamond" w:hAnsi="Garamond"/>
          <w:sz w:val="23"/>
          <w:szCs w:val="23"/>
        </w:rPr>
      </w:pPr>
      <w:r w:rsidRPr="00C867F9">
        <w:rPr>
          <w:rFonts w:ascii="Garamond" w:hAnsi="Garamond"/>
          <w:sz w:val="23"/>
          <w:szCs w:val="23"/>
        </w:rPr>
        <w:t xml:space="preserve">The Court considers that </w:t>
      </w:r>
      <w:proofErr w:type="spellStart"/>
      <w:r w:rsidRPr="00C867F9">
        <w:rPr>
          <w:rFonts w:ascii="Garamond" w:hAnsi="Garamond"/>
          <w:i/>
          <w:iCs/>
          <w:sz w:val="23"/>
          <w:szCs w:val="23"/>
        </w:rPr>
        <w:t>Draga</w:t>
      </w:r>
      <w:proofErr w:type="spellEnd"/>
      <w:r w:rsidRPr="00C867F9">
        <w:rPr>
          <w:rFonts w:ascii="Garamond" w:hAnsi="Garamond"/>
          <w:sz w:val="23"/>
          <w:szCs w:val="23"/>
        </w:rPr>
        <w:t xml:space="preserve"> was wrongly decided, for the reasons given by Lord Carnwath. Further</w:t>
      </w:r>
      <w:r w:rsidR="00B724DA" w:rsidRPr="00C867F9">
        <w:rPr>
          <w:rFonts w:ascii="Garamond" w:hAnsi="Garamond"/>
          <w:sz w:val="23"/>
          <w:szCs w:val="23"/>
        </w:rPr>
        <w:t>,</w:t>
      </w:r>
      <w:r w:rsidRPr="00C867F9">
        <w:rPr>
          <w:rFonts w:ascii="Garamond" w:hAnsi="Garamond"/>
          <w:sz w:val="23"/>
          <w:szCs w:val="23"/>
        </w:rPr>
        <w:t xml:space="preserve"> the Court considers that, </w:t>
      </w:r>
      <w:r w:rsidR="007566DC" w:rsidRPr="00C867F9">
        <w:rPr>
          <w:rFonts w:ascii="Garamond" w:hAnsi="Garamond"/>
          <w:sz w:val="23"/>
          <w:szCs w:val="23"/>
        </w:rPr>
        <w:t xml:space="preserve">if and </w:t>
      </w:r>
      <w:r w:rsidRPr="00C867F9">
        <w:rPr>
          <w:rFonts w:ascii="Garamond" w:hAnsi="Garamond"/>
          <w:sz w:val="23"/>
          <w:szCs w:val="23"/>
        </w:rPr>
        <w:t xml:space="preserve">insomuch as </w:t>
      </w:r>
      <w:r w:rsidRPr="00C867F9">
        <w:rPr>
          <w:rFonts w:ascii="Garamond" w:hAnsi="Garamond"/>
          <w:i/>
          <w:iCs/>
          <w:sz w:val="23"/>
          <w:szCs w:val="23"/>
        </w:rPr>
        <w:t>Ullah</w:t>
      </w:r>
      <w:r w:rsidRPr="00C867F9">
        <w:rPr>
          <w:rFonts w:ascii="Garamond" w:hAnsi="Garamond"/>
          <w:sz w:val="23"/>
          <w:szCs w:val="23"/>
        </w:rPr>
        <w:t xml:space="preserve"> </w:t>
      </w:r>
      <w:r w:rsidR="007566DC" w:rsidRPr="00C867F9">
        <w:rPr>
          <w:rFonts w:ascii="Garamond" w:hAnsi="Garamond"/>
          <w:sz w:val="23"/>
          <w:szCs w:val="23"/>
        </w:rPr>
        <w:t xml:space="preserve">suggests that paragraph 2(2) of </w:t>
      </w:r>
      <w:r w:rsidR="00FC6006" w:rsidRPr="00C867F9">
        <w:rPr>
          <w:rFonts w:ascii="Garamond" w:hAnsi="Garamond"/>
          <w:sz w:val="23"/>
          <w:szCs w:val="23"/>
        </w:rPr>
        <w:t>Schedule</w:t>
      </w:r>
      <w:r w:rsidR="007566DC" w:rsidRPr="00C867F9">
        <w:rPr>
          <w:rFonts w:ascii="Garamond" w:hAnsi="Garamond"/>
          <w:sz w:val="23"/>
          <w:szCs w:val="23"/>
        </w:rPr>
        <w:t xml:space="preserve"> 3 of the 1971 Act provides stand-alone authority for lawful detention, no matter what has gone before and irrespective of the fact that the decision to deport lacks legal basis, </w:t>
      </w:r>
      <w:r w:rsidR="00FC6006" w:rsidRPr="00C867F9">
        <w:rPr>
          <w:rFonts w:ascii="Garamond" w:hAnsi="Garamond"/>
          <w:sz w:val="23"/>
          <w:szCs w:val="23"/>
        </w:rPr>
        <w:t>that decision too was wrong.</w:t>
      </w:r>
    </w:p>
    <w:p w:rsidR="00887F61" w:rsidRPr="00C867F9" w:rsidRDefault="00887F61" w:rsidP="004B23ED">
      <w:pPr>
        <w:tabs>
          <w:tab w:val="left" w:pos="8285"/>
        </w:tabs>
        <w:spacing w:after="120"/>
        <w:jc w:val="both"/>
        <w:rPr>
          <w:rFonts w:ascii="Garamond" w:hAnsi="Garamond"/>
          <w:sz w:val="23"/>
          <w:szCs w:val="23"/>
        </w:rPr>
      </w:pPr>
      <w:r w:rsidRPr="00C867F9">
        <w:rPr>
          <w:rFonts w:ascii="Garamond" w:hAnsi="Garamond"/>
          <w:sz w:val="23"/>
          <w:szCs w:val="23"/>
          <w:u w:val="single"/>
        </w:rPr>
        <w:t>Lord Carnwath</w:t>
      </w:r>
    </w:p>
    <w:p w:rsidR="00887F61" w:rsidRPr="00C867F9" w:rsidRDefault="009003F9" w:rsidP="004B23ED">
      <w:pPr>
        <w:tabs>
          <w:tab w:val="left" w:pos="8285"/>
        </w:tabs>
        <w:spacing w:after="120"/>
        <w:jc w:val="both"/>
        <w:rPr>
          <w:rFonts w:ascii="Garamond" w:hAnsi="Garamond"/>
          <w:sz w:val="23"/>
          <w:szCs w:val="23"/>
        </w:rPr>
      </w:pPr>
      <w:r w:rsidRPr="00C867F9">
        <w:rPr>
          <w:rFonts w:ascii="Garamond" w:hAnsi="Garamond"/>
          <w:sz w:val="23"/>
          <w:szCs w:val="23"/>
        </w:rPr>
        <w:t>Lord Carnwath agrees with Lord Kerr’s judgment</w:t>
      </w:r>
      <w:r w:rsidR="006C5298" w:rsidRPr="00C867F9">
        <w:rPr>
          <w:rFonts w:ascii="Garamond" w:hAnsi="Garamond"/>
          <w:sz w:val="23"/>
          <w:szCs w:val="23"/>
        </w:rPr>
        <w:t xml:space="preserve">, but adds his thoughts, particularly on the issue of </w:t>
      </w:r>
      <w:r w:rsidR="006C5298" w:rsidRPr="00C867F9">
        <w:rPr>
          <w:rFonts w:ascii="Garamond" w:hAnsi="Garamond"/>
          <w:i/>
          <w:iCs/>
          <w:sz w:val="23"/>
          <w:szCs w:val="23"/>
        </w:rPr>
        <w:t>res judicata</w:t>
      </w:r>
      <w:r w:rsidR="006C5298" w:rsidRPr="00C867F9">
        <w:rPr>
          <w:rFonts w:ascii="Garamond" w:hAnsi="Garamond"/>
          <w:sz w:val="23"/>
          <w:szCs w:val="23"/>
        </w:rPr>
        <w:t xml:space="preserve"> / issue estoppel, which was not discussed in argument but which to his mind could provide a complete answer in similar cases</w:t>
      </w:r>
      <w:r w:rsidR="00B33020" w:rsidRPr="00C867F9">
        <w:rPr>
          <w:rFonts w:ascii="Garamond" w:hAnsi="Garamond"/>
          <w:sz w:val="23"/>
          <w:szCs w:val="23"/>
        </w:rPr>
        <w:t xml:space="preserve"> in the future</w:t>
      </w:r>
      <w:r w:rsidR="006C5298" w:rsidRPr="00C867F9">
        <w:rPr>
          <w:rFonts w:ascii="Garamond" w:hAnsi="Garamond"/>
          <w:sz w:val="23"/>
          <w:szCs w:val="23"/>
        </w:rPr>
        <w:t xml:space="preserve"> </w:t>
      </w:r>
      <w:r w:rsidR="006C5298" w:rsidRPr="00C867F9">
        <w:rPr>
          <w:rFonts w:ascii="Garamond" w:hAnsi="Garamond"/>
          <w:b/>
          <w:bCs/>
          <w:sz w:val="23"/>
          <w:szCs w:val="23"/>
        </w:rPr>
        <w:t>[1]</w:t>
      </w:r>
      <w:r w:rsidR="006C5298" w:rsidRPr="00C867F9">
        <w:rPr>
          <w:rFonts w:ascii="Garamond" w:hAnsi="Garamond"/>
          <w:sz w:val="23"/>
          <w:szCs w:val="23"/>
        </w:rPr>
        <w:t>.</w:t>
      </w:r>
    </w:p>
    <w:p w:rsidR="006C5298" w:rsidRPr="00C867F9" w:rsidRDefault="00844E08" w:rsidP="004B23ED">
      <w:pPr>
        <w:tabs>
          <w:tab w:val="left" w:pos="8285"/>
        </w:tabs>
        <w:spacing w:after="120"/>
        <w:jc w:val="both"/>
        <w:rPr>
          <w:rFonts w:ascii="Garamond" w:hAnsi="Garamond"/>
          <w:sz w:val="23"/>
          <w:szCs w:val="23"/>
        </w:rPr>
      </w:pPr>
      <w:r w:rsidRPr="00C867F9">
        <w:rPr>
          <w:rFonts w:ascii="Garamond" w:hAnsi="Garamond"/>
          <w:sz w:val="23"/>
          <w:szCs w:val="23"/>
        </w:rPr>
        <w:t xml:space="preserve">Lord Carnwath agrees that the decision to detain in this case was directly dependent on the deportation decision and that, as such, </w:t>
      </w:r>
      <w:r w:rsidR="0074317A" w:rsidRPr="00C867F9">
        <w:rPr>
          <w:rFonts w:ascii="Garamond" w:hAnsi="Garamond"/>
          <w:sz w:val="23"/>
          <w:szCs w:val="23"/>
        </w:rPr>
        <w:t xml:space="preserve">DN’s claim for damages comes clearly within the </w:t>
      </w:r>
      <w:proofErr w:type="spellStart"/>
      <w:r w:rsidR="0074317A" w:rsidRPr="00C867F9">
        <w:rPr>
          <w:rFonts w:ascii="Garamond" w:hAnsi="Garamond"/>
          <w:i/>
          <w:iCs/>
          <w:sz w:val="23"/>
          <w:szCs w:val="23"/>
        </w:rPr>
        <w:t>Lumba</w:t>
      </w:r>
      <w:proofErr w:type="spellEnd"/>
      <w:r w:rsidR="0074317A" w:rsidRPr="00C867F9">
        <w:rPr>
          <w:rFonts w:ascii="Garamond" w:hAnsi="Garamond"/>
          <w:sz w:val="23"/>
          <w:szCs w:val="23"/>
        </w:rPr>
        <w:t xml:space="preserve"> principle, unless excluded by some specific rule of law. No such rule emerges from the reasons of the Court of Appeal in </w:t>
      </w:r>
      <w:proofErr w:type="spellStart"/>
      <w:r w:rsidR="0074317A" w:rsidRPr="00C867F9">
        <w:rPr>
          <w:rFonts w:ascii="Garamond" w:hAnsi="Garamond"/>
          <w:i/>
          <w:iCs/>
          <w:sz w:val="23"/>
          <w:szCs w:val="23"/>
        </w:rPr>
        <w:t>Draga</w:t>
      </w:r>
      <w:proofErr w:type="spellEnd"/>
      <w:r w:rsidR="0074317A" w:rsidRPr="00C867F9">
        <w:rPr>
          <w:rFonts w:ascii="Garamond" w:hAnsi="Garamond"/>
          <w:sz w:val="23"/>
          <w:szCs w:val="23"/>
        </w:rPr>
        <w:t xml:space="preserve"> or from submissions for the Secretary of State </w:t>
      </w:r>
      <w:r w:rsidR="0074317A" w:rsidRPr="00C867F9">
        <w:rPr>
          <w:rFonts w:ascii="Garamond" w:hAnsi="Garamond"/>
          <w:b/>
          <w:bCs/>
          <w:sz w:val="23"/>
          <w:szCs w:val="23"/>
        </w:rPr>
        <w:t>[9-10]</w:t>
      </w:r>
      <w:r w:rsidR="0074317A" w:rsidRPr="00C867F9">
        <w:rPr>
          <w:rFonts w:ascii="Garamond" w:hAnsi="Garamond"/>
          <w:sz w:val="23"/>
          <w:szCs w:val="23"/>
        </w:rPr>
        <w:t>.</w:t>
      </w:r>
    </w:p>
    <w:p w:rsidR="00896E78" w:rsidRPr="00C867F9" w:rsidRDefault="00644D45" w:rsidP="004B23ED">
      <w:pPr>
        <w:tabs>
          <w:tab w:val="left" w:pos="8285"/>
        </w:tabs>
        <w:spacing w:after="120"/>
        <w:jc w:val="both"/>
        <w:rPr>
          <w:rFonts w:ascii="Garamond" w:hAnsi="Garamond"/>
          <w:sz w:val="23"/>
          <w:szCs w:val="23"/>
        </w:rPr>
      </w:pPr>
      <w:r w:rsidRPr="00C867F9">
        <w:rPr>
          <w:rFonts w:ascii="Garamond" w:hAnsi="Garamond"/>
          <w:sz w:val="23"/>
          <w:szCs w:val="23"/>
        </w:rPr>
        <w:t xml:space="preserve">Lord Carnwath considers </w:t>
      </w:r>
      <w:proofErr w:type="spellStart"/>
      <w:r w:rsidRPr="00C867F9">
        <w:rPr>
          <w:rFonts w:ascii="Garamond" w:hAnsi="Garamond"/>
          <w:i/>
          <w:iCs/>
          <w:sz w:val="23"/>
          <w:szCs w:val="23"/>
        </w:rPr>
        <w:t>Draga</w:t>
      </w:r>
      <w:proofErr w:type="spellEnd"/>
      <w:r w:rsidRPr="00C867F9">
        <w:rPr>
          <w:rFonts w:ascii="Garamond" w:hAnsi="Garamond"/>
          <w:sz w:val="23"/>
          <w:szCs w:val="23"/>
        </w:rPr>
        <w:t xml:space="preserve"> was wrongly decided for two reasons. First, Pill LJ’s suggested grounds for distinguishing </w:t>
      </w:r>
      <w:r w:rsidR="009E1BB3" w:rsidRPr="00C867F9">
        <w:rPr>
          <w:rFonts w:ascii="Garamond" w:hAnsi="Garamond"/>
          <w:i/>
          <w:iCs/>
          <w:sz w:val="23"/>
          <w:szCs w:val="23"/>
        </w:rPr>
        <w:t xml:space="preserve">R v Governor of </w:t>
      </w:r>
      <w:proofErr w:type="spellStart"/>
      <w:r w:rsidRPr="00C867F9">
        <w:rPr>
          <w:rFonts w:ascii="Garamond" w:hAnsi="Garamond"/>
          <w:i/>
          <w:iCs/>
          <w:sz w:val="23"/>
          <w:szCs w:val="23"/>
        </w:rPr>
        <w:t>Brockhill</w:t>
      </w:r>
      <w:proofErr w:type="spellEnd"/>
      <w:r w:rsidR="006B3207">
        <w:rPr>
          <w:rFonts w:ascii="Garamond" w:hAnsi="Garamond"/>
          <w:i/>
          <w:iCs/>
          <w:sz w:val="23"/>
          <w:szCs w:val="23"/>
        </w:rPr>
        <w:t xml:space="preserve"> Prison</w:t>
      </w:r>
      <w:r w:rsidR="009E1BB3" w:rsidRPr="00C867F9">
        <w:rPr>
          <w:rFonts w:ascii="Garamond" w:hAnsi="Garamond"/>
          <w:i/>
          <w:iCs/>
          <w:sz w:val="23"/>
          <w:szCs w:val="23"/>
        </w:rPr>
        <w:t xml:space="preserve">, </w:t>
      </w:r>
      <w:r w:rsidR="006B3207">
        <w:rPr>
          <w:rFonts w:ascii="Garamond" w:hAnsi="Garamond"/>
          <w:i/>
          <w:iCs/>
          <w:sz w:val="23"/>
          <w:szCs w:val="23"/>
        </w:rPr>
        <w:t>E</w:t>
      </w:r>
      <w:r w:rsidR="009E1BB3" w:rsidRPr="00C867F9">
        <w:rPr>
          <w:rFonts w:ascii="Garamond" w:hAnsi="Garamond"/>
          <w:i/>
          <w:iCs/>
          <w:sz w:val="23"/>
          <w:szCs w:val="23"/>
        </w:rPr>
        <w:t xml:space="preserve">x p Evans (No 2) </w:t>
      </w:r>
      <w:r w:rsidR="009E1BB3" w:rsidRPr="00C867F9">
        <w:rPr>
          <w:rFonts w:ascii="Garamond" w:hAnsi="Garamond"/>
          <w:sz w:val="23"/>
          <w:szCs w:val="23"/>
        </w:rPr>
        <w:t>[2002] 2 AC 19</w:t>
      </w:r>
      <w:r w:rsidRPr="00C867F9">
        <w:rPr>
          <w:rFonts w:ascii="Garamond" w:hAnsi="Garamond"/>
          <w:sz w:val="23"/>
          <w:szCs w:val="23"/>
        </w:rPr>
        <w:t xml:space="preserve"> are unpersuasive</w:t>
      </w:r>
      <w:r w:rsidR="00994EC4" w:rsidRPr="00C867F9">
        <w:rPr>
          <w:rFonts w:ascii="Garamond" w:hAnsi="Garamond"/>
          <w:sz w:val="23"/>
          <w:szCs w:val="23"/>
        </w:rPr>
        <w:t>:</w:t>
      </w:r>
      <w:r w:rsidR="00F962CD" w:rsidRPr="00C867F9">
        <w:rPr>
          <w:rFonts w:ascii="Garamond" w:hAnsi="Garamond"/>
          <w:sz w:val="23"/>
          <w:szCs w:val="23"/>
        </w:rPr>
        <w:t xml:space="preserve"> it could not be said that the Secretary of State was acting within the four corners of a court order</w:t>
      </w:r>
      <w:r w:rsidR="00CD2A33" w:rsidRPr="00C867F9">
        <w:rPr>
          <w:rFonts w:ascii="Garamond" w:hAnsi="Garamond"/>
          <w:sz w:val="23"/>
          <w:szCs w:val="23"/>
        </w:rPr>
        <w:t xml:space="preserve"> relating to the applicant’s detention. Rather, the decision of the tribunal related only to deportation</w:t>
      </w:r>
      <w:r w:rsidR="00244891" w:rsidRPr="00C867F9">
        <w:rPr>
          <w:rFonts w:ascii="Garamond" w:hAnsi="Garamond"/>
          <w:sz w:val="23"/>
          <w:szCs w:val="23"/>
        </w:rPr>
        <w:t xml:space="preserve"> </w:t>
      </w:r>
      <w:r w:rsidR="00244891" w:rsidRPr="00C867F9">
        <w:rPr>
          <w:rFonts w:ascii="Garamond" w:hAnsi="Garamond"/>
          <w:b/>
          <w:bCs/>
          <w:sz w:val="23"/>
          <w:szCs w:val="23"/>
        </w:rPr>
        <w:t>[11-12]</w:t>
      </w:r>
      <w:r w:rsidR="00CD2A33" w:rsidRPr="00C867F9">
        <w:rPr>
          <w:rFonts w:ascii="Garamond" w:hAnsi="Garamond"/>
          <w:sz w:val="23"/>
          <w:szCs w:val="23"/>
        </w:rPr>
        <w:t>.</w:t>
      </w:r>
      <w:r w:rsidR="00994EC4" w:rsidRPr="00C867F9">
        <w:rPr>
          <w:rFonts w:ascii="Garamond" w:hAnsi="Garamond"/>
          <w:sz w:val="23"/>
          <w:szCs w:val="23"/>
        </w:rPr>
        <w:t xml:space="preserve"> </w:t>
      </w:r>
      <w:r w:rsidR="00F12483" w:rsidRPr="00C867F9">
        <w:rPr>
          <w:rFonts w:ascii="Garamond" w:hAnsi="Garamond"/>
          <w:sz w:val="23"/>
          <w:szCs w:val="23"/>
        </w:rPr>
        <w:t xml:space="preserve">Second, Pill LJ’s reliance on the “second actor theory” was misplaced: </w:t>
      </w:r>
      <w:r w:rsidR="007E2E14" w:rsidRPr="00C867F9">
        <w:rPr>
          <w:rFonts w:ascii="Garamond" w:hAnsi="Garamond"/>
          <w:sz w:val="23"/>
          <w:szCs w:val="23"/>
        </w:rPr>
        <w:t xml:space="preserve">where the Secretary of State is directly responsible for making the order later found to be unlawful, </w:t>
      </w:r>
      <w:r w:rsidR="00B86416" w:rsidRPr="00C867F9">
        <w:rPr>
          <w:rFonts w:ascii="Garamond" w:hAnsi="Garamond"/>
          <w:sz w:val="23"/>
          <w:szCs w:val="23"/>
        </w:rPr>
        <w:t xml:space="preserve">it would be odd if it could rely on it to support the validity of later actions based on it </w:t>
      </w:r>
      <w:r w:rsidR="00B86416" w:rsidRPr="00C867F9">
        <w:rPr>
          <w:rFonts w:ascii="Garamond" w:hAnsi="Garamond"/>
          <w:b/>
          <w:bCs/>
          <w:sz w:val="23"/>
          <w:szCs w:val="23"/>
        </w:rPr>
        <w:t>[12]</w:t>
      </w:r>
      <w:r w:rsidR="00B86416" w:rsidRPr="00C867F9">
        <w:rPr>
          <w:rFonts w:ascii="Garamond" w:hAnsi="Garamond"/>
          <w:sz w:val="23"/>
          <w:szCs w:val="23"/>
        </w:rPr>
        <w:t>.</w:t>
      </w:r>
    </w:p>
    <w:p w:rsidR="00644D45" w:rsidRPr="00C867F9" w:rsidRDefault="009E1BB3" w:rsidP="00A13D7D">
      <w:pPr>
        <w:tabs>
          <w:tab w:val="left" w:pos="8285"/>
        </w:tabs>
        <w:spacing w:after="120"/>
        <w:jc w:val="both"/>
        <w:rPr>
          <w:rFonts w:ascii="Garamond" w:hAnsi="Garamond"/>
          <w:sz w:val="23"/>
          <w:szCs w:val="23"/>
        </w:rPr>
      </w:pPr>
      <w:r w:rsidRPr="00C867F9">
        <w:rPr>
          <w:rFonts w:ascii="Garamond" w:hAnsi="Garamond"/>
          <w:sz w:val="23"/>
          <w:szCs w:val="23"/>
        </w:rPr>
        <w:t xml:space="preserve">Finally, Lord Carnwath considers that issue estoppel, if argued, could have provided the answer to this appeal. </w:t>
      </w:r>
      <w:r w:rsidR="00211206" w:rsidRPr="00C867F9">
        <w:rPr>
          <w:rFonts w:ascii="Garamond" w:hAnsi="Garamond"/>
          <w:sz w:val="23"/>
          <w:szCs w:val="23"/>
        </w:rPr>
        <w:t xml:space="preserve">DN’s private law claim for damages depended on the lawfulness of the deportation decision at the time it was made. That issue was conclusively determined by the decision of the tribunal in August 2007 and the decision of the High Court rejecting the application for review. </w:t>
      </w:r>
      <w:r w:rsidR="007E00A2" w:rsidRPr="00C867F9">
        <w:rPr>
          <w:rFonts w:ascii="Garamond" w:hAnsi="Garamond"/>
          <w:sz w:val="23"/>
          <w:szCs w:val="23"/>
        </w:rPr>
        <w:t xml:space="preserve">DN had the opportunity to challenge the legality of the original deportation </w:t>
      </w:r>
      <w:r w:rsidR="00BD2C9F" w:rsidRPr="00C867F9">
        <w:rPr>
          <w:rFonts w:ascii="Garamond" w:hAnsi="Garamond"/>
          <w:sz w:val="23"/>
          <w:szCs w:val="23"/>
        </w:rPr>
        <w:t xml:space="preserve">decision by reference to the invalidity of the 2004 Order, but did not do so. </w:t>
      </w:r>
      <w:r w:rsidR="002221EC" w:rsidRPr="00C867F9">
        <w:rPr>
          <w:rFonts w:ascii="Garamond" w:hAnsi="Garamond"/>
          <w:sz w:val="23"/>
          <w:szCs w:val="23"/>
        </w:rPr>
        <w:t>Hence,</w:t>
      </w:r>
      <w:r w:rsidR="008839E2" w:rsidRPr="00C867F9">
        <w:rPr>
          <w:rFonts w:ascii="Garamond" w:hAnsi="Garamond"/>
          <w:sz w:val="23"/>
          <w:szCs w:val="23"/>
        </w:rPr>
        <w:t xml:space="preserve"> he would be estopped from challenging it at a later date </w:t>
      </w:r>
      <w:r w:rsidR="008839E2" w:rsidRPr="00C867F9">
        <w:rPr>
          <w:rFonts w:ascii="Garamond" w:hAnsi="Garamond"/>
          <w:b/>
          <w:bCs/>
          <w:sz w:val="23"/>
          <w:szCs w:val="23"/>
        </w:rPr>
        <w:t>[30]</w:t>
      </w:r>
      <w:r w:rsidR="008839E2" w:rsidRPr="00C867F9">
        <w:rPr>
          <w:rFonts w:ascii="Garamond" w:hAnsi="Garamond"/>
          <w:sz w:val="23"/>
          <w:szCs w:val="23"/>
        </w:rPr>
        <w:t xml:space="preserve">. However, </w:t>
      </w:r>
      <w:r w:rsidR="00A13D7D" w:rsidRPr="00C867F9">
        <w:rPr>
          <w:rFonts w:ascii="Garamond" w:hAnsi="Garamond"/>
          <w:sz w:val="23"/>
          <w:szCs w:val="23"/>
        </w:rPr>
        <w:t xml:space="preserve">since the Secretary of State </w:t>
      </w:r>
      <w:r w:rsidR="00D30589" w:rsidRPr="00C867F9">
        <w:rPr>
          <w:rFonts w:ascii="Garamond" w:hAnsi="Garamond"/>
          <w:sz w:val="23"/>
          <w:szCs w:val="23"/>
        </w:rPr>
        <w:t>did</w:t>
      </w:r>
      <w:r w:rsidR="00A13D7D" w:rsidRPr="00C867F9">
        <w:rPr>
          <w:rFonts w:ascii="Garamond" w:hAnsi="Garamond"/>
          <w:sz w:val="23"/>
          <w:szCs w:val="23"/>
        </w:rPr>
        <w:t xml:space="preserve"> not rel</w:t>
      </w:r>
      <w:r w:rsidR="00D30589" w:rsidRPr="00C867F9">
        <w:rPr>
          <w:rFonts w:ascii="Garamond" w:hAnsi="Garamond"/>
          <w:sz w:val="23"/>
          <w:szCs w:val="23"/>
        </w:rPr>
        <w:t xml:space="preserve">y </w:t>
      </w:r>
      <w:r w:rsidR="00A13D7D" w:rsidRPr="00C867F9">
        <w:rPr>
          <w:rFonts w:ascii="Garamond" w:hAnsi="Garamond"/>
          <w:sz w:val="23"/>
          <w:szCs w:val="23"/>
        </w:rPr>
        <w:t xml:space="preserve">on res judicata, it would be unfair to DN for </w:t>
      </w:r>
      <w:r w:rsidR="002221EC" w:rsidRPr="00C867F9">
        <w:rPr>
          <w:rFonts w:ascii="Garamond" w:hAnsi="Garamond"/>
          <w:sz w:val="23"/>
          <w:szCs w:val="23"/>
        </w:rPr>
        <w:t>t</w:t>
      </w:r>
      <w:r w:rsidR="00A13D7D" w:rsidRPr="00C867F9">
        <w:rPr>
          <w:rFonts w:ascii="Garamond" w:hAnsi="Garamond"/>
          <w:sz w:val="23"/>
          <w:szCs w:val="23"/>
        </w:rPr>
        <w:t xml:space="preserve">he court to introduce it at this stage </w:t>
      </w:r>
      <w:r w:rsidR="00A13D7D" w:rsidRPr="00C867F9">
        <w:rPr>
          <w:rFonts w:ascii="Garamond" w:hAnsi="Garamond"/>
          <w:b/>
          <w:bCs/>
          <w:sz w:val="23"/>
          <w:szCs w:val="23"/>
        </w:rPr>
        <w:t>[37]</w:t>
      </w:r>
      <w:r w:rsidR="00A13D7D" w:rsidRPr="00C867F9">
        <w:rPr>
          <w:rFonts w:ascii="Garamond" w:hAnsi="Garamond"/>
          <w:sz w:val="23"/>
          <w:szCs w:val="23"/>
        </w:rPr>
        <w:t>.</w:t>
      </w:r>
    </w:p>
    <w:p w:rsidR="005D7C9D" w:rsidRPr="00C867F9" w:rsidRDefault="005D7C9D" w:rsidP="00612A1B">
      <w:pPr>
        <w:jc w:val="both"/>
        <w:rPr>
          <w:rFonts w:ascii="Garamond" w:hAnsi="Garamond"/>
          <w:i/>
          <w:sz w:val="23"/>
          <w:szCs w:val="23"/>
        </w:rPr>
      </w:pPr>
    </w:p>
    <w:p w:rsidR="00F5147E" w:rsidRPr="006B3207" w:rsidRDefault="00566BC2" w:rsidP="00612A1B">
      <w:pPr>
        <w:jc w:val="both"/>
        <w:rPr>
          <w:rFonts w:ascii="Garamond" w:hAnsi="Garamond"/>
          <w:i/>
          <w:sz w:val="23"/>
          <w:szCs w:val="23"/>
        </w:rPr>
      </w:pPr>
      <w:r w:rsidRPr="006B3207">
        <w:rPr>
          <w:rFonts w:ascii="Garamond" w:hAnsi="Garamond"/>
          <w:i/>
          <w:sz w:val="23"/>
          <w:szCs w:val="23"/>
        </w:rPr>
        <w:t>References in square brackets are to paragraphs in the judgment</w:t>
      </w:r>
      <w:r w:rsidR="005E4C42" w:rsidRPr="006B3207">
        <w:rPr>
          <w:rFonts w:ascii="Garamond" w:hAnsi="Garamond"/>
          <w:i/>
          <w:sz w:val="23"/>
          <w:szCs w:val="23"/>
        </w:rPr>
        <w:t>.</w:t>
      </w:r>
    </w:p>
    <w:p w:rsidR="003D307E" w:rsidRPr="006B3207" w:rsidRDefault="003D307E" w:rsidP="00612A1B">
      <w:pPr>
        <w:jc w:val="both"/>
        <w:rPr>
          <w:rFonts w:ascii="Garamond" w:hAnsi="Garamond"/>
          <w:b/>
          <w:sz w:val="23"/>
          <w:szCs w:val="23"/>
          <w:u w:val="single"/>
        </w:rPr>
      </w:pPr>
    </w:p>
    <w:p w:rsidR="00A16C02" w:rsidRPr="006B3207" w:rsidRDefault="00A16C02" w:rsidP="00612A1B">
      <w:pPr>
        <w:jc w:val="both"/>
        <w:rPr>
          <w:rFonts w:ascii="Garamond" w:hAnsi="Garamond"/>
          <w:b/>
          <w:sz w:val="23"/>
          <w:szCs w:val="23"/>
          <w:u w:val="single"/>
        </w:rPr>
      </w:pPr>
      <w:r w:rsidRPr="006B3207">
        <w:rPr>
          <w:rFonts w:ascii="Garamond" w:hAnsi="Garamond"/>
          <w:b/>
          <w:sz w:val="23"/>
          <w:szCs w:val="23"/>
          <w:u w:val="single"/>
        </w:rPr>
        <w:t>NOTE</w:t>
      </w:r>
    </w:p>
    <w:p w:rsidR="00A16C02" w:rsidRPr="006B3207" w:rsidRDefault="00A16C02" w:rsidP="00612A1B">
      <w:pPr>
        <w:jc w:val="both"/>
        <w:rPr>
          <w:rFonts w:ascii="Garamond" w:hAnsi="Garamond"/>
          <w:b/>
          <w:sz w:val="23"/>
          <w:szCs w:val="23"/>
        </w:rPr>
      </w:pPr>
      <w:r w:rsidRPr="006B3207">
        <w:rPr>
          <w:rFonts w:ascii="Garamond" w:hAnsi="Garamond"/>
          <w:b/>
          <w:sz w:val="23"/>
          <w:szCs w:val="23"/>
        </w:rPr>
        <w:t>This summary is provided to assist in understanding the Court’s decision. It does not form part of the reasons for the decision. The full judgment of the Court is the only</w:t>
      </w:r>
      <w:r w:rsidR="004B0054" w:rsidRPr="006B3207">
        <w:rPr>
          <w:rFonts w:ascii="Garamond" w:hAnsi="Garamond"/>
          <w:b/>
          <w:sz w:val="23"/>
          <w:szCs w:val="23"/>
        </w:rPr>
        <w:t xml:space="preserve"> authoritative document.</w:t>
      </w:r>
      <w:r w:rsidR="00761EF7" w:rsidRPr="006B3207">
        <w:rPr>
          <w:rFonts w:ascii="Garamond" w:hAnsi="Garamond"/>
          <w:b/>
          <w:sz w:val="23"/>
          <w:szCs w:val="23"/>
        </w:rPr>
        <w:t xml:space="preserve">  </w:t>
      </w:r>
      <w:r w:rsidR="004B0054" w:rsidRPr="006B3207">
        <w:rPr>
          <w:rFonts w:ascii="Garamond" w:hAnsi="Garamond"/>
          <w:b/>
          <w:sz w:val="23"/>
          <w:szCs w:val="23"/>
        </w:rPr>
        <w:t>Judg</w:t>
      </w:r>
      <w:r w:rsidRPr="006B3207">
        <w:rPr>
          <w:rFonts w:ascii="Garamond" w:hAnsi="Garamond"/>
          <w:b/>
          <w:sz w:val="23"/>
          <w:szCs w:val="23"/>
        </w:rPr>
        <w:t>ments are public documents and are available at:</w:t>
      </w:r>
    </w:p>
    <w:p w:rsidR="004A4957" w:rsidRPr="00BD6FFA" w:rsidRDefault="00091226" w:rsidP="00F713E2">
      <w:pPr>
        <w:jc w:val="both"/>
        <w:rPr>
          <w:rFonts w:ascii="Garamond" w:hAnsi="Garamond"/>
        </w:rPr>
      </w:pPr>
      <w:hyperlink r:id="rId12" w:history="1">
        <w:r w:rsidR="004A4957" w:rsidRPr="006B3207">
          <w:rPr>
            <w:rStyle w:val="Hyperlink"/>
            <w:rFonts w:ascii="Garamond" w:hAnsi="Garamond"/>
            <w:sz w:val="23"/>
            <w:szCs w:val="23"/>
          </w:rPr>
          <w:t>https://supremecourt.uk/decided-cases/index.html</w:t>
        </w:r>
      </w:hyperlink>
    </w:p>
    <w:sectPr w:rsidR="004A4957" w:rsidRPr="00BD6FFA" w:rsidSect="00437284">
      <w:footerReference w:type="default" r:id="rId13"/>
      <w:pgSz w:w="11906" w:h="16838" w:code="9"/>
      <w:pgMar w:top="567" w:right="964" w:bottom="964" w:left="232" w:header="0" w:footer="0" w:gutter="113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FC50A2" w:rsidRDefault="00FC50A2">
      <w:r>
        <w:separator/>
      </w:r>
    </w:p>
  </w:endnote>
  <w:endnote w:type="continuationSeparator" w:id="0">
    <w:p w:rsidR="00FC50A2" w:rsidRDefault="00FC5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Shaker 2 Regular">
    <w:altName w:val="Times New Roman"/>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61EF7" w:rsidRDefault="00761EF7" w:rsidP="00ED05C2">
    <w:pPr>
      <w:pStyle w:val="Footer"/>
      <w:jc w:val="center"/>
      <w:rPr>
        <w:rFonts w:ascii="Shaker 2 Regular" w:hAnsi="Shaker 2 Regular"/>
        <w:b/>
        <w:sz w:val="20"/>
      </w:rPr>
    </w:pPr>
    <w:r w:rsidRPr="00821EB9">
      <w:rPr>
        <w:rFonts w:ascii="Shaker 2 Regular" w:hAnsi="Shaker 2 Regular"/>
        <w:b/>
        <w:sz w:val="20"/>
      </w:rPr>
      <w:t>The Supreme Court of the United Kingdom</w:t>
    </w:r>
  </w:p>
  <w:p w:rsidR="00761EF7" w:rsidRPr="00821EB9" w:rsidRDefault="00761EF7" w:rsidP="00ED05C2">
    <w:pPr>
      <w:pStyle w:val="Footer"/>
      <w:jc w:val="center"/>
      <w:rPr>
        <w:rFonts w:ascii="Shaker 2 Regular" w:hAnsi="Shaker 2 Regular"/>
        <w:sz w:val="20"/>
      </w:rPr>
    </w:pPr>
    <w:r w:rsidRPr="00821EB9">
      <w:rPr>
        <w:rFonts w:ascii="Shaker 2 Regular" w:hAnsi="Shaker 2 Regular"/>
        <w:b/>
        <w:sz w:val="20"/>
      </w:rPr>
      <w:t xml:space="preserve"> </w:t>
    </w:r>
    <w:r w:rsidRPr="00821EB9">
      <w:rPr>
        <w:rFonts w:ascii="Shaker 2 Regular" w:hAnsi="Shaker 2 Regular"/>
        <w:sz w:val="20"/>
      </w:rPr>
      <w:t xml:space="preserve">Parliament Square London SW1P 3BD </w:t>
    </w:r>
    <w:r w:rsidRPr="00821EB9">
      <w:rPr>
        <w:rFonts w:ascii="Shaker 2 Regular" w:hAnsi="Shaker 2 Regular"/>
        <w:b/>
        <w:sz w:val="20"/>
      </w:rPr>
      <w:t xml:space="preserve">T: </w:t>
    </w:r>
    <w:r>
      <w:rPr>
        <w:rFonts w:ascii="Shaker 2 Regular" w:hAnsi="Shaker 2 Regular"/>
        <w:sz w:val="20"/>
      </w:rPr>
      <w:t>020 7960 1886/1887</w:t>
    </w:r>
    <w:r w:rsidRPr="00821EB9">
      <w:rPr>
        <w:rFonts w:ascii="Shaker 2 Regular" w:hAnsi="Shaker 2 Regular"/>
        <w:sz w:val="20"/>
      </w:rPr>
      <w:t xml:space="preserve"> </w:t>
    </w:r>
    <w:r w:rsidRPr="00821EB9">
      <w:rPr>
        <w:rFonts w:ascii="Shaker 2 Regular" w:hAnsi="Shaker 2 Regular"/>
        <w:b/>
        <w:sz w:val="20"/>
      </w:rPr>
      <w:t xml:space="preserve">F: </w:t>
    </w:r>
    <w:r w:rsidRPr="00821EB9">
      <w:rPr>
        <w:rFonts w:ascii="Shaker 2 Regular" w:hAnsi="Shaker 2 Regular"/>
        <w:sz w:val="20"/>
      </w:rPr>
      <w:t xml:space="preserve">020 7960 1901 </w:t>
    </w:r>
    <w:r w:rsidRPr="00821EB9">
      <w:rPr>
        <w:rFonts w:ascii="Shaker 2 Regular" w:hAnsi="Shaker 2 Regular"/>
        <w:b/>
        <w:sz w:val="20"/>
      </w:rPr>
      <w:t>www.supremecourt.uk</w:t>
    </w:r>
  </w:p>
  <w:p w:rsidR="00761EF7" w:rsidRDefault="00761E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FC50A2" w:rsidRDefault="00FC50A2">
      <w:r>
        <w:separator/>
      </w:r>
    </w:p>
  </w:footnote>
  <w:footnote w:type="continuationSeparator" w:id="0">
    <w:p w:rsidR="00FC50A2" w:rsidRDefault="00FC50A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23324F"/>
    <w:multiLevelType w:val="hybridMultilevel"/>
    <w:tmpl w:val="504ABBC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C457263"/>
    <w:multiLevelType w:val="hybridMultilevel"/>
    <w:tmpl w:val="3F5641F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FCE07AF"/>
    <w:multiLevelType w:val="hybridMultilevel"/>
    <w:tmpl w:val="6868C8FA"/>
    <w:lvl w:ilvl="0" w:tplc="2D90449C">
      <w:start w:val="1"/>
      <w:numFmt w:val="decimal"/>
      <w:lvlText w:val="(%1)"/>
      <w:lvlJc w:val="left"/>
      <w:pPr>
        <w:ind w:left="720" w:hanging="360"/>
      </w:pPr>
      <w:rPr>
        <w:rFonts w:cs="Times New Roman" w:hint="default"/>
        <w:i/>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3" w15:restartNumberingAfterBreak="0">
    <w:nsid w:val="1EAF50E6"/>
    <w:multiLevelType w:val="hybridMultilevel"/>
    <w:tmpl w:val="D4901B84"/>
    <w:lvl w:ilvl="0" w:tplc="981C0EEC">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20BE613E"/>
    <w:multiLevelType w:val="hybridMultilevel"/>
    <w:tmpl w:val="7A2A34D2"/>
    <w:lvl w:ilvl="0" w:tplc="3962ACB8">
      <w:start w:val="1"/>
      <w:numFmt w:val="decimal"/>
      <w:lvlText w:val="(%1)"/>
      <w:lvlJc w:val="left"/>
      <w:pPr>
        <w:ind w:left="720" w:hanging="360"/>
      </w:pPr>
      <w:rPr>
        <w:rFonts w:cs="Times New Roman" w:hint="default"/>
        <w:i/>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5" w15:restartNumberingAfterBreak="0">
    <w:nsid w:val="2E047AD7"/>
    <w:multiLevelType w:val="hybridMultilevel"/>
    <w:tmpl w:val="BB7C29BC"/>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07B1BE8"/>
    <w:multiLevelType w:val="hybridMultilevel"/>
    <w:tmpl w:val="8CEA5E36"/>
    <w:lvl w:ilvl="0" w:tplc="08090001">
      <w:start w:val="1"/>
      <w:numFmt w:val="bullet"/>
      <w:lvlText w:val=""/>
      <w:lvlJc w:val="left"/>
      <w:pPr>
        <w:tabs>
          <w:tab w:val="num" w:pos="720"/>
        </w:tabs>
        <w:ind w:left="720" w:hanging="360"/>
      </w:pPr>
      <w:rPr>
        <w:rFonts w:ascii="Symbol" w:hAnsi="Symbol" w:hint="default"/>
      </w:rPr>
    </w:lvl>
    <w:lvl w:ilvl="1" w:tplc="08090003">
      <w:start w:val="1"/>
      <w:numFmt w:val="decimal"/>
      <w:lvlText w:val="%2."/>
      <w:lvlJc w:val="left"/>
      <w:pPr>
        <w:tabs>
          <w:tab w:val="num" w:pos="1440"/>
        </w:tabs>
        <w:ind w:left="1440" w:hanging="360"/>
      </w:pPr>
      <w:rPr>
        <w:rFonts w:cs="Times New Roman"/>
      </w:rPr>
    </w:lvl>
    <w:lvl w:ilvl="2" w:tplc="08090005">
      <w:start w:val="1"/>
      <w:numFmt w:val="decimal"/>
      <w:lvlText w:val="%3."/>
      <w:lvlJc w:val="left"/>
      <w:pPr>
        <w:tabs>
          <w:tab w:val="num" w:pos="2160"/>
        </w:tabs>
        <w:ind w:left="2160" w:hanging="360"/>
      </w:pPr>
      <w:rPr>
        <w:rFonts w:cs="Times New Roman"/>
      </w:rPr>
    </w:lvl>
    <w:lvl w:ilvl="3" w:tplc="08090001">
      <w:start w:val="1"/>
      <w:numFmt w:val="decimal"/>
      <w:lvlText w:val="%4."/>
      <w:lvlJc w:val="left"/>
      <w:pPr>
        <w:tabs>
          <w:tab w:val="num" w:pos="2880"/>
        </w:tabs>
        <w:ind w:left="2880" w:hanging="360"/>
      </w:pPr>
      <w:rPr>
        <w:rFonts w:cs="Times New Roman"/>
      </w:rPr>
    </w:lvl>
    <w:lvl w:ilvl="4" w:tplc="08090003">
      <w:start w:val="1"/>
      <w:numFmt w:val="decimal"/>
      <w:lvlText w:val="%5."/>
      <w:lvlJc w:val="left"/>
      <w:pPr>
        <w:tabs>
          <w:tab w:val="num" w:pos="3600"/>
        </w:tabs>
        <w:ind w:left="3600" w:hanging="360"/>
      </w:pPr>
      <w:rPr>
        <w:rFonts w:cs="Times New Roman"/>
      </w:rPr>
    </w:lvl>
    <w:lvl w:ilvl="5" w:tplc="08090005">
      <w:start w:val="1"/>
      <w:numFmt w:val="decimal"/>
      <w:lvlText w:val="%6."/>
      <w:lvlJc w:val="left"/>
      <w:pPr>
        <w:tabs>
          <w:tab w:val="num" w:pos="4320"/>
        </w:tabs>
        <w:ind w:left="4320" w:hanging="360"/>
      </w:pPr>
      <w:rPr>
        <w:rFonts w:cs="Times New Roman"/>
      </w:rPr>
    </w:lvl>
    <w:lvl w:ilvl="6" w:tplc="08090001">
      <w:start w:val="1"/>
      <w:numFmt w:val="decimal"/>
      <w:lvlText w:val="%7."/>
      <w:lvlJc w:val="left"/>
      <w:pPr>
        <w:tabs>
          <w:tab w:val="num" w:pos="5040"/>
        </w:tabs>
        <w:ind w:left="5040" w:hanging="360"/>
      </w:pPr>
      <w:rPr>
        <w:rFonts w:cs="Times New Roman"/>
      </w:rPr>
    </w:lvl>
    <w:lvl w:ilvl="7" w:tplc="08090003">
      <w:start w:val="1"/>
      <w:numFmt w:val="decimal"/>
      <w:lvlText w:val="%8."/>
      <w:lvlJc w:val="left"/>
      <w:pPr>
        <w:tabs>
          <w:tab w:val="num" w:pos="5760"/>
        </w:tabs>
        <w:ind w:left="5760" w:hanging="360"/>
      </w:pPr>
      <w:rPr>
        <w:rFonts w:cs="Times New Roman"/>
      </w:rPr>
    </w:lvl>
    <w:lvl w:ilvl="8" w:tplc="08090005">
      <w:start w:val="1"/>
      <w:numFmt w:val="decimal"/>
      <w:lvlText w:val="%9."/>
      <w:lvlJc w:val="left"/>
      <w:pPr>
        <w:tabs>
          <w:tab w:val="num" w:pos="6480"/>
        </w:tabs>
        <w:ind w:left="6480" w:hanging="360"/>
      </w:pPr>
      <w:rPr>
        <w:rFonts w:cs="Times New Roman"/>
      </w:rPr>
    </w:lvl>
  </w:abstractNum>
  <w:abstractNum w:abstractNumId="7" w15:restartNumberingAfterBreak="0">
    <w:nsid w:val="323D7C50"/>
    <w:multiLevelType w:val="hybridMultilevel"/>
    <w:tmpl w:val="9B88462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23702D4"/>
    <w:multiLevelType w:val="hybridMultilevel"/>
    <w:tmpl w:val="2C8AF2D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E473162"/>
    <w:multiLevelType w:val="hybridMultilevel"/>
    <w:tmpl w:val="B0DC9CC6"/>
    <w:lvl w:ilvl="0" w:tplc="79D668E0">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0" w15:restartNumberingAfterBreak="0">
    <w:nsid w:val="4F901907"/>
    <w:multiLevelType w:val="hybridMultilevel"/>
    <w:tmpl w:val="23F24A5A"/>
    <w:lvl w:ilvl="0" w:tplc="A0CAFDE0">
      <w:start w:val="1"/>
      <w:numFmt w:val="decimal"/>
      <w:lvlText w:val="(%1)"/>
      <w:lvlJc w:val="left"/>
      <w:pPr>
        <w:ind w:left="720" w:hanging="360"/>
      </w:pPr>
      <w:rPr>
        <w:rFonts w:cs="Times New Roman" w:hint="default"/>
        <w:i/>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1" w15:restartNumberingAfterBreak="0">
    <w:nsid w:val="59236DCE"/>
    <w:multiLevelType w:val="hybridMultilevel"/>
    <w:tmpl w:val="D3C605CE"/>
    <w:lvl w:ilvl="0" w:tplc="6444DFA8">
      <w:start w:val="1"/>
      <w:numFmt w:val="decimal"/>
      <w:lvlText w:val="(%1)"/>
      <w:lvlJc w:val="left"/>
      <w:pPr>
        <w:ind w:left="720" w:hanging="360"/>
      </w:pPr>
      <w:rPr>
        <w:rFonts w:cs="Times New Roman" w:hint="default"/>
        <w:i/>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2" w15:restartNumberingAfterBreak="0">
    <w:nsid w:val="5A246ACF"/>
    <w:multiLevelType w:val="hybridMultilevel"/>
    <w:tmpl w:val="9ACE786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2FC377E"/>
    <w:multiLevelType w:val="hybridMultilevel"/>
    <w:tmpl w:val="BE3E0014"/>
    <w:lvl w:ilvl="0" w:tplc="A1BC38EA">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4" w15:restartNumberingAfterBreak="0">
    <w:nsid w:val="6AE34C85"/>
    <w:multiLevelType w:val="hybridMultilevel"/>
    <w:tmpl w:val="C240A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6F950657"/>
    <w:multiLevelType w:val="hybridMultilevel"/>
    <w:tmpl w:val="B4049E30"/>
    <w:lvl w:ilvl="0" w:tplc="9B5ECF00">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6" w15:restartNumberingAfterBreak="0">
    <w:nsid w:val="6FB07351"/>
    <w:multiLevelType w:val="hybridMultilevel"/>
    <w:tmpl w:val="41ACCCC0"/>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75D70B9F"/>
    <w:multiLevelType w:val="multilevel"/>
    <w:tmpl w:val="F406364A"/>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abstractNum w:abstractNumId="18" w15:restartNumberingAfterBreak="0">
    <w:nsid w:val="79911539"/>
    <w:multiLevelType w:val="hybridMultilevel"/>
    <w:tmpl w:val="CEDEA22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CB91685"/>
    <w:multiLevelType w:val="hybridMultilevel"/>
    <w:tmpl w:val="EA4C2CD2"/>
    <w:lvl w:ilvl="0" w:tplc="9B5ECF00">
      <w:start w:val="1"/>
      <w:numFmt w:val="decimal"/>
      <w:lvlText w:val="(%1)"/>
      <w:lvlJc w:val="left"/>
      <w:pPr>
        <w:ind w:left="720" w:hanging="36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num w:numId="1" w16cid:durableId="1828325911">
    <w:abstractNumId w:val="0"/>
  </w:num>
  <w:num w:numId="2" w16cid:durableId="1150905157">
    <w:abstractNumId w:val="8"/>
  </w:num>
  <w:num w:numId="3" w16cid:durableId="1997957587">
    <w:abstractNumId w:val="12"/>
  </w:num>
  <w:num w:numId="4" w16cid:durableId="38039986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64516781">
    <w:abstractNumId w:val="16"/>
  </w:num>
  <w:num w:numId="6" w16cid:durableId="1512722257">
    <w:abstractNumId w:val="18"/>
  </w:num>
  <w:num w:numId="7" w16cid:durableId="159389152">
    <w:abstractNumId w:val="1"/>
  </w:num>
  <w:num w:numId="8" w16cid:durableId="1725057968">
    <w:abstractNumId w:val="14"/>
  </w:num>
  <w:num w:numId="9" w16cid:durableId="1624145748">
    <w:abstractNumId w:val="15"/>
  </w:num>
  <w:num w:numId="10" w16cid:durableId="212664965">
    <w:abstractNumId w:val="19"/>
  </w:num>
  <w:num w:numId="11" w16cid:durableId="1476877617">
    <w:abstractNumId w:val="10"/>
  </w:num>
  <w:num w:numId="12" w16cid:durableId="2083480948">
    <w:abstractNumId w:val="11"/>
  </w:num>
  <w:num w:numId="13" w16cid:durableId="1345551082">
    <w:abstractNumId w:val="17"/>
  </w:num>
  <w:num w:numId="14" w16cid:durableId="1027870639">
    <w:abstractNumId w:val="2"/>
  </w:num>
  <w:num w:numId="15" w16cid:durableId="1408453346">
    <w:abstractNumId w:val="4"/>
  </w:num>
  <w:num w:numId="16" w16cid:durableId="88354629">
    <w:abstractNumId w:val="7"/>
  </w:num>
  <w:num w:numId="17" w16cid:durableId="696738230">
    <w:abstractNumId w:val="5"/>
  </w:num>
  <w:num w:numId="18" w16cid:durableId="1631013884">
    <w:abstractNumId w:val="3"/>
  </w:num>
  <w:num w:numId="19" w16cid:durableId="1028674523">
    <w:abstractNumId w:val="13"/>
  </w:num>
  <w:num w:numId="20" w16cid:durableId="8365302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C85C3A"/>
    <w:rsid w:val="000005FE"/>
    <w:rsid w:val="00002DA1"/>
    <w:rsid w:val="000100BA"/>
    <w:rsid w:val="0002095E"/>
    <w:rsid w:val="0002165A"/>
    <w:rsid w:val="00021AC6"/>
    <w:rsid w:val="0002411F"/>
    <w:rsid w:val="000245CA"/>
    <w:rsid w:val="00026393"/>
    <w:rsid w:val="00027162"/>
    <w:rsid w:val="00036741"/>
    <w:rsid w:val="00042F49"/>
    <w:rsid w:val="000575DB"/>
    <w:rsid w:val="00061374"/>
    <w:rsid w:val="00064056"/>
    <w:rsid w:val="00070A51"/>
    <w:rsid w:val="0007149B"/>
    <w:rsid w:val="000762E2"/>
    <w:rsid w:val="00082DD0"/>
    <w:rsid w:val="00086F57"/>
    <w:rsid w:val="00087581"/>
    <w:rsid w:val="00091226"/>
    <w:rsid w:val="000948B2"/>
    <w:rsid w:val="00095947"/>
    <w:rsid w:val="000A388D"/>
    <w:rsid w:val="000B00E5"/>
    <w:rsid w:val="000B0E3C"/>
    <w:rsid w:val="000B3E81"/>
    <w:rsid w:val="000B7320"/>
    <w:rsid w:val="000B7A7F"/>
    <w:rsid w:val="000C005C"/>
    <w:rsid w:val="000D20A0"/>
    <w:rsid w:val="000D25B9"/>
    <w:rsid w:val="000D42E1"/>
    <w:rsid w:val="000D4BCD"/>
    <w:rsid w:val="000D6187"/>
    <w:rsid w:val="000F4B66"/>
    <w:rsid w:val="00104C6B"/>
    <w:rsid w:val="00105EAC"/>
    <w:rsid w:val="00112F5A"/>
    <w:rsid w:val="001149D6"/>
    <w:rsid w:val="00116751"/>
    <w:rsid w:val="00125CC7"/>
    <w:rsid w:val="00134213"/>
    <w:rsid w:val="001418CE"/>
    <w:rsid w:val="0014791B"/>
    <w:rsid w:val="00150B40"/>
    <w:rsid w:val="0015103F"/>
    <w:rsid w:val="00153192"/>
    <w:rsid w:val="001544D4"/>
    <w:rsid w:val="001561B2"/>
    <w:rsid w:val="00172165"/>
    <w:rsid w:val="001974C0"/>
    <w:rsid w:val="001A312D"/>
    <w:rsid w:val="001A547D"/>
    <w:rsid w:val="001B1632"/>
    <w:rsid w:val="001B3568"/>
    <w:rsid w:val="001C06D4"/>
    <w:rsid w:val="001C3374"/>
    <w:rsid w:val="001C3D45"/>
    <w:rsid w:val="001C789C"/>
    <w:rsid w:val="001C78CB"/>
    <w:rsid w:val="001D329D"/>
    <w:rsid w:val="001E17B7"/>
    <w:rsid w:val="001E497F"/>
    <w:rsid w:val="001E6957"/>
    <w:rsid w:val="001F0F69"/>
    <w:rsid w:val="001F1F48"/>
    <w:rsid w:val="001F4EF0"/>
    <w:rsid w:val="00201030"/>
    <w:rsid w:val="00210AAC"/>
    <w:rsid w:val="00211206"/>
    <w:rsid w:val="0021510C"/>
    <w:rsid w:val="00220D9D"/>
    <w:rsid w:val="002221EC"/>
    <w:rsid w:val="00232321"/>
    <w:rsid w:val="0024005F"/>
    <w:rsid w:val="00244891"/>
    <w:rsid w:val="0025011D"/>
    <w:rsid w:val="00253255"/>
    <w:rsid w:val="00275A71"/>
    <w:rsid w:val="002823DD"/>
    <w:rsid w:val="00282AF2"/>
    <w:rsid w:val="0029563E"/>
    <w:rsid w:val="002A423A"/>
    <w:rsid w:val="002B0F59"/>
    <w:rsid w:val="002B0FA4"/>
    <w:rsid w:val="002B3E29"/>
    <w:rsid w:val="002B43D3"/>
    <w:rsid w:val="002B631E"/>
    <w:rsid w:val="002B7960"/>
    <w:rsid w:val="002D3534"/>
    <w:rsid w:val="002E30D8"/>
    <w:rsid w:val="002E340D"/>
    <w:rsid w:val="002F0EF0"/>
    <w:rsid w:val="002F2D20"/>
    <w:rsid w:val="002F3DA4"/>
    <w:rsid w:val="002F3EBB"/>
    <w:rsid w:val="002F4A7A"/>
    <w:rsid w:val="002F582D"/>
    <w:rsid w:val="002F69B9"/>
    <w:rsid w:val="00305E6A"/>
    <w:rsid w:val="0030747C"/>
    <w:rsid w:val="00307AC8"/>
    <w:rsid w:val="00312A65"/>
    <w:rsid w:val="003174A2"/>
    <w:rsid w:val="00325B85"/>
    <w:rsid w:val="0034173C"/>
    <w:rsid w:val="003439D6"/>
    <w:rsid w:val="00352BE6"/>
    <w:rsid w:val="00353046"/>
    <w:rsid w:val="00355879"/>
    <w:rsid w:val="0037345C"/>
    <w:rsid w:val="00374F68"/>
    <w:rsid w:val="0037682E"/>
    <w:rsid w:val="003768E9"/>
    <w:rsid w:val="003808B5"/>
    <w:rsid w:val="00381015"/>
    <w:rsid w:val="0038189A"/>
    <w:rsid w:val="00381933"/>
    <w:rsid w:val="00386C08"/>
    <w:rsid w:val="00394214"/>
    <w:rsid w:val="00396E8F"/>
    <w:rsid w:val="003B7C5F"/>
    <w:rsid w:val="003C5AD1"/>
    <w:rsid w:val="003D307E"/>
    <w:rsid w:val="003D7D7D"/>
    <w:rsid w:val="003E07E2"/>
    <w:rsid w:val="003E1078"/>
    <w:rsid w:val="003E7AC8"/>
    <w:rsid w:val="003F299C"/>
    <w:rsid w:val="00400E5E"/>
    <w:rsid w:val="00401F0D"/>
    <w:rsid w:val="004044BD"/>
    <w:rsid w:val="00405CD0"/>
    <w:rsid w:val="00414D89"/>
    <w:rsid w:val="0043316C"/>
    <w:rsid w:val="00434848"/>
    <w:rsid w:val="00437284"/>
    <w:rsid w:val="0044315A"/>
    <w:rsid w:val="00443E3A"/>
    <w:rsid w:val="004470C3"/>
    <w:rsid w:val="00452740"/>
    <w:rsid w:val="0045690D"/>
    <w:rsid w:val="00460718"/>
    <w:rsid w:val="004654E0"/>
    <w:rsid w:val="00474DE9"/>
    <w:rsid w:val="0047770B"/>
    <w:rsid w:val="00477EC5"/>
    <w:rsid w:val="00483610"/>
    <w:rsid w:val="004848B6"/>
    <w:rsid w:val="00490634"/>
    <w:rsid w:val="004908EC"/>
    <w:rsid w:val="00493DBA"/>
    <w:rsid w:val="00496941"/>
    <w:rsid w:val="004A325F"/>
    <w:rsid w:val="004A4043"/>
    <w:rsid w:val="004A4957"/>
    <w:rsid w:val="004A7F86"/>
    <w:rsid w:val="004B0054"/>
    <w:rsid w:val="004B1E19"/>
    <w:rsid w:val="004B2279"/>
    <w:rsid w:val="004B23ED"/>
    <w:rsid w:val="004B2973"/>
    <w:rsid w:val="004B58B8"/>
    <w:rsid w:val="004C3FBA"/>
    <w:rsid w:val="004C4975"/>
    <w:rsid w:val="004C70FA"/>
    <w:rsid w:val="004D25F6"/>
    <w:rsid w:val="004E10C7"/>
    <w:rsid w:val="004E423C"/>
    <w:rsid w:val="004E485D"/>
    <w:rsid w:val="004F0C57"/>
    <w:rsid w:val="004F12B4"/>
    <w:rsid w:val="004F156B"/>
    <w:rsid w:val="004F1AD2"/>
    <w:rsid w:val="004F2030"/>
    <w:rsid w:val="004F433A"/>
    <w:rsid w:val="004F6D8C"/>
    <w:rsid w:val="00500E0F"/>
    <w:rsid w:val="00511622"/>
    <w:rsid w:val="00535014"/>
    <w:rsid w:val="00535D4F"/>
    <w:rsid w:val="0054248A"/>
    <w:rsid w:val="0054452F"/>
    <w:rsid w:val="00547376"/>
    <w:rsid w:val="00552C4E"/>
    <w:rsid w:val="00553E89"/>
    <w:rsid w:val="0055416F"/>
    <w:rsid w:val="00557536"/>
    <w:rsid w:val="005608AC"/>
    <w:rsid w:val="00564356"/>
    <w:rsid w:val="00566BC2"/>
    <w:rsid w:val="00570219"/>
    <w:rsid w:val="0057172F"/>
    <w:rsid w:val="00572E9D"/>
    <w:rsid w:val="005750AC"/>
    <w:rsid w:val="00582CFA"/>
    <w:rsid w:val="00583A80"/>
    <w:rsid w:val="00587D98"/>
    <w:rsid w:val="00587DCB"/>
    <w:rsid w:val="00591F3E"/>
    <w:rsid w:val="005938B0"/>
    <w:rsid w:val="00594702"/>
    <w:rsid w:val="005B0C19"/>
    <w:rsid w:val="005B7F46"/>
    <w:rsid w:val="005D7C9D"/>
    <w:rsid w:val="005E0235"/>
    <w:rsid w:val="005E0E8E"/>
    <w:rsid w:val="005E3C59"/>
    <w:rsid w:val="005E4C42"/>
    <w:rsid w:val="005E5598"/>
    <w:rsid w:val="005E7F74"/>
    <w:rsid w:val="005F2919"/>
    <w:rsid w:val="00605AB0"/>
    <w:rsid w:val="00612819"/>
    <w:rsid w:val="00612A1B"/>
    <w:rsid w:val="006145E2"/>
    <w:rsid w:val="006176C4"/>
    <w:rsid w:val="006211D6"/>
    <w:rsid w:val="00626FCD"/>
    <w:rsid w:val="00630BC6"/>
    <w:rsid w:val="00632E0A"/>
    <w:rsid w:val="00644D45"/>
    <w:rsid w:val="00647FCA"/>
    <w:rsid w:val="00655BD8"/>
    <w:rsid w:val="006667A0"/>
    <w:rsid w:val="0067193A"/>
    <w:rsid w:val="00673256"/>
    <w:rsid w:val="0067754D"/>
    <w:rsid w:val="00677EAB"/>
    <w:rsid w:val="00677EF9"/>
    <w:rsid w:val="0068413A"/>
    <w:rsid w:val="006859FE"/>
    <w:rsid w:val="00686FFE"/>
    <w:rsid w:val="00692050"/>
    <w:rsid w:val="00692A01"/>
    <w:rsid w:val="00693E21"/>
    <w:rsid w:val="006A4115"/>
    <w:rsid w:val="006A653A"/>
    <w:rsid w:val="006B08D3"/>
    <w:rsid w:val="006B246F"/>
    <w:rsid w:val="006B3207"/>
    <w:rsid w:val="006C0AEB"/>
    <w:rsid w:val="006C5298"/>
    <w:rsid w:val="006C5D19"/>
    <w:rsid w:val="006D130B"/>
    <w:rsid w:val="006D6D23"/>
    <w:rsid w:val="006D7316"/>
    <w:rsid w:val="006E0192"/>
    <w:rsid w:val="006E251D"/>
    <w:rsid w:val="006F5E89"/>
    <w:rsid w:val="007013A8"/>
    <w:rsid w:val="007015D5"/>
    <w:rsid w:val="0070274C"/>
    <w:rsid w:val="0070323B"/>
    <w:rsid w:val="00715D16"/>
    <w:rsid w:val="00720FE9"/>
    <w:rsid w:val="00723903"/>
    <w:rsid w:val="00725B27"/>
    <w:rsid w:val="00727A3E"/>
    <w:rsid w:val="00727F65"/>
    <w:rsid w:val="007322A4"/>
    <w:rsid w:val="00737BB7"/>
    <w:rsid w:val="0074317A"/>
    <w:rsid w:val="00750561"/>
    <w:rsid w:val="0075187A"/>
    <w:rsid w:val="007566DC"/>
    <w:rsid w:val="0075710B"/>
    <w:rsid w:val="00757ED3"/>
    <w:rsid w:val="00761EF7"/>
    <w:rsid w:val="00762D19"/>
    <w:rsid w:val="00765368"/>
    <w:rsid w:val="00766B00"/>
    <w:rsid w:val="00767DDC"/>
    <w:rsid w:val="00767E47"/>
    <w:rsid w:val="00770415"/>
    <w:rsid w:val="00775EE3"/>
    <w:rsid w:val="00781456"/>
    <w:rsid w:val="00786D1C"/>
    <w:rsid w:val="007915E0"/>
    <w:rsid w:val="007965F8"/>
    <w:rsid w:val="00796CA9"/>
    <w:rsid w:val="007A4EAA"/>
    <w:rsid w:val="007B3134"/>
    <w:rsid w:val="007B3CA9"/>
    <w:rsid w:val="007B5513"/>
    <w:rsid w:val="007B7EF8"/>
    <w:rsid w:val="007C2BEB"/>
    <w:rsid w:val="007D0194"/>
    <w:rsid w:val="007D5CD0"/>
    <w:rsid w:val="007E00A2"/>
    <w:rsid w:val="007E2A31"/>
    <w:rsid w:val="007E2E14"/>
    <w:rsid w:val="007F377F"/>
    <w:rsid w:val="007F411F"/>
    <w:rsid w:val="00800002"/>
    <w:rsid w:val="008049B7"/>
    <w:rsid w:val="0080556E"/>
    <w:rsid w:val="008068E2"/>
    <w:rsid w:val="00810E04"/>
    <w:rsid w:val="00814757"/>
    <w:rsid w:val="00821142"/>
    <w:rsid w:val="00821EB9"/>
    <w:rsid w:val="00824623"/>
    <w:rsid w:val="008252C5"/>
    <w:rsid w:val="00840CED"/>
    <w:rsid w:val="00844E08"/>
    <w:rsid w:val="00845B9B"/>
    <w:rsid w:val="00850E54"/>
    <w:rsid w:val="00853E9D"/>
    <w:rsid w:val="008607AC"/>
    <w:rsid w:val="00861D12"/>
    <w:rsid w:val="00864E04"/>
    <w:rsid w:val="00864FE0"/>
    <w:rsid w:val="00866593"/>
    <w:rsid w:val="00866AD4"/>
    <w:rsid w:val="008728A0"/>
    <w:rsid w:val="00875C16"/>
    <w:rsid w:val="008828F4"/>
    <w:rsid w:val="0088293B"/>
    <w:rsid w:val="008839E2"/>
    <w:rsid w:val="00887036"/>
    <w:rsid w:val="00887F61"/>
    <w:rsid w:val="008903F4"/>
    <w:rsid w:val="00894384"/>
    <w:rsid w:val="00896E78"/>
    <w:rsid w:val="008A2025"/>
    <w:rsid w:val="008A25CF"/>
    <w:rsid w:val="008A473C"/>
    <w:rsid w:val="008C18A1"/>
    <w:rsid w:val="008C21BC"/>
    <w:rsid w:val="008C484E"/>
    <w:rsid w:val="008C64C2"/>
    <w:rsid w:val="008D62B8"/>
    <w:rsid w:val="008E243C"/>
    <w:rsid w:val="008E7422"/>
    <w:rsid w:val="008F1E9D"/>
    <w:rsid w:val="008F398F"/>
    <w:rsid w:val="008F3B38"/>
    <w:rsid w:val="009003F9"/>
    <w:rsid w:val="00903E5A"/>
    <w:rsid w:val="00904B67"/>
    <w:rsid w:val="009104DC"/>
    <w:rsid w:val="0091496F"/>
    <w:rsid w:val="00916159"/>
    <w:rsid w:val="00922087"/>
    <w:rsid w:val="009266CA"/>
    <w:rsid w:val="00927F21"/>
    <w:rsid w:val="0093440C"/>
    <w:rsid w:val="009376E5"/>
    <w:rsid w:val="009378D3"/>
    <w:rsid w:val="00937F9E"/>
    <w:rsid w:val="0094157C"/>
    <w:rsid w:val="00941641"/>
    <w:rsid w:val="009478FC"/>
    <w:rsid w:val="009559F3"/>
    <w:rsid w:val="0096148A"/>
    <w:rsid w:val="009621B7"/>
    <w:rsid w:val="00963557"/>
    <w:rsid w:val="00967420"/>
    <w:rsid w:val="00967718"/>
    <w:rsid w:val="00967EE5"/>
    <w:rsid w:val="0097120F"/>
    <w:rsid w:val="00982BA5"/>
    <w:rsid w:val="00987143"/>
    <w:rsid w:val="0099175E"/>
    <w:rsid w:val="00991EAB"/>
    <w:rsid w:val="009934F8"/>
    <w:rsid w:val="009938E3"/>
    <w:rsid w:val="00994EC4"/>
    <w:rsid w:val="009A38A3"/>
    <w:rsid w:val="009A4F91"/>
    <w:rsid w:val="009B0FC3"/>
    <w:rsid w:val="009B2840"/>
    <w:rsid w:val="009B7B96"/>
    <w:rsid w:val="009E0904"/>
    <w:rsid w:val="009E1BB3"/>
    <w:rsid w:val="009E74BB"/>
    <w:rsid w:val="009F0C75"/>
    <w:rsid w:val="009F1E86"/>
    <w:rsid w:val="00A04DE4"/>
    <w:rsid w:val="00A12027"/>
    <w:rsid w:val="00A13032"/>
    <w:rsid w:val="00A13D7D"/>
    <w:rsid w:val="00A16C02"/>
    <w:rsid w:val="00A17451"/>
    <w:rsid w:val="00A22212"/>
    <w:rsid w:val="00A24542"/>
    <w:rsid w:val="00A30FCD"/>
    <w:rsid w:val="00A33577"/>
    <w:rsid w:val="00A33A7D"/>
    <w:rsid w:val="00A34A22"/>
    <w:rsid w:val="00A350E6"/>
    <w:rsid w:val="00A37225"/>
    <w:rsid w:val="00A411FC"/>
    <w:rsid w:val="00A428A6"/>
    <w:rsid w:val="00A440AE"/>
    <w:rsid w:val="00A52378"/>
    <w:rsid w:val="00A56BFE"/>
    <w:rsid w:val="00A6283C"/>
    <w:rsid w:val="00A70C5E"/>
    <w:rsid w:val="00A7171D"/>
    <w:rsid w:val="00A721F0"/>
    <w:rsid w:val="00A75147"/>
    <w:rsid w:val="00A754A1"/>
    <w:rsid w:val="00A80EDC"/>
    <w:rsid w:val="00A82CB4"/>
    <w:rsid w:val="00A84315"/>
    <w:rsid w:val="00A855B3"/>
    <w:rsid w:val="00A96E25"/>
    <w:rsid w:val="00A97444"/>
    <w:rsid w:val="00AB1521"/>
    <w:rsid w:val="00AB3048"/>
    <w:rsid w:val="00AB48FE"/>
    <w:rsid w:val="00AB4936"/>
    <w:rsid w:val="00AB7971"/>
    <w:rsid w:val="00AC3861"/>
    <w:rsid w:val="00AC548C"/>
    <w:rsid w:val="00AC7F69"/>
    <w:rsid w:val="00AE372F"/>
    <w:rsid w:val="00AE3873"/>
    <w:rsid w:val="00AF4F1B"/>
    <w:rsid w:val="00AF69DA"/>
    <w:rsid w:val="00B1177A"/>
    <w:rsid w:val="00B131D2"/>
    <w:rsid w:val="00B14355"/>
    <w:rsid w:val="00B15322"/>
    <w:rsid w:val="00B15C94"/>
    <w:rsid w:val="00B15CAF"/>
    <w:rsid w:val="00B22DE7"/>
    <w:rsid w:val="00B24A03"/>
    <w:rsid w:val="00B30ABB"/>
    <w:rsid w:val="00B31C3A"/>
    <w:rsid w:val="00B33020"/>
    <w:rsid w:val="00B3303B"/>
    <w:rsid w:val="00B33E4F"/>
    <w:rsid w:val="00B434C7"/>
    <w:rsid w:val="00B44837"/>
    <w:rsid w:val="00B44AC0"/>
    <w:rsid w:val="00B45FA6"/>
    <w:rsid w:val="00B520AA"/>
    <w:rsid w:val="00B55A96"/>
    <w:rsid w:val="00B646D4"/>
    <w:rsid w:val="00B724B2"/>
    <w:rsid w:val="00B724DA"/>
    <w:rsid w:val="00B72E0B"/>
    <w:rsid w:val="00B73D9F"/>
    <w:rsid w:val="00B73FB5"/>
    <w:rsid w:val="00B8075C"/>
    <w:rsid w:val="00B82729"/>
    <w:rsid w:val="00B86416"/>
    <w:rsid w:val="00B92886"/>
    <w:rsid w:val="00BB500D"/>
    <w:rsid w:val="00BB65A5"/>
    <w:rsid w:val="00BC02C7"/>
    <w:rsid w:val="00BD2C9F"/>
    <w:rsid w:val="00BD6E13"/>
    <w:rsid w:val="00BD6FFA"/>
    <w:rsid w:val="00BE318E"/>
    <w:rsid w:val="00BE3653"/>
    <w:rsid w:val="00BE4557"/>
    <w:rsid w:val="00BF1818"/>
    <w:rsid w:val="00BF5890"/>
    <w:rsid w:val="00BF5F4C"/>
    <w:rsid w:val="00BF658A"/>
    <w:rsid w:val="00BF691C"/>
    <w:rsid w:val="00C019D7"/>
    <w:rsid w:val="00C0454B"/>
    <w:rsid w:val="00C11DF6"/>
    <w:rsid w:val="00C20FB8"/>
    <w:rsid w:val="00C21119"/>
    <w:rsid w:val="00C276FC"/>
    <w:rsid w:val="00C37B53"/>
    <w:rsid w:val="00C534CA"/>
    <w:rsid w:val="00C53AB3"/>
    <w:rsid w:val="00C55990"/>
    <w:rsid w:val="00C55F32"/>
    <w:rsid w:val="00C567E2"/>
    <w:rsid w:val="00C57DF7"/>
    <w:rsid w:val="00C607D0"/>
    <w:rsid w:val="00C642E8"/>
    <w:rsid w:val="00C7235E"/>
    <w:rsid w:val="00C82E85"/>
    <w:rsid w:val="00C84218"/>
    <w:rsid w:val="00C8434B"/>
    <w:rsid w:val="00C85C3A"/>
    <w:rsid w:val="00C867F9"/>
    <w:rsid w:val="00C930DD"/>
    <w:rsid w:val="00C95F30"/>
    <w:rsid w:val="00C977E0"/>
    <w:rsid w:val="00C97A13"/>
    <w:rsid w:val="00CA138F"/>
    <w:rsid w:val="00CA1CC7"/>
    <w:rsid w:val="00CA6529"/>
    <w:rsid w:val="00CB393E"/>
    <w:rsid w:val="00CC0C46"/>
    <w:rsid w:val="00CC0E89"/>
    <w:rsid w:val="00CD0E29"/>
    <w:rsid w:val="00CD2A33"/>
    <w:rsid w:val="00CF5C30"/>
    <w:rsid w:val="00D072C3"/>
    <w:rsid w:val="00D1026F"/>
    <w:rsid w:val="00D13E68"/>
    <w:rsid w:val="00D248D5"/>
    <w:rsid w:val="00D26C18"/>
    <w:rsid w:val="00D26C41"/>
    <w:rsid w:val="00D30589"/>
    <w:rsid w:val="00D47403"/>
    <w:rsid w:val="00D615A8"/>
    <w:rsid w:val="00D7478F"/>
    <w:rsid w:val="00D8298C"/>
    <w:rsid w:val="00D8494A"/>
    <w:rsid w:val="00D87E58"/>
    <w:rsid w:val="00D92326"/>
    <w:rsid w:val="00D97A9F"/>
    <w:rsid w:val="00DA0421"/>
    <w:rsid w:val="00DA4C36"/>
    <w:rsid w:val="00DA676E"/>
    <w:rsid w:val="00DB0F3E"/>
    <w:rsid w:val="00DB33C8"/>
    <w:rsid w:val="00DB50BA"/>
    <w:rsid w:val="00DB7C3C"/>
    <w:rsid w:val="00DC0B86"/>
    <w:rsid w:val="00DC236A"/>
    <w:rsid w:val="00DC2755"/>
    <w:rsid w:val="00DC4B23"/>
    <w:rsid w:val="00DD1BC9"/>
    <w:rsid w:val="00DF12F9"/>
    <w:rsid w:val="00DF5C22"/>
    <w:rsid w:val="00DF5CC4"/>
    <w:rsid w:val="00E0183F"/>
    <w:rsid w:val="00E03828"/>
    <w:rsid w:val="00E04ABE"/>
    <w:rsid w:val="00E05E44"/>
    <w:rsid w:val="00E158C2"/>
    <w:rsid w:val="00E201D2"/>
    <w:rsid w:val="00E22716"/>
    <w:rsid w:val="00E2365A"/>
    <w:rsid w:val="00E4101A"/>
    <w:rsid w:val="00E4543E"/>
    <w:rsid w:val="00E517A2"/>
    <w:rsid w:val="00E52836"/>
    <w:rsid w:val="00E5320A"/>
    <w:rsid w:val="00E545A8"/>
    <w:rsid w:val="00E5478D"/>
    <w:rsid w:val="00E6017B"/>
    <w:rsid w:val="00E65AFA"/>
    <w:rsid w:val="00E74665"/>
    <w:rsid w:val="00E76DCF"/>
    <w:rsid w:val="00E80527"/>
    <w:rsid w:val="00E86B97"/>
    <w:rsid w:val="00E900B3"/>
    <w:rsid w:val="00E93B86"/>
    <w:rsid w:val="00EA463F"/>
    <w:rsid w:val="00EA693A"/>
    <w:rsid w:val="00EB1C5C"/>
    <w:rsid w:val="00EB279C"/>
    <w:rsid w:val="00EB3078"/>
    <w:rsid w:val="00EC2CA2"/>
    <w:rsid w:val="00EC591B"/>
    <w:rsid w:val="00EC59A7"/>
    <w:rsid w:val="00EC5E9E"/>
    <w:rsid w:val="00ED036D"/>
    <w:rsid w:val="00ED05C2"/>
    <w:rsid w:val="00ED3C95"/>
    <w:rsid w:val="00ED545E"/>
    <w:rsid w:val="00EE6B74"/>
    <w:rsid w:val="00EF1192"/>
    <w:rsid w:val="00F01FFF"/>
    <w:rsid w:val="00F06E83"/>
    <w:rsid w:val="00F12223"/>
    <w:rsid w:val="00F12483"/>
    <w:rsid w:val="00F408BD"/>
    <w:rsid w:val="00F4106B"/>
    <w:rsid w:val="00F425D9"/>
    <w:rsid w:val="00F4541E"/>
    <w:rsid w:val="00F46A93"/>
    <w:rsid w:val="00F46B62"/>
    <w:rsid w:val="00F470C9"/>
    <w:rsid w:val="00F50E8D"/>
    <w:rsid w:val="00F5147E"/>
    <w:rsid w:val="00F6056A"/>
    <w:rsid w:val="00F62F0A"/>
    <w:rsid w:val="00F654E9"/>
    <w:rsid w:val="00F66875"/>
    <w:rsid w:val="00F66BBE"/>
    <w:rsid w:val="00F713E2"/>
    <w:rsid w:val="00F75AEE"/>
    <w:rsid w:val="00F802E6"/>
    <w:rsid w:val="00F81278"/>
    <w:rsid w:val="00F83BBB"/>
    <w:rsid w:val="00F8404E"/>
    <w:rsid w:val="00F868F0"/>
    <w:rsid w:val="00F90489"/>
    <w:rsid w:val="00F90D1C"/>
    <w:rsid w:val="00F93EA4"/>
    <w:rsid w:val="00F94A21"/>
    <w:rsid w:val="00F962CD"/>
    <w:rsid w:val="00F97534"/>
    <w:rsid w:val="00FA07D5"/>
    <w:rsid w:val="00FA3CB0"/>
    <w:rsid w:val="00FA3D1D"/>
    <w:rsid w:val="00FB0DCF"/>
    <w:rsid w:val="00FB2923"/>
    <w:rsid w:val="00FB3250"/>
    <w:rsid w:val="00FB505B"/>
    <w:rsid w:val="00FC50A2"/>
    <w:rsid w:val="00FC6006"/>
    <w:rsid w:val="00FD0794"/>
    <w:rsid w:val="00FD0AC8"/>
    <w:rsid w:val="00FE22D2"/>
    <w:rsid w:val="00FF32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efaultImageDpi w14:val="0"/>
  <w15:docId w15:val="{73343E07-CD42-4739-A4C2-071AF331EC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ED05C2"/>
    <w:pPr>
      <w:tabs>
        <w:tab w:val="center" w:pos="4153"/>
        <w:tab w:val="right" w:pos="8306"/>
      </w:tabs>
    </w:pPr>
  </w:style>
  <w:style w:type="character" w:customStyle="1" w:styleId="HeaderChar">
    <w:name w:val="Header Char"/>
    <w:link w:val="Header"/>
    <w:uiPriority w:val="99"/>
    <w:semiHidden/>
    <w:locked/>
    <w:rPr>
      <w:rFonts w:cs="Times New Roman"/>
      <w:sz w:val="24"/>
      <w:szCs w:val="24"/>
    </w:rPr>
  </w:style>
  <w:style w:type="paragraph" w:styleId="Footer">
    <w:name w:val="footer"/>
    <w:basedOn w:val="Normal"/>
    <w:link w:val="FooterChar"/>
    <w:uiPriority w:val="99"/>
    <w:rsid w:val="00ED05C2"/>
    <w:pPr>
      <w:tabs>
        <w:tab w:val="center" w:pos="4153"/>
        <w:tab w:val="right" w:pos="8306"/>
      </w:tabs>
    </w:pPr>
  </w:style>
  <w:style w:type="character" w:customStyle="1" w:styleId="FooterChar">
    <w:name w:val="Footer Char"/>
    <w:link w:val="Footer"/>
    <w:uiPriority w:val="99"/>
    <w:locked/>
    <w:rsid w:val="00ED05C2"/>
    <w:rPr>
      <w:rFonts w:cs="Times New Roman"/>
      <w:sz w:val="24"/>
      <w:lang w:val="en-GB" w:eastAsia="en-GB"/>
    </w:rPr>
  </w:style>
  <w:style w:type="paragraph" w:styleId="BalloonText">
    <w:name w:val="Balloon Text"/>
    <w:basedOn w:val="Normal"/>
    <w:link w:val="BalloonTextChar"/>
    <w:uiPriority w:val="99"/>
    <w:semiHidden/>
    <w:rsid w:val="00ED036D"/>
    <w:rPr>
      <w:rFonts w:ascii="Tahoma" w:hAnsi="Tahoma" w:cs="Tahoma"/>
      <w:sz w:val="16"/>
      <w:szCs w:val="16"/>
    </w:rPr>
  </w:style>
  <w:style w:type="character" w:customStyle="1" w:styleId="BalloonTextChar">
    <w:name w:val="Balloon Text Char"/>
    <w:link w:val="BalloonText"/>
    <w:uiPriority w:val="99"/>
    <w:semiHidden/>
    <w:locked/>
    <w:rPr>
      <w:rFonts w:ascii="Segoe UI" w:hAnsi="Segoe UI" w:cs="Segoe UI"/>
      <w:sz w:val="18"/>
      <w:szCs w:val="18"/>
    </w:rPr>
  </w:style>
  <w:style w:type="character" w:styleId="Strong">
    <w:name w:val="Strong"/>
    <w:uiPriority w:val="22"/>
    <w:qFormat/>
    <w:rsid w:val="000F4B66"/>
    <w:rPr>
      <w:rFonts w:cs="Times New Roman"/>
      <w:b/>
    </w:rPr>
  </w:style>
  <w:style w:type="character" w:styleId="Hyperlink">
    <w:name w:val="Hyperlink"/>
    <w:uiPriority w:val="99"/>
    <w:rsid w:val="00A16C02"/>
    <w:rPr>
      <w:rFonts w:cs="Times New Roman"/>
      <w:color w:val="0000FF"/>
      <w:u w:val="single"/>
    </w:rPr>
  </w:style>
  <w:style w:type="character" w:styleId="CommentReference">
    <w:name w:val="annotation reference"/>
    <w:uiPriority w:val="99"/>
    <w:rsid w:val="00374F68"/>
    <w:rPr>
      <w:rFonts w:cs="Times New Roman"/>
      <w:sz w:val="16"/>
    </w:rPr>
  </w:style>
  <w:style w:type="paragraph" w:styleId="CommentText">
    <w:name w:val="annotation text"/>
    <w:basedOn w:val="Normal"/>
    <w:link w:val="CommentTextChar"/>
    <w:uiPriority w:val="99"/>
    <w:rsid w:val="00374F68"/>
    <w:rPr>
      <w:sz w:val="20"/>
      <w:szCs w:val="20"/>
    </w:rPr>
  </w:style>
  <w:style w:type="character" w:customStyle="1" w:styleId="CommentTextChar">
    <w:name w:val="Comment Text Char"/>
    <w:link w:val="CommentText"/>
    <w:uiPriority w:val="99"/>
    <w:locked/>
    <w:rsid w:val="00374F68"/>
    <w:rPr>
      <w:rFonts w:cs="Times New Roman"/>
    </w:rPr>
  </w:style>
  <w:style w:type="paragraph" w:styleId="CommentSubject">
    <w:name w:val="annotation subject"/>
    <w:basedOn w:val="CommentText"/>
    <w:next w:val="CommentText"/>
    <w:link w:val="CommentSubjectChar"/>
    <w:uiPriority w:val="99"/>
    <w:rsid w:val="00374F68"/>
    <w:rPr>
      <w:b/>
      <w:bCs/>
    </w:rPr>
  </w:style>
  <w:style w:type="character" w:customStyle="1" w:styleId="CommentSubjectChar">
    <w:name w:val="Comment Subject Char"/>
    <w:link w:val="CommentSubject"/>
    <w:uiPriority w:val="99"/>
    <w:locked/>
    <w:rsid w:val="00374F68"/>
    <w:rPr>
      <w:rFonts w:cs="Times New Roman"/>
      <w:b/>
    </w:rPr>
  </w:style>
  <w:style w:type="character" w:styleId="FollowedHyperlink">
    <w:name w:val="FollowedHyperlink"/>
    <w:uiPriority w:val="99"/>
    <w:rsid w:val="0007149B"/>
    <w:rPr>
      <w:rFonts w:cs="Times New Roman"/>
      <w:color w:val="954F72"/>
      <w:u w:val="single"/>
    </w:rPr>
  </w:style>
  <w:style w:type="character" w:styleId="UnresolvedMention">
    <w:name w:val="Unresolved Mention"/>
    <w:uiPriority w:val="99"/>
    <w:semiHidden/>
    <w:unhideWhenUsed/>
    <w:rsid w:val="00F713E2"/>
    <w:rPr>
      <w:rFonts w:cs="Times New Roman"/>
      <w:color w:val="808080"/>
      <w:shd w:val="clear" w:color="auto" w:fill="E6E6E6"/>
    </w:rPr>
  </w:style>
  <w:style w:type="paragraph" w:styleId="Quote">
    <w:name w:val="Quote"/>
    <w:basedOn w:val="Normal"/>
    <w:next w:val="Normal"/>
    <w:link w:val="QuoteChar"/>
    <w:uiPriority w:val="29"/>
    <w:qFormat/>
    <w:rsid w:val="00963557"/>
    <w:pPr>
      <w:spacing w:after="520"/>
      <w:ind w:left="1440" w:right="720"/>
      <w:jc w:val="both"/>
    </w:pPr>
    <w:rPr>
      <w:sz w:val="26"/>
      <w:szCs w:val="20"/>
      <w:lang w:eastAsia="en-US"/>
    </w:rPr>
  </w:style>
  <w:style w:type="character" w:customStyle="1" w:styleId="QuoteChar">
    <w:name w:val="Quote Char"/>
    <w:link w:val="Quote"/>
    <w:uiPriority w:val="29"/>
    <w:locked/>
    <w:rsid w:val="00963557"/>
    <w:rPr>
      <w:rFonts w:cs="Times New Roman"/>
      <w:sz w:val="26"/>
      <w:lang w:val="x-none" w:eastAsia="en-US"/>
    </w:rPr>
  </w:style>
  <w:style w:type="paragraph" w:customStyle="1" w:styleId="ParaLevel1">
    <w:name w:val="ParaLevel1"/>
    <w:basedOn w:val="Normal"/>
    <w:rsid w:val="001C3374"/>
    <w:pPr>
      <w:numPr>
        <w:numId w:val="13"/>
      </w:numPr>
      <w:suppressAutoHyphens/>
      <w:spacing w:after="520" w:line="480" w:lineRule="auto"/>
      <w:jc w:val="both"/>
      <w:outlineLvl w:val="0"/>
    </w:pPr>
    <w:rPr>
      <w:sz w:val="26"/>
      <w:szCs w:val="20"/>
      <w:lang w:eastAsia="en-US"/>
    </w:rPr>
  </w:style>
  <w:style w:type="paragraph" w:customStyle="1" w:styleId="ParaLevel2">
    <w:name w:val="ParaLevel2"/>
    <w:basedOn w:val="Normal"/>
    <w:rsid w:val="001C3374"/>
    <w:pPr>
      <w:numPr>
        <w:ilvl w:val="1"/>
        <w:numId w:val="13"/>
      </w:numPr>
      <w:suppressAutoHyphens/>
      <w:spacing w:after="520" w:line="480" w:lineRule="auto"/>
      <w:ind w:left="709"/>
      <w:jc w:val="both"/>
      <w:outlineLvl w:val="1"/>
    </w:pPr>
    <w:rPr>
      <w:sz w:val="26"/>
      <w:szCs w:val="20"/>
      <w:lang w:eastAsia="en-US"/>
    </w:rPr>
  </w:style>
  <w:style w:type="paragraph" w:customStyle="1" w:styleId="ParaLevel3">
    <w:name w:val="ParaLevel3"/>
    <w:basedOn w:val="Normal"/>
    <w:rsid w:val="001C3374"/>
    <w:pPr>
      <w:numPr>
        <w:ilvl w:val="2"/>
        <w:numId w:val="13"/>
      </w:numPr>
      <w:suppressAutoHyphens/>
      <w:spacing w:after="520" w:line="480" w:lineRule="auto"/>
      <w:ind w:left="1418"/>
      <w:jc w:val="both"/>
      <w:outlineLvl w:val="2"/>
    </w:pPr>
    <w:rPr>
      <w:sz w:val="26"/>
      <w:szCs w:val="20"/>
      <w:lang w:eastAsia="en-US"/>
    </w:rPr>
  </w:style>
  <w:style w:type="paragraph" w:customStyle="1" w:styleId="ParaLevel4">
    <w:name w:val="ParaLevel4"/>
    <w:basedOn w:val="Normal"/>
    <w:rsid w:val="001C3374"/>
    <w:pPr>
      <w:numPr>
        <w:ilvl w:val="3"/>
        <w:numId w:val="13"/>
      </w:numPr>
      <w:suppressAutoHyphens/>
      <w:spacing w:after="520" w:line="480" w:lineRule="auto"/>
      <w:ind w:left="2127"/>
      <w:jc w:val="both"/>
      <w:outlineLvl w:val="3"/>
    </w:pPr>
    <w:rPr>
      <w:sz w:val="26"/>
      <w:szCs w:val="20"/>
      <w:lang w:eastAsia="en-US"/>
    </w:rPr>
  </w:style>
  <w:style w:type="paragraph" w:customStyle="1" w:styleId="ParaLevel5">
    <w:name w:val="ParaLevel5"/>
    <w:basedOn w:val="Normal"/>
    <w:rsid w:val="001C3374"/>
    <w:pPr>
      <w:numPr>
        <w:ilvl w:val="4"/>
        <w:numId w:val="13"/>
      </w:numPr>
      <w:suppressAutoHyphens/>
      <w:spacing w:after="520" w:line="480" w:lineRule="auto"/>
      <w:ind w:left="2836"/>
      <w:jc w:val="both"/>
      <w:outlineLvl w:val="4"/>
    </w:pPr>
    <w:rPr>
      <w:sz w:val="26"/>
      <w:szCs w:val="20"/>
      <w:lang w:eastAsia="en-US"/>
    </w:rPr>
  </w:style>
  <w:style w:type="paragraph" w:customStyle="1" w:styleId="ParaLevel6">
    <w:name w:val="ParaLevel6"/>
    <w:basedOn w:val="Normal"/>
    <w:rsid w:val="001C3374"/>
    <w:pPr>
      <w:numPr>
        <w:ilvl w:val="5"/>
        <w:numId w:val="13"/>
      </w:numPr>
      <w:suppressAutoHyphens/>
      <w:spacing w:after="520" w:line="480" w:lineRule="auto"/>
      <w:ind w:left="3545"/>
      <w:jc w:val="both"/>
      <w:outlineLvl w:val="5"/>
    </w:pPr>
    <w:rPr>
      <w:sz w:val="26"/>
      <w:szCs w:val="20"/>
      <w:lang w:eastAsia="en-US"/>
    </w:rPr>
  </w:style>
  <w:style w:type="paragraph" w:customStyle="1" w:styleId="ParaLevel7">
    <w:name w:val="ParaLevel7"/>
    <w:basedOn w:val="Normal"/>
    <w:rsid w:val="001C3374"/>
    <w:pPr>
      <w:numPr>
        <w:ilvl w:val="6"/>
        <w:numId w:val="13"/>
      </w:numPr>
      <w:suppressAutoHyphens/>
      <w:spacing w:after="520" w:line="480" w:lineRule="auto"/>
      <w:ind w:left="4254"/>
      <w:jc w:val="both"/>
      <w:outlineLvl w:val="6"/>
    </w:pPr>
    <w:rPr>
      <w:sz w:val="26"/>
      <w:szCs w:val="20"/>
      <w:lang w:eastAsia="en-US"/>
    </w:rPr>
  </w:style>
  <w:style w:type="paragraph" w:customStyle="1" w:styleId="ParaLevel8">
    <w:name w:val="ParaLevel8"/>
    <w:basedOn w:val="Normal"/>
    <w:rsid w:val="001C3374"/>
    <w:pPr>
      <w:numPr>
        <w:ilvl w:val="7"/>
        <w:numId w:val="13"/>
      </w:numPr>
      <w:suppressAutoHyphens/>
      <w:spacing w:after="520" w:line="480" w:lineRule="auto"/>
      <w:ind w:left="4963"/>
      <w:jc w:val="both"/>
      <w:outlineLvl w:val="7"/>
    </w:pPr>
    <w:rPr>
      <w:sz w:val="26"/>
      <w:szCs w:val="20"/>
      <w:lang w:eastAsia="en-US"/>
    </w:rPr>
  </w:style>
  <w:style w:type="paragraph" w:customStyle="1" w:styleId="ParaLevel9">
    <w:name w:val="ParaLevel9"/>
    <w:basedOn w:val="Normal"/>
    <w:rsid w:val="001C3374"/>
    <w:pPr>
      <w:numPr>
        <w:ilvl w:val="8"/>
        <w:numId w:val="13"/>
      </w:numPr>
      <w:suppressAutoHyphens/>
      <w:spacing w:after="520" w:line="480" w:lineRule="auto"/>
      <w:ind w:left="5672"/>
      <w:jc w:val="both"/>
      <w:outlineLvl w:val="8"/>
    </w:pPr>
    <w:rPr>
      <w:sz w:val="26"/>
      <w:szCs w:val="20"/>
      <w:lang w:eastAsia="en-US"/>
    </w:rPr>
  </w:style>
  <w:style w:type="paragraph" w:styleId="ListParagraph">
    <w:name w:val="List Paragraph"/>
    <w:basedOn w:val="Normal"/>
    <w:uiPriority w:val="72"/>
    <w:qFormat/>
    <w:rsid w:val="004B2279"/>
    <w:pPr>
      <w:ind w:left="720"/>
    </w:pPr>
  </w:style>
  <w:style w:type="paragraph" w:styleId="FootnoteText">
    <w:name w:val="footnote text"/>
    <w:basedOn w:val="Normal"/>
    <w:link w:val="FootnoteTextChar"/>
    <w:uiPriority w:val="99"/>
    <w:rsid w:val="000B00E5"/>
    <w:rPr>
      <w:sz w:val="20"/>
      <w:szCs w:val="20"/>
    </w:rPr>
  </w:style>
  <w:style w:type="character" w:customStyle="1" w:styleId="FootnoteTextChar">
    <w:name w:val="Footnote Text Char"/>
    <w:link w:val="FootnoteText"/>
    <w:uiPriority w:val="99"/>
    <w:locked/>
    <w:rsid w:val="000B00E5"/>
    <w:rPr>
      <w:rFonts w:cs="Times New Roman"/>
    </w:rPr>
  </w:style>
  <w:style w:type="character" w:styleId="FootnoteReference">
    <w:name w:val="footnote reference"/>
    <w:uiPriority w:val="99"/>
    <w:rsid w:val="000B00E5"/>
    <w:rPr>
      <w:rFonts w:cs="Times New Roman"/>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322308">
      <w:marLeft w:val="0"/>
      <w:marRight w:val="0"/>
      <w:marTop w:val="0"/>
      <w:marBottom w:val="0"/>
      <w:divBdr>
        <w:top w:val="none" w:sz="0" w:space="0" w:color="auto"/>
        <w:left w:val="none" w:sz="0" w:space="0" w:color="auto"/>
        <w:bottom w:val="none" w:sz="0" w:space="0" w:color="auto"/>
        <w:right w:val="none" w:sz="0" w:space="0" w:color="auto"/>
      </w:divBdr>
    </w:div>
    <w:div w:id="342322309">
      <w:marLeft w:val="0"/>
      <w:marRight w:val="0"/>
      <w:marTop w:val="0"/>
      <w:marBottom w:val="0"/>
      <w:divBdr>
        <w:top w:val="none" w:sz="0" w:space="0" w:color="auto"/>
        <w:left w:val="none" w:sz="0" w:space="0" w:color="auto"/>
        <w:bottom w:val="none" w:sz="0" w:space="0" w:color="auto"/>
        <w:right w:val="none" w:sz="0" w:space="0" w:color="auto"/>
      </w:divBdr>
    </w:div>
    <w:div w:id="342322310">
      <w:marLeft w:val="0"/>
      <w:marRight w:val="0"/>
      <w:marTop w:val="0"/>
      <w:marBottom w:val="0"/>
      <w:divBdr>
        <w:top w:val="none" w:sz="0" w:space="0" w:color="auto"/>
        <w:left w:val="none" w:sz="0" w:space="0" w:color="auto"/>
        <w:bottom w:val="none" w:sz="0" w:space="0" w:color="auto"/>
        <w:right w:val="none" w:sz="0" w:space="0" w:color="auto"/>
      </w:divBdr>
    </w:div>
    <w:div w:id="342322311">
      <w:marLeft w:val="0"/>
      <w:marRight w:val="0"/>
      <w:marTop w:val="0"/>
      <w:marBottom w:val="0"/>
      <w:divBdr>
        <w:top w:val="none" w:sz="0" w:space="0" w:color="auto"/>
        <w:left w:val="none" w:sz="0" w:space="0" w:color="auto"/>
        <w:bottom w:val="none" w:sz="0" w:space="0" w:color="auto"/>
        <w:right w:val="none" w:sz="0" w:space="0" w:color="auto"/>
      </w:divBdr>
    </w:div>
    <w:div w:id="342322312">
      <w:marLeft w:val="0"/>
      <w:marRight w:val="0"/>
      <w:marTop w:val="0"/>
      <w:marBottom w:val="0"/>
      <w:divBdr>
        <w:top w:val="none" w:sz="0" w:space="0" w:color="auto"/>
        <w:left w:val="none" w:sz="0" w:space="0" w:color="auto"/>
        <w:bottom w:val="none" w:sz="0" w:space="0" w:color="auto"/>
        <w:right w:val="none" w:sz="0" w:space="0" w:color="auto"/>
      </w:divBdr>
    </w:div>
    <w:div w:id="342322313">
      <w:marLeft w:val="0"/>
      <w:marRight w:val="0"/>
      <w:marTop w:val="0"/>
      <w:marBottom w:val="0"/>
      <w:divBdr>
        <w:top w:val="none" w:sz="0" w:space="0" w:color="auto"/>
        <w:left w:val="none" w:sz="0" w:space="0" w:color="auto"/>
        <w:bottom w:val="none" w:sz="0" w:space="0" w:color="auto"/>
        <w:right w:val="none" w:sz="0" w:space="0" w:color="auto"/>
      </w:divBdr>
    </w:div>
    <w:div w:id="571235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44"/>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supremecourt.uk/decided-cases/index.html"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B251F3824E8E4BABF966FB1FF33114" ma:contentTypeVersion="4" ma:contentTypeDescription="Create a new document." ma:contentTypeScope="" ma:versionID="34e0ca7b94d4cacc273154739476b6c7">
  <xsd:schema xmlns:xsd="http://www.w3.org/2001/XMLSchema" xmlns:xs="http://www.w3.org/2001/XMLSchema" xmlns:p="http://schemas.microsoft.com/office/2006/metadata/properties" xmlns:ns2="d1912800-d0d5-4897-aa13-fa15486e9ce2" targetNamespace="http://schemas.microsoft.com/office/2006/metadata/properties" ma:root="true" ma:fieldsID="2460a5e349f4dfc73fc5b4ebdcfd4041" ns2:_="">
    <xsd:import namespace="d1912800-d0d5-4897-aa13-fa15486e9ce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912800-d0d5-4897-aa13-fa15486e9c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AF4FC77-3F77-4437-A1C4-F6D1012098A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912800-d0d5-4897-aa13-fa15486e9c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D3705CA-591D-4FD8-857E-AD653F5F22FB}">
  <ds:schemaRefs>
    <ds:schemaRef ds:uri="http://schemas.openxmlformats.org/officeDocument/2006/bibliography"/>
  </ds:schemaRefs>
</ds:datastoreItem>
</file>

<file path=customXml/itemProps3.xml><?xml version="1.0" encoding="utf-8"?>
<ds:datastoreItem xmlns:ds="http://schemas.openxmlformats.org/officeDocument/2006/customXml" ds:itemID="{F912C3D3-BEAB-470A-A2B4-533206A17D29}">
  <ds:schemaRefs>
    <ds:schemaRef ds:uri="http://schemas.microsoft.com/sharepoint/v3/contenttype/forms"/>
  </ds:schemaRefs>
</ds:datastoreItem>
</file>

<file path=customXml/itemProps4.xml><?xml version="1.0" encoding="utf-8"?>
<ds:datastoreItem xmlns:ds="http://schemas.openxmlformats.org/officeDocument/2006/customXml" ds:itemID="{FF6D3FDC-4644-4381-BC7B-1BEC5B4AE04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1172</Words>
  <Characters>6682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R (on the application of DN (Rwanda)) (Appellant) v Secretary of State for the Home Department (Respondent)</vt:lpstr>
    </vt:vector>
  </TitlesOfParts>
  <Company>The Supreme Court (UKSC)</Company>
  <LinksUpToDate>false</LinksUpToDate>
  <CharactersWithSpaces>7839</CharactersWithSpaces>
  <SharedDoc>false</SharedDoc>
  <HLinks>
    <vt:vector size="6" baseType="variant">
      <vt:variant>
        <vt:i4>1114127</vt:i4>
      </vt:variant>
      <vt:variant>
        <vt:i4>0</vt:i4>
      </vt:variant>
      <vt:variant>
        <vt:i4>0</vt:i4>
      </vt:variant>
      <vt:variant>
        <vt:i4>5</vt:i4>
      </vt:variant>
      <vt:variant>
        <vt:lpwstr>https://supremecourt.uk/decided-cases/index.html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(on the application of DN (Rwanda)) (Appellant) v Secretary of State for the Home Department (Respondent)</dc:title>
  <dc:subject>Judgment handed down on Wednesday 26 February 2020</dc:subject>
  <dc:creator>The Supreme Court (UKSC)</dc:creator>
  <cp:keywords>[2018] EWCA Civ 273; UKSC 2018/0140; [2020] UKSC 7</cp:keywords>
  <dc:description/>
  <cp:lastModifiedBy>Jim</cp:lastModifiedBy>
  <cp:revision>2</cp:revision>
  <cp:lastPrinted>2020-02-25T09:41:00Z</cp:lastPrinted>
  <dcterms:created xsi:type="dcterms:W3CDTF">2023-04-05T18:11:00Z</dcterms:created>
  <dcterms:modified xsi:type="dcterms:W3CDTF">2023-04-05T18:11:00Z</dcterms:modified>
  <cp:category>Decided cases; Press Summary</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0x010100FCD651D83D5B3449A587CE720FD48807</vt:lpwstr>
  </property>
  <property fmtid="{D5CDD505-2E9C-101B-9397-08002B2CF9AE}" pid="3" name="CaseName">
    <vt:lpwstr>R (on the application of DN (Rwanda)) (Appellant) v Secretary of State for the Home Department (Respondent)</vt:lpwstr>
  </property>
  <property fmtid="{D5CDD505-2E9C-101B-9397-08002B2CF9AE}" pid="4" name="HandDownDate">
    <vt:lpwstr>26 February 2020</vt:lpwstr>
  </property>
  <property fmtid="{D5CDD505-2E9C-101B-9397-08002B2CF9AE}" pid="5" name="CaseID">
    <vt:lpwstr>UKSC 2018/0140</vt:lpwstr>
  </property>
  <property fmtid="{D5CDD505-2E9C-101B-9397-08002B2CF9AE}" pid="6" name="NeutralCitationNumber">
    <vt:lpwstr>[2020] UKSC 7</vt:lpwstr>
  </property>
</Properties>
</file>