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0179" w14:textId="3EAE43FE" w:rsidR="04EFF6E2" w:rsidRDefault="00E76958" w:rsidP="04EFF6E2">
      <w:pPr>
        <w:jc w:val="center"/>
      </w:pPr>
      <w:r>
        <w:rPr>
          <w:noProof/>
        </w:rPr>
        <w:drawing>
          <wp:inline distT="0" distB="0" distL="0" distR="0" wp14:anchorId="1988081B" wp14:editId="1096C272">
            <wp:extent cx="1066800" cy="142875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066800" cy="1428750"/>
                    </a:xfrm>
                    <a:prstGeom prst="rect">
                      <a:avLst/>
                    </a:prstGeom>
                  </pic:spPr>
                </pic:pic>
              </a:graphicData>
            </a:graphic>
          </wp:inline>
        </w:drawing>
      </w:r>
    </w:p>
    <w:p w14:paraId="472FDD07" w14:textId="4609C0C8" w:rsidR="5305DC81" w:rsidRDefault="001C0CF6" w:rsidP="5617A2E7">
      <w:pPr>
        <w:tabs>
          <w:tab w:val="left" w:pos="8285"/>
        </w:tabs>
        <w:spacing w:line="259" w:lineRule="auto"/>
        <w:jc w:val="right"/>
        <w:rPr>
          <w:rFonts w:ascii="Garamond" w:hAnsi="Garamond"/>
          <w:b/>
          <w:bCs/>
        </w:rPr>
      </w:pPr>
      <w:r>
        <w:rPr>
          <w:rFonts w:ascii="Garamond" w:hAnsi="Garamond"/>
          <w:b/>
          <w:bCs/>
        </w:rPr>
        <w:t>18 June</w:t>
      </w:r>
      <w:r w:rsidR="00000683">
        <w:rPr>
          <w:rFonts w:ascii="Garamond" w:hAnsi="Garamond"/>
          <w:b/>
          <w:bCs/>
        </w:rPr>
        <w:t xml:space="preserve"> 2021</w:t>
      </w:r>
    </w:p>
    <w:p w14:paraId="33BEDEC3" w14:textId="77777777" w:rsidR="00A16C02" w:rsidRPr="00A97444" w:rsidRDefault="00A16C02" w:rsidP="00A16C02">
      <w:pPr>
        <w:tabs>
          <w:tab w:val="left" w:pos="8285"/>
        </w:tabs>
        <w:jc w:val="center"/>
        <w:rPr>
          <w:rFonts w:ascii="Garamond" w:hAnsi="Garamond"/>
          <w:b/>
        </w:rPr>
      </w:pPr>
      <w:r w:rsidRPr="00A97444">
        <w:rPr>
          <w:rFonts w:ascii="Garamond" w:hAnsi="Garamond"/>
          <w:b/>
        </w:rPr>
        <w:t>PRESS SUMMARY</w:t>
      </w:r>
    </w:p>
    <w:p w14:paraId="0A37501D" w14:textId="77777777" w:rsidR="00A16C02" w:rsidRPr="00A97444" w:rsidRDefault="00A16C02" w:rsidP="00A16C02">
      <w:pPr>
        <w:tabs>
          <w:tab w:val="left" w:pos="8285"/>
        </w:tabs>
        <w:rPr>
          <w:rFonts w:ascii="Garamond" w:hAnsi="Garamond"/>
          <w:b/>
        </w:rPr>
      </w:pPr>
    </w:p>
    <w:p w14:paraId="72B82D79" w14:textId="77777777" w:rsidR="00F81A4D" w:rsidRDefault="00000683" w:rsidP="04EFF6E2">
      <w:pPr>
        <w:tabs>
          <w:tab w:val="left" w:pos="8285"/>
        </w:tabs>
        <w:rPr>
          <w:rFonts w:ascii="Garamond" w:hAnsi="Garamond"/>
          <w:b/>
          <w:bCs/>
        </w:rPr>
      </w:pPr>
      <w:r>
        <w:rPr>
          <w:rFonts w:ascii="Garamond" w:hAnsi="Garamond"/>
          <w:b/>
          <w:bCs/>
        </w:rPr>
        <w:t xml:space="preserve">Khan </w:t>
      </w:r>
      <w:r w:rsidR="00CC0E89" w:rsidRPr="5617A2E7">
        <w:rPr>
          <w:rFonts w:ascii="Garamond" w:hAnsi="Garamond"/>
          <w:b/>
          <w:bCs/>
        </w:rPr>
        <w:t>(</w:t>
      </w:r>
      <w:r w:rsidR="00A15E01">
        <w:rPr>
          <w:rFonts w:ascii="Garamond" w:hAnsi="Garamond"/>
          <w:b/>
          <w:bCs/>
        </w:rPr>
        <w:t>Respondent</w:t>
      </w:r>
      <w:r w:rsidR="00A16C02" w:rsidRPr="5617A2E7">
        <w:rPr>
          <w:rFonts w:ascii="Garamond" w:hAnsi="Garamond"/>
          <w:b/>
          <w:bCs/>
        </w:rPr>
        <w:t xml:space="preserve">) v </w:t>
      </w:r>
      <w:r>
        <w:rPr>
          <w:rFonts w:ascii="Garamond" w:hAnsi="Garamond"/>
          <w:b/>
          <w:bCs/>
        </w:rPr>
        <w:t xml:space="preserve">Meadows </w:t>
      </w:r>
      <w:r w:rsidR="00AB48FE" w:rsidRPr="5617A2E7">
        <w:rPr>
          <w:rFonts w:ascii="Garamond" w:hAnsi="Garamond"/>
          <w:b/>
          <w:bCs/>
        </w:rPr>
        <w:t>(</w:t>
      </w:r>
      <w:r w:rsidR="00A15E01">
        <w:rPr>
          <w:rFonts w:ascii="Garamond" w:hAnsi="Garamond"/>
          <w:b/>
          <w:bCs/>
        </w:rPr>
        <w:t>Appellant</w:t>
      </w:r>
      <w:r w:rsidR="00AB48FE" w:rsidRPr="5617A2E7">
        <w:rPr>
          <w:rFonts w:ascii="Garamond" w:hAnsi="Garamond"/>
          <w:b/>
          <w:bCs/>
        </w:rPr>
        <w:t>)</w:t>
      </w:r>
    </w:p>
    <w:p w14:paraId="5E3BD515" w14:textId="6CDCEE8B" w:rsidR="00A16C02" w:rsidRPr="00A97444" w:rsidRDefault="00AB48FE" w:rsidP="04EFF6E2">
      <w:pPr>
        <w:tabs>
          <w:tab w:val="left" w:pos="8285"/>
        </w:tabs>
        <w:rPr>
          <w:rFonts w:ascii="Garamond" w:hAnsi="Garamond"/>
          <w:b/>
          <w:bCs/>
        </w:rPr>
      </w:pPr>
      <w:r w:rsidRPr="5617A2E7">
        <w:rPr>
          <w:rFonts w:ascii="Garamond" w:hAnsi="Garamond"/>
          <w:b/>
          <w:bCs/>
        </w:rPr>
        <w:t>[20</w:t>
      </w:r>
      <w:r w:rsidR="712C3B93" w:rsidRPr="5617A2E7">
        <w:rPr>
          <w:rFonts w:ascii="Garamond" w:hAnsi="Garamond"/>
          <w:b/>
          <w:bCs/>
        </w:rPr>
        <w:t>21</w:t>
      </w:r>
      <w:r w:rsidR="00A16C02" w:rsidRPr="5617A2E7">
        <w:rPr>
          <w:rFonts w:ascii="Garamond" w:hAnsi="Garamond"/>
          <w:b/>
          <w:bCs/>
        </w:rPr>
        <w:t>] UKSC</w:t>
      </w:r>
      <w:r w:rsidR="75EC9DC1" w:rsidRPr="5617A2E7">
        <w:rPr>
          <w:rFonts w:ascii="Garamond" w:hAnsi="Garamond"/>
          <w:b/>
          <w:bCs/>
        </w:rPr>
        <w:t xml:space="preserve"> </w:t>
      </w:r>
      <w:r w:rsidR="00000683">
        <w:rPr>
          <w:rFonts w:ascii="Garamond" w:hAnsi="Garamond"/>
          <w:b/>
          <w:bCs/>
        </w:rPr>
        <w:t>21</w:t>
      </w:r>
    </w:p>
    <w:p w14:paraId="5DAB6C7B" w14:textId="7F72579E" w:rsidR="00A16C02" w:rsidRDefault="001C06D4" w:rsidP="5617A2E7">
      <w:pPr>
        <w:tabs>
          <w:tab w:val="left" w:pos="8285"/>
        </w:tabs>
        <w:rPr>
          <w:b/>
          <w:bCs/>
          <w:i/>
          <w:iCs/>
        </w:rPr>
      </w:pPr>
      <w:r w:rsidRPr="5617A2E7">
        <w:rPr>
          <w:rFonts w:ascii="Garamond" w:hAnsi="Garamond"/>
          <w:b/>
          <w:bCs/>
          <w:i/>
          <w:iCs/>
        </w:rPr>
        <w:t>On appeal from</w:t>
      </w:r>
      <w:r w:rsidR="000E5194">
        <w:rPr>
          <w:rFonts w:ascii="Garamond" w:hAnsi="Garamond"/>
          <w:b/>
          <w:bCs/>
          <w:i/>
          <w:iCs/>
        </w:rPr>
        <w:t xml:space="preserve"> </w:t>
      </w:r>
      <w:r w:rsidR="00D27E30">
        <w:rPr>
          <w:rFonts w:ascii="Garamond" w:hAnsi="Garamond"/>
          <w:b/>
          <w:bCs/>
          <w:i/>
          <w:iCs/>
        </w:rPr>
        <w:t xml:space="preserve">[2019] EWCA </w:t>
      </w:r>
      <w:proofErr w:type="spellStart"/>
      <w:r w:rsidR="00D27E30">
        <w:rPr>
          <w:rFonts w:ascii="Garamond" w:hAnsi="Garamond"/>
          <w:b/>
          <w:bCs/>
          <w:i/>
          <w:iCs/>
        </w:rPr>
        <w:t>Civ</w:t>
      </w:r>
      <w:proofErr w:type="spellEnd"/>
      <w:r w:rsidR="00D27E30">
        <w:rPr>
          <w:rFonts w:ascii="Garamond" w:hAnsi="Garamond"/>
          <w:b/>
          <w:bCs/>
          <w:i/>
          <w:iCs/>
        </w:rPr>
        <w:t xml:space="preserve"> 152</w:t>
      </w:r>
    </w:p>
    <w:p w14:paraId="02EB378F" w14:textId="77777777" w:rsidR="002E340D" w:rsidRDefault="002E340D" w:rsidP="00A16C02">
      <w:pPr>
        <w:tabs>
          <w:tab w:val="left" w:pos="8285"/>
        </w:tabs>
        <w:rPr>
          <w:rFonts w:ascii="Garamond" w:hAnsi="Garamond"/>
        </w:rPr>
      </w:pPr>
    </w:p>
    <w:p w14:paraId="52909A17" w14:textId="32F7E901" w:rsidR="00A16C02" w:rsidRDefault="00A16C02" w:rsidP="00A16C02">
      <w:pPr>
        <w:tabs>
          <w:tab w:val="left" w:pos="8285"/>
        </w:tabs>
        <w:rPr>
          <w:rFonts w:ascii="Garamond" w:hAnsi="Garamond"/>
        </w:rPr>
      </w:pPr>
      <w:r w:rsidRPr="5617A2E7">
        <w:rPr>
          <w:rFonts w:ascii="Garamond" w:hAnsi="Garamond"/>
          <w:b/>
          <w:bCs/>
        </w:rPr>
        <w:t>JUSTICES</w:t>
      </w:r>
      <w:r w:rsidRPr="5617A2E7">
        <w:rPr>
          <w:rFonts w:ascii="Garamond" w:hAnsi="Garamond"/>
        </w:rPr>
        <w:t xml:space="preserve">: </w:t>
      </w:r>
      <w:r w:rsidR="00D15180">
        <w:rPr>
          <w:rFonts w:ascii="Garamond" w:hAnsi="Garamond"/>
        </w:rPr>
        <w:t>Lord Reed</w:t>
      </w:r>
      <w:r w:rsidR="000F2F42">
        <w:rPr>
          <w:rFonts w:ascii="Garamond" w:hAnsi="Garamond"/>
        </w:rPr>
        <w:t xml:space="preserve"> (President)</w:t>
      </w:r>
      <w:r w:rsidR="00D15180">
        <w:rPr>
          <w:rFonts w:ascii="Garamond" w:hAnsi="Garamond"/>
        </w:rPr>
        <w:t>, Lord Hodge</w:t>
      </w:r>
      <w:r w:rsidR="000F2F42">
        <w:rPr>
          <w:rFonts w:ascii="Garamond" w:hAnsi="Garamond"/>
        </w:rPr>
        <w:t xml:space="preserve"> (Deputy President)</w:t>
      </w:r>
      <w:r w:rsidR="00D15180">
        <w:rPr>
          <w:rFonts w:ascii="Garamond" w:hAnsi="Garamond"/>
        </w:rPr>
        <w:t>, Lady Black, Lord Kitchin,</w:t>
      </w:r>
      <w:r w:rsidR="00F81A4D">
        <w:rPr>
          <w:rFonts w:ascii="Garamond" w:hAnsi="Garamond"/>
        </w:rPr>
        <w:br/>
      </w:r>
      <w:r w:rsidR="00D15180">
        <w:rPr>
          <w:rFonts w:ascii="Garamond" w:hAnsi="Garamond"/>
        </w:rPr>
        <w:t>Lord Sales, Lord Leggatt, Lord Burrows</w:t>
      </w:r>
    </w:p>
    <w:p w14:paraId="5A39BBE3" w14:textId="77777777" w:rsidR="00937F9E" w:rsidRDefault="00937F9E" w:rsidP="00A16C02">
      <w:pPr>
        <w:tabs>
          <w:tab w:val="left" w:pos="8285"/>
        </w:tabs>
        <w:rPr>
          <w:rFonts w:ascii="Garamond" w:hAnsi="Garamond"/>
          <w:b/>
        </w:rPr>
      </w:pPr>
    </w:p>
    <w:p w14:paraId="626B194A" w14:textId="39A46668" w:rsidR="00A16C02" w:rsidRDefault="00A16C02" w:rsidP="00A16C02">
      <w:pPr>
        <w:tabs>
          <w:tab w:val="left" w:pos="8285"/>
        </w:tabs>
        <w:rPr>
          <w:rFonts w:ascii="Garamond" w:hAnsi="Garamond"/>
          <w:b/>
        </w:rPr>
      </w:pPr>
      <w:r w:rsidRPr="00A97444">
        <w:rPr>
          <w:rFonts w:ascii="Garamond" w:hAnsi="Garamond"/>
          <w:b/>
        </w:rPr>
        <w:t>BACKGROUND TO THE APPEAL</w:t>
      </w:r>
    </w:p>
    <w:p w14:paraId="72F96B7C" w14:textId="659D6DBA" w:rsidR="007307BC" w:rsidRDefault="007307BC" w:rsidP="00A16C02">
      <w:pPr>
        <w:tabs>
          <w:tab w:val="left" w:pos="8285"/>
        </w:tabs>
        <w:rPr>
          <w:rFonts w:ascii="Garamond" w:hAnsi="Garamond"/>
          <w:b/>
        </w:rPr>
      </w:pPr>
    </w:p>
    <w:p w14:paraId="0003AA57" w14:textId="7B736BD8" w:rsidR="00543221" w:rsidRDefault="00635331" w:rsidP="00947E07">
      <w:pPr>
        <w:tabs>
          <w:tab w:val="left" w:pos="8285"/>
        </w:tabs>
        <w:jc w:val="both"/>
        <w:rPr>
          <w:rFonts w:ascii="Garamond" w:hAnsi="Garamond"/>
        </w:rPr>
      </w:pPr>
      <w:r>
        <w:rPr>
          <w:rFonts w:ascii="Garamond" w:hAnsi="Garamond"/>
          <w:bCs/>
        </w:rPr>
        <w:t xml:space="preserve">This appeal concerns </w:t>
      </w:r>
      <w:r w:rsidR="003C49AF" w:rsidRPr="0029072E">
        <w:rPr>
          <w:rFonts w:ascii="Garamond" w:hAnsi="Garamond"/>
          <w:bCs/>
        </w:rPr>
        <w:t>whether</w:t>
      </w:r>
      <w:r w:rsidR="001A6CB8">
        <w:rPr>
          <w:rFonts w:ascii="Garamond" w:hAnsi="Garamond"/>
          <w:bCs/>
        </w:rPr>
        <w:t>,</w:t>
      </w:r>
      <w:r w:rsidR="003C49AF" w:rsidRPr="0029072E">
        <w:rPr>
          <w:rFonts w:ascii="Garamond" w:hAnsi="Garamond"/>
          <w:bCs/>
        </w:rPr>
        <w:t xml:space="preserve"> in the context of a claim for clinical negligence</w:t>
      </w:r>
      <w:r w:rsidR="001A6CB8">
        <w:rPr>
          <w:rFonts w:ascii="Garamond" w:hAnsi="Garamond"/>
          <w:bCs/>
        </w:rPr>
        <w:t>,</w:t>
      </w:r>
      <w:r w:rsidR="00B4298A">
        <w:rPr>
          <w:rFonts w:ascii="Garamond" w:hAnsi="Garamond"/>
          <w:bCs/>
        </w:rPr>
        <w:t xml:space="preserve"> the </w:t>
      </w:r>
      <w:r w:rsidR="00DB7169">
        <w:rPr>
          <w:rFonts w:ascii="Garamond" w:hAnsi="Garamond"/>
          <w:bCs/>
        </w:rPr>
        <w:t>C</w:t>
      </w:r>
      <w:r w:rsidR="00B4298A">
        <w:rPr>
          <w:rFonts w:ascii="Garamond" w:hAnsi="Garamond"/>
          <w:bCs/>
        </w:rPr>
        <w:t xml:space="preserve">ourt should follow the approach to ascertaining the scope of a defendant’s duty of care laid down in </w:t>
      </w:r>
      <w:r w:rsidR="00E23426" w:rsidRPr="00E23426">
        <w:rPr>
          <w:rFonts w:ascii="Garamond" w:hAnsi="Garamond"/>
          <w:bCs/>
          <w:i/>
          <w:iCs/>
        </w:rPr>
        <w:t xml:space="preserve">South Australia Asset Management </w:t>
      </w:r>
      <w:proofErr w:type="spellStart"/>
      <w:r w:rsidR="00E23426" w:rsidRPr="00E23426">
        <w:rPr>
          <w:rFonts w:ascii="Garamond" w:hAnsi="Garamond"/>
          <w:bCs/>
          <w:i/>
          <w:iCs/>
        </w:rPr>
        <w:t>Corpn</w:t>
      </w:r>
      <w:proofErr w:type="spellEnd"/>
      <w:r w:rsidR="00E23426" w:rsidRPr="00E23426">
        <w:rPr>
          <w:rFonts w:ascii="Garamond" w:hAnsi="Garamond"/>
          <w:bCs/>
          <w:i/>
          <w:iCs/>
        </w:rPr>
        <w:t xml:space="preserve"> v York Montague Ltd</w:t>
      </w:r>
      <w:r w:rsidR="00E23426" w:rsidRPr="00E23426">
        <w:rPr>
          <w:rFonts w:ascii="Garamond" w:hAnsi="Garamond"/>
          <w:bCs/>
        </w:rPr>
        <w:t xml:space="preserve"> [1997] AC 191 (“</w:t>
      </w:r>
      <w:r w:rsidR="00E23426" w:rsidRPr="002A3DAF">
        <w:rPr>
          <w:rFonts w:ascii="Garamond" w:hAnsi="Garamond"/>
          <w:b/>
          <w:i/>
          <w:iCs/>
        </w:rPr>
        <w:t>SAAMCO</w:t>
      </w:r>
      <w:r w:rsidR="00E23426">
        <w:rPr>
          <w:rFonts w:ascii="Garamond" w:hAnsi="Garamond"/>
          <w:bCs/>
        </w:rPr>
        <w:t>”)</w:t>
      </w:r>
      <w:r w:rsidR="0093335A">
        <w:rPr>
          <w:rFonts w:ascii="Garamond" w:hAnsi="Garamond"/>
          <w:bCs/>
        </w:rPr>
        <w:t xml:space="preserve"> and</w:t>
      </w:r>
      <w:r w:rsidR="003D007E">
        <w:rPr>
          <w:rFonts w:ascii="Garamond" w:hAnsi="Garamond"/>
          <w:bCs/>
        </w:rPr>
        <w:t>,</w:t>
      </w:r>
      <w:r w:rsidR="0093335A">
        <w:rPr>
          <w:rFonts w:ascii="Garamond" w:hAnsi="Garamond"/>
          <w:bCs/>
        </w:rPr>
        <w:t xml:space="preserve"> if it should</w:t>
      </w:r>
      <w:r w:rsidR="003D007E">
        <w:rPr>
          <w:rFonts w:ascii="Garamond" w:hAnsi="Garamond"/>
          <w:bCs/>
        </w:rPr>
        <w:t xml:space="preserve">, </w:t>
      </w:r>
      <w:r w:rsidR="0093335A">
        <w:rPr>
          <w:rFonts w:ascii="Garamond" w:hAnsi="Garamond"/>
          <w:bCs/>
        </w:rPr>
        <w:t xml:space="preserve">how that approach is to be applied. It is one of two appeals heard by the same panel of seven justices </w:t>
      </w:r>
      <w:r w:rsidR="00D65ED8">
        <w:rPr>
          <w:rFonts w:ascii="Garamond" w:hAnsi="Garamond"/>
          <w:bCs/>
        </w:rPr>
        <w:t>examining the</w:t>
      </w:r>
      <w:r w:rsidR="0093335A">
        <w:rPr>
          <w:rFonts w:ascii="Garamond" w:hAnsi="Garamond"/>
          <w:bCs/>
        </w:rPr>
        <w:t xml:space="preserve"> application </w:t>
      </w:r>
      <w:r w:rsidR="00C33725">
        <w:rPr>
          <w:rFonts w:ascii="Garamond" w:hAnsi="Garamond"/>
          <w:bCs/>
        </w:rPr>
        <w:t xml:space="preserve">of </w:t>
      </w:r>
      <w:r w:rsidR="00C33725" w:rsidRPr="002A3DAF">
        <w:rPr>
          <w:rFonts w:ascii="Garamond" w:hAnsi="Garamond"/>
          <w:bCs/>
          <w:i/>
          <w:iCs/>
        </w:rPr>
        <w:t>SAAMCO</w:t>
      </w:r>
      <w:r w:rsidR="00C33725">
        <w:rPr>
          <w:rFonts w:ascii="Garamond" w:hAnsi="Garamond"/>
          <w:bCs/>
        </w:rPr>
        <w:t xml:space="preserve"> in different field</w:t>
      </w:r>
      <w:r w:rsidR="0070247C">
        <w:rPr>
          <w:rFonts w:ascii="Garamond" w:hAnsi="Garamond"/>
          <w:bCs/>
        </w:rPr>
        <w:t>s</w:t>
      </w:r>
      <w:r w:rsidR="00F14102">
        <w:rPr>
          <w:rFonts w:ascii="Garamond" w:hAnsi="Garamond"/>
          <w:bCs/>
        </w:rPr>
        <w:t>. It is being handed down and should be read toge</w:t>
      </w:r>
      <w:r w:rsidR="002F6ADC">
        <w:rPr>
          <w:rFonts w:ascii="Garamond" w:hAnsi="Garamond"/>
          <w:bCs/>
        </w:rPr>
        <w:t xml:space="preserve">ther with the </w:t>
      </w:r>
      <w:r w:rsidR="00AE51C8">
        <w:rPr>
          <w:rFonts w:ascii="Garamond" w:hAnsi="Garamond"/>
          <w:bCs/>
        </w:rPr>
        <w:t>C</w:t>
      </w:r>
      <w:r w:rsidR="002F6ADC">
        <w:rPr>
          <w:rFonts w:ascii="Garamond" w:hAnsi="Garamond"/>
          <w:bCs/>
        </w:rPr>
        <w:t>ourt’s judgment</w:t>
      </w:r>
      <w:r w:rsidR="00566D6A">
        <w:rPr>
          <w:rFonts w:ascii="Garamond" w:hAnsi="Garamond"/>
          <w:bCs/>
        </w:rPr>
        <w:t xml:space="preserve"> </w:t>
      </w:r>
      <w:r w:rsidR="002F6ADC">
        <w:rPr>
          <w:rFonts w:ascii="Garamond" w:hAnsi="Garamond"/>
          <w:bCs/>
        </w:rPr>
        <w:t>in</w:t>
      </w:r>
      <w:r w:rsidR="00566D6A">
        <w:rPr>
          <w:rFonts w:ascii="Garamond" w:hAnsi="Garamond"/>
          <w:bCs/>
        </w:rPr>
        <w:t xml:space="preserve"> </w:t>
      </w:r>
      <w:r w:rsidR="00CD16E3" w:rsidRPr="00CD16E3">
        <w:rPr>
          <w:rFonts w:ascii="Garamond" w:hAnsi="Garamond"/>
          <w:i/>
          <w:iCs/>
        </w:rPr>
        <w:t>Manchester Building Society v Grant Thornton UK LLP</w:t>
      </w:r>
      <w:r w:rsidR="00CD16E3" w:rsidRPr="00CD16E3">
        <w:rPr>
          <w:rFonts w:ascii="Garamond" w:hAnsi="Garamond"/>
        </w:rPr>
        <w:t xml:space="preserve"> [2021] UKSC 20</w:t>
      </w:r>
      <w:r w:rsidR="00CD16E3">
        <w:rPr>
          <w:rFonts w:ascii="Garamond" w:hAnsi="Garamond"/>
        </w:rPr>
        <w:t>.</w:t>
      </w:r>
    </w:p>
    <w:p w14:paraId="098A4EF2" w14:textId="1A034F44" w:rsidR="004304E8" w:rsidRDefault="004304E8" w:rsidP="00CD16E3">
      <w:pPr>
        <w:tabs>
          <w:tab w:val="left" w:pos="8285"/>
        </w:tabs>
        <w:jc w:val="both"/>
        <w:rPr>
          <w:rFonts w:ascii="Garamond" w:hAnsi="Garamond"/>
        </w:rPr>
      </w:pPr>
    </w:p>
    <w:p w14:paraId="13A458A7" w14:textId="51A1EABE" w:rsidR="0055709E" w:rsidRDefault="00160943" w:rsidP="004A12FA">
      <w:pPr>
        <w:tabs>
          <w:tab w:val="left" w:pos="8285"/>
        </w:tabs>
        <w:jc w:val="both"/>
        <w:rPr>
          <w:rFonts w:ascii="Garamond" w:hAnsi="Garamond"/>
        </w:rPr>
      </w:pPr>
      <w:r>
        <w:rPr>
          <w:rFonts w:ascii="Garamond" w:hAnsi="Garamond"/>
        </w:rPr>
        <w:t xml:space="preserve">In 2006, </w:t>
      </w:r>
      <w:r w:rsidR="008C13B7">
        <w:rPr>
          <w:rFonts w:ascii="Garamond" w:hAnsi="Garamond"/>
        </w:rPr>
        <w:t>the appellant, Ms Meadows</w:t>
      </w:r>
      <w:r w:rsidR="008770E2">
        <w:rPr>
          <w:rFonts w:ascii="Garamond" w:hAnsi="Garamond"/>
        </w:rPr>
        <w:t>,</w:t>
      </w:r>
      <w:r w:rsidR="008C13B7">
        <w:rPr>
          <w:rFonts w:ascii="Garamond" w:hAnsi="Garamond"/>
        </w:rPr>
        <w:t xml:space="preserve"> </w:t>
      </w:r>
      <w:r w:rsidR="004959CB">
        <w:rPr>
          <w:rFonts w:ascii="Garamond" w:hAnsi="Garamond"/>
        </w:rPr>
        <w:t>consulted her GP</w:t>
      </w:r>
      <w:r w:rsidR="004E175B">
        <w:rPr>
          <w:rFonts w:ascii="Garamond" w:hAnsi="Garamond"/>
        </w:rPr>
        <w:t xml:space="preserve"> </w:t>
      </w:r>
      <w:r w:rsidR="00516B18">
        <w:rPr>
          <w:rFonts w:ascii="Garamond" w:hAnsi="Garamond"/>
        </w:rPr>
        <w:t xml:space="preserve">practice </w:t>
      </w:r>
      <w:r w:rsidR="004E175B">
        <w:rPr>
          <w:rFonts w:ascii="Garamond" w:hAnsi="Garamond"/>
        </w:rPr>
        <w:t xml:space="preserve">to establish whether she was a carrier of the </w:t>
      </w:r>
      <w:r w:rsidR="0015132D">
        <w:rPr>
          <w:rFonts w:ascii="Garamond" w:hAnsi="Garamond"/>
        </w:rPr>
        <w:t xml:space="preserve">haemophilia </w:t>
      </w:r>
      <w:r w:rsidR="004E175B">
        <w:rPr>
          <w:rFonts w:ascii="Garamond" w:hAnsi="Garamond"/>
        </w:rPr>
        <w:t>gene. Following</w:t>
      </w:r>
      <w:r w:rsidR="0086620D">
        <w:rPr>
          <w:rFonts w:ascii="Garamond" w:hAnsi="Garamond"/>
        </w:rPr>
        <w:t xml:space="preserve"> blood</w:t>
      </w:r>
      <w:r w:rsidR="004E175B">
        <w:rPr>
          <w:rFonts w:ascii="Garamond" w:hAnsi="Garamond"/>
        </w:rPr>
        <w:t xml:space="preserve"> </w:t>
      </w:r>
      <w:r w:rsidR="004959CB">
        <w:rPr>
          <w:rFonts w:ascii="Garamond" w:hAnsi="Garamond"/>
        </w:rPr>
        <w:t>tests, she was negligently led to believe by the respondent, Dr Khan</w:t>
      </w:r>
      <w:r w:rsidR="00F66FEF">
        <w:rPr>
          <w:rFonts w:ascii="Garamond" w:hAnsi="Garamond"/>
        </w:rPr>
        <w:t>,</w:t>
      </w:r>
      <w:r w:rsidR="004959CB">
        <w:rPr>
          <w:rFonts w:ascii="Garamond" w:hAnsi="Garamond"/>
        </w:rPr>
        <w:t xml:space="preserve"> that</w:t>
      </w:r>
      <w:r w:rsidR="00330185">
        <w:rPr>
          <w:rFonts w:ascii="Garamond" w:hAnsi="Garamond"/>
        </w:rPr>
        <w:t xml:space="preserve"> </w:t>
      </w:r>
      <w:r w:rsidR="002E789A">
        <w:rPr>
          <w:rFonts w:ascii="Garamond" w:hAnsi="Garamond"/>
        </w:rPr>
        <w:t>she was not a carrier</w:t>
      </w:r>
      <w:r w:rsidR="006D07AE">
        <w:rPr>
          <w:rFonts w:ascii="Garamond" w:hAnsi="Garamond"/>
        </w:rPr>
        <w:t>.</w:t>
      </w:r>
      <w:r w:rsidR="00505336">
        <w:rPr>
          <w:rFonts w:ascii="Garamond" w:hAnsi="Garamond"/>
        </w:rPr>
        <w:t xml:space="preserve"> In fact, the tests </w:t>
      </w:r>
      <w:r w:rsidR="002D2326">
        <w:rPr>
          <w:rFonts w:ascii="Garamond" w:hAnsi="Garamond"/>
        </w:rPr>
        <w:t>only confirmed that</w:t>
      </w:r>
      <w:r w:rsidR="0086620D">
        <w:rPr>
          <w:rFonts w:ascii="Garamond" w:hAnsi="Garamond"/>
        </w:rPr>
        <w:t xml:space="preserve"> she did not herself have haemophilia.</w:t>
      </w:r>
      <w:r w:rsidR="00330185">
        <w:rPr>
          <w:rFonts w:ascii="Garamond" w:hAnsi="Garamond"/>
        </w:rPr>
        <w:t xml:space="preserve"> </w:t>
      </w:r>
      <w:r w:rsidR="00926A8C">
        <w:rPr>
          <w:rFonts w:ascii="Garamond" w:hAnsi="Garamond"/>
        </w:rPr>
        <w:t xml:space="preserve">In 2010, </w:t>
      </w:r>
      <w:r w:rsidR="00330185">
        <w:rPr>
          <w:rFonts w:ascii="Garamond" w:hAnsi="Garamond"/>
        </w:rPr>
        <w:t>Ms Meadows became pregnant with her son</w:t>
      </w:r>
      <w:r w:rsidR="00B244B1">
        <w:rPr>
          <w:rFonts w:ascii="Garamond" w:hAnsi="Garamond"/>
        </w:rPr>
        <w:t xml:space="preserve">, </w:t>
      </w:r>
      <w:r w:rsidR="00C966E4" w:rsidRPr="00C966E4">
        <w:rPr>
          <w:rFonts w:ascii="Garamond" w:hAnsi="Garamond"/>
        </w:rPr>
        <w:t>Adejuwon</w:t>
      </w:r>
      <w:r w:rsidR="00C966E4">
        <w:rPr>
          <w:rFonts w:ascii="Garamond" w:hAnsi="Garamond"/>
        </w:rPr>
        <w:t>.</w:t>
      </w:r>
      <w:r w:rsidR="00330185">
        <w:rPr>
          <w:rFonts w:ascii="Garamond" w:hAnsi="Garamond"/>
        </w:rPr>
        <w:t xml:space="preserve"> Shortly after his birth </w:t>
      </w:r>
      <w:r w:rsidR="00646B75">
        <w:rPr>
          <w:rFonts w:ascii="Garamond" w:hAnsi="Garamond"/>
        </w:rPr>
        <w:t>Adejuwon</w:t>
      </w:r>
      <w:r w:rsidR="00330185">
        <w:rPr>
          <w:rFonts w:ascii="Garamond" w:hAnsi="Garamond"/>
        </w:rPr>
        <w:t xml:space="preserve"> was diagnosed as having haemophilia. Subsequent genetic testing </w:t>
      </w:r>
      <w:r w:rsidR="007B5F75">
        <w:rPr>
          <w:rFonts w:ascii="Garamond" w:hAnsi="Garamond"/>
        </w:rPr>
        <w:t>confirmed</w:t>
      </w:r>
      <w:r w:rsidR="00330185">
        <w:rPr>
          <w:rFonts w:ascii="Garamond" w:hAnsi="Garamond"/>
        </w:rPr>
        <w:t xml:space="preserve"> Ms Meadows was a carrier of the gene</w:t>
      </w:r>
      <w:r w:rsidR="00BB4896">
        <w:rPr>
          <w:rFonts w:ascii="Garamond" w:hAnsi="Garamond"/>
        </w:rPr>
        <w:t xml:space="preserve">. </w:t>
      </w:r>
      <w:r w:rsidR="00BB4896" w:rsidRPr="00BB4896">
        <w:rPr>
          <w:rFonts w:ascii="Garamond" w:hAnsi="Garamond"/>
        </w:rPr>
        <w:t xml:space="preserve">Had Ms Meadows known that she </w:t>
      </w:r>
      <w:r w:rsidR="002F4DEF">
        <w:rPr>
          <w:rFonts w:ascii="Garamond" w:hAnsi="Garamond"/>
        </w:rPr>
        <w:t>was a carrier</w:t>
      </w:r>
      <w:r w:rsidR="00BB4896" w:rsidRPr="00BB4896">
        <w:rPr>
          <w:rFonts w:ascii="Garamond" w:hAnsi="Garamond"/>
        </w:rPr>
        <w:t xml:space="preserve">, she would have undergone foetal testing for haemophilia when she was pregnant. This would have revealed the foetus was affected. Ms Meadows would then have chosen to terminate her pregnancy, and her </w:t>
      </w:r>
      <w:r w:rsidR="00646B75">
        <w:rPr>
          <w:rFonts w:ascii="Garamond" w:hAnsi="Garamond"/>
        </w:rPr>
        <w:t>son</w:t>
      </w:r>
      <w:r w:rsidR="00BB4896" w:rsidRPr="00BB4896">
        <w:rPr>
          <w:rFonts w:ascii="Garamond" w:hAnsi="Garamond"/>
        </w:rPr>
        <w:t xml:space="preserve"> would not have been born.</w:t>
      </w:r>
      <w:r w:rsidR="00892CAA">
        <w:rPr>
          <w:rFonts w:ascii="Garamond" w:hAnsi="Garamond"/>
        </w:rPr>
        <w:t xml:space="preserve"> </w:t>
      </w:r>
    </w:p>
    <w:p w14:paraId="7A6CA6B9" w14:textId="77777777" w:rsidR="0055709E" w:rsidRDefault="0055709E" w:rsidP="004A12FA">
      <w:pPr>
        <w:tabs>
          <w:tab w:val="left" w:pos="8285"/>
        </w:tabs>
        <w:jc w:val="both"/>
        <w:rPr>
          <w:rFonts w:ascii="Garamond" w:hAnsi="Garamond"/>
        </w:rPr>
      </w:pPr>
    </w:p>
    <w:p w14:paraId="180A81D2" w14:textId="68170191" w:rsidR="00104A30" w:rsidRDefault="00A7738E" w:rsidP="00FF5F4C">
      <w:pPr>
        <w:tabs>
          <w:tab w:val="left" w:pos="8285"/>
        </w:tabs>
        <w:jc w:val="both"/>
        <w:rPr>
          <w:rFonts w:ascii="Garamond" w:hAnsi="Garamond"/>
          <w:bCs/>
        </w:rPr>
      </w:pPr>
      <w:r>
        <w:rPr>
          <w:rFonts w:ascii="Garamond" w:hAnsi="Garamond"/>
        </w:rPr>
        <w:t xml:space="preserve">It </w:t>
      </w:r>
      <w:r w:rsidR="001538C2">
        <w:rPr>
          <w:rFonts w:ascii="Garamond" w:hAnsi="Garamond"/>
        </w:rPr>
        <w:t>is</w:t>
      </w:r>
      <w:r>
        <w:rPr>
          <w:rFonts w:ascii="Garamond" w:hAnsi="Garamond"/>
        </w:rPr>
        <w:t xml:space="preserve"> not in dispute </w:t>
      </w:r>
      <w:r w:rsidR="000A30B5">
        <w:rPr>
          <w:rFonts w:ascii="Garamond" w:hAnsi="Garamond"/>
        </w:rPr>
        <w:t>that Dr Khan is liable in negligence for the costs of brin</w:t>
      </w:r>
      <w:r w:rsidR="00AE7755">
        <w:rPr>
          <w:rFonts w:ascii="Garamond" w:hAnsi="Garamond"/>
        </w:rPr>
        <w:t>g</w:t>
      </w:r>
      <w:r w:rsidR="000A30B5">
        <w:rPr>
          <w:rFonts w:ascii="Garamond" w:hAnsi="Garamond"/>
        </w:rPr>
        <w:t xml:space="preserve">ing up Adejuwon attributable to his haemophilia. </w:t>
      </w:r>
      <w:r w:rsidR="00892CAA">
        <w:rPr>
          <w:rFonts w:ascii="Garamond" w:hAnsi="Garamond"/>
        </w:rPr>
        <w:t>The dispute between</w:t>
      </w:r>
      <w:r w:rsidR="00AE7755">
        <w:rPr>
          <w:rFonts w:ascii="Garamond" w:hAnsi="Garamond"/>
        </w:rPr>
        <w:t xml:space="preserve"> the parties </w:t>
      </w:r>
      <w:r w:rsidR="004C3845">
        <w:rPr>
          <w:rFonts w:ascii="Garamond" w:hAnsi="Garamond"/>
        </w:rPr>
        <w:t>ar</w:t>
      </w:r>
      <w:r w:rsidR="00F77626">
        <w:rPr>
          <w:rFonts w:ascii="Garamond" w:hAnsi="Garamond"/>
        </w:rPr>
        <w:t xml:space="preserve">ises from the fact that Adejuwon was also born </w:t>
      </w:r>
      <w:r w:rsidR="001538C2">
        <w:rPr>
          <w:rFonts w:ascii="Garamond" w:hAnsi="Garamond"/>
        </w:rPr>
        <w:t xml:space="preserve">and subsequently diagnosed </w:t>
      </w:r>
      <w:r w:rsidR="00F77626">
        <w:rPr>
          <w:rFonts w:ascii="Garamond" w:hAnsi="Garamond"/>
        </w:rPr>
        <w:t>with autism</w:t>
      </w:r>
      <w:r w:rsidR="000477EB">
        <w:rPr>
          <w:rFonts w:ascii="Garamond" w:hAnsi="Garamond"/>
        </w:rPr>
        <w:t>, a condition which is unrelated to his haemophilia.</w:t>
      </w:r>
      <w:r w:rsidR="001538C2">
        <w:rPr>
          <w:rFonts w:ascii="Garamond" w:hAnsi="Garamond"/>
        </w:rPr>
        <w:t xml:space="preserve"> The question </w:t>
      </w:r>
      <w:r w:rsidR="00C47173">
        <w:rPr>
          <w:rFonts w:ascii="Garamond" w:hAnsi="Garamond"/>
        </w:rPr>
        <w:t>is</w:t>
      </w:r>
      <w:r w:rsidR="006C3FDE">
        <w:rPr>
          <w:rFonts w:ascii="Garamond" w:hAnsi="Garamond"/>
        </w:rPr>
        <w:t xml:space="preserve"> whether Dr Khan is liable </w:t>
      </w:r>
      <w:r w:rsidR="00C40EE1">
        <w:rPr>
          <w:rFonts w:ascii="Garamond" w:hAnsi="Garamond"/>
        </w:rPr>
        <w:t xml:space="preserve">for all costs related to Adejuwon’s </w:t>
      </w:r>
      <w:r w:rsidR="00482F95">
        <w:rPr>
          <w:rFonts w:ascii="Garamond" w:hAnsi="Garamond"/>
        </w:rPr>
        <w:t>disabilities</w:t>
      </w:r>
      <w:r w:rsidR="00C40EE1">
        <w:rPr>
          <w:rFonts w:ascii="Garamond" w:hAnsi="Garamond"/>
        </w:rPr>
        <w:t xml:space="preserve"> arising </w:t>
      </w:r>
      <w:r w:rsidR="00C47173">
        <w:rPr>
          <w:rFonts w:ascii="Garamond" w:hAnsi="Garamond"/>
        </w:rPr>
        <w:t xml:space="preserve">from </w:t>
      </w:r>
      <w:r w:rsidR="000E6359">
        <w:rPr>
          <w:rFonts w:ascii="Garamond" w:hAnsi="Garamond"/>
        </w:rPr>
        <w:t>the pregnancy or only those associated with his haemophilia.</w:t>
      </w:r>
      <w:r w:rsidR="00003ADE">
        <w:rPr>
          <w:rFonts w:ascii="Garamond" w:hAnsi="Garamond"/>
          <w:bCs/>
        </w:rPr>
        <w:t xml:space="preserve"> The High Court </w:t>
      </w:r>
      <w:r w:rsidR="00DF21A1">
        <w:rPr>
          <w:rFonts w:ascii="Garamond" w:hAnsi="Garamond"/>
          <w:bCs/>
        </w:rPr>
        <w:t xml:space="preserve">held that </w:t>
      </w:r>
      <w:r w:rsidR="008D2A85">
        <w:rPr>
          <w:rFonts w:ascii="Garamond" w:hAnsi="Garamond"/>
          <w:bCs/>
        </w:rPr>
        <w:t xml:space="preserve">Dr Khan was liable </w:t>
      </w:r>
      <w:r w:rsidR="001E14A2">
        <w:rPr>
          <w:rFonts w:ascii="Garamond" w:hAnsi="Garamond"/>
          <w:bCs/>
        </w:rPr>
        <w:t xml:space="preserve">for costs associated with both </w:t>
      </w:r>
      <w:r w:rsidR="000E6359">
        <w:rPr>
          <w:rFonts w:ascii="Garamond" w:hAnsi="Garamond"/>
          <w:bCs/>
        </w:rPr>
        <w:t>Adejuwon’s</w:t>
      </w:r>
      <w:r w:rsidR="001E14A2">
        <w:rPr>
          <w:rFonts w:ascii="Garamond" w:hAnsi="Garamond"/>
          <w:bCs/>
        </w:rPr>
        <w:t xml:space="preserve"> haemophilia and autism.</w:t>
      </w:r>
      <w:r w:rsidR="000106D6">
        <w:rPr>
          <w:rFonts w:ascii="Garamond" w:hAnsi="Garamond"/>
          <w:bCs/>
        </w:rPr>
        <w:t xml:space="preserve"> The Court of Appeal</w:t>
      </w:r>
      <w:r w:rsidR="002A6E8C">
        <w:rPr>
          <w:rFonts w:ascii="Garamond" w:hAnsi="Garamond"/>
          <w:bCs/>
        </w:rPr>
        <w:t xml:space="preserve"> </w:t>
      </w:r>
      <w:r w:rsidR="000106D6">
        <w:rPr>
          <w:rFonts w:ascii="Garamond" w:hAnsi="Garamond"/>
          <w:bCs/>
        </w:rPr>
        <w:t>allowed Dr Khan’s appeal</w:t>
      </w:r>
      <w:r w:rsidR="004C49F1">
        <w:rPr>
          <w:rFonts w:ascii="Garamond" w:hAnsi="Garamond"/>
          <w:bCs/>
        </w:rPr>
        <w:t xml:space="preserve">, </w:t>
      </w:r>
      <w:r w:rsidR="000B447B">
        <w:rPr>
          <w:rFonts w:ascii="Garamond" w:hAnsi="Garamond"/>
          <w:bCs/>
        </w:rPr>
        <w:t xml:space="preserve">finding her liable for costs associated with </w:t>
      </w:r>
      <w:r w:rsidR="000E6359">
        <w:rPr>
          <w:rFonts w:ascii="Garamond" w:hAnsi="Garamond"/>
          <w:bCs/>
        </w:rPr>
        <w:t>Ade</w:t>
      </w:r>
      <w:r w:rsidR="00EB2541">
        <w:rPr>
          <w:rFonts w:ascii="Garamond" w:hAnsi="Garamond"/>
          <w:bCs/>
        </w:rPr>
        <w:t>juwon’s</w:t>
      </w:r>
      <w:r w:rsidR="000B447B">
        <w:rPr>
          <w:rFonts w:ascii="Garamond" w:hAnsi="Garamond"/>
          <w:bCs/>
        </w:rPr>
        <w:t xml:space="preserve"> haemophilia only. </w:t>
      </w:r>
      <w:r w:rsidR="00EB2541">
        <w:rPr>
          <w:rFonts w:ascii="Garamond" w:hAnsi="Garamond"/>
          <w:bCs/>
        </w:rPr>
        <w:t>In so doing, it considered the scope of duty principle as</w:t>
      </w:r>
      <w:r w:rsidR="00EB1E04">
        <w:rPr>
          <w:rFonts w:ascii="Garamond" w:hAnsi="Garamond"/>
          <w:bCs/>
        </w:rPr>
        <w:t xml:space="preserve"> illustrated</w:t>
      </w:r>
      <w:r w:rsidR="00EB2541">
        <w:rPr>
          <w:rFonts w:ascii="Garamond" w:hAnsi="Garamond"/>
          <w:bCs/>
        </w:rPr>
        <w:t xml:space="preserve"> in </w:t>
      </w:r>
      <w:r w:rsidR="00EB2541" w:rsidRPr="00EB2541">
        <w:rPr>
          <w:rFonts w:ascii="Garamond" w:hAnsi="Garamond"/>
          <w:bCs/>
          <w:i/>
          <w:iCs/>
        </w:rPr>
        <w:t>SAAMCO</w:t>
      </w:r>
      <w:r w:rsidR="00EB2541">
        <w:rPr>
          <w:rFonts w:ascii="Garamond" w:hAnsi="Garamond"/>
          <w:bCs/>
        </w:rPr>
        <w:t xml:space="preserve"> as determinative of the issue. </w:t>
      </w:r>
    </w:p>
    <w:p w14:paraId="0D0B940D" w14:textId="77777777" w:rsidR="00CC0E89" w:rsidRPr="0029072E" w:rsidRDefault="00CC0E89" w:rsidP="00A16C02">
      <w:pPr>
        <w:rPr>
          <w:rFonts w:ascii="Garamond" w:hAnsi="Garamond"/>
        </w:rPr>
      </w:pPr>
    </w:p>
    <w:p w14:paraId="6BECDA9E" w14:textId="77777777" w:rsidR="00A16C02" w:rsidRPr="0029072E" w:rsidRDefault="00A16C02" w:rsidP="00A16C02">
      <w:pPr>
        <w:rPr>
          <w:rFonts w:ascii="Garamond" w:hAnsi="Garamond"/>
          <w:b/>
        </w:rPr>
      </w:pPr>
      <w:r w:rsidRPr="0029072E">
        <w:rPr>
          <w:rFonts w:ascii="Garamond" w:hAnsi="Garamond"/>
          <w:b/>
        </w:rPr>
        <w:t>JUDGMENT</w:t>
      </w:r>
    </w:p>
    <w:p w14:paraId="0E27B00A" w14:textId="77777777" w:rsidR="00A16C02" w:rsidRPr="0029072E" w:rsidRDefault="00A16C02" w:rsidP="00A16C02">
      <w:pPr>
        <w:rPr>
          <w:rFonts w:ascii="Garamond" w:hAnsi="Garamond"/>
          <w:b/>
        </w:rPr>
      </w:pPr>
    </w:p>
    <w:p w14:paraId="163A8682" w14:textId="5FA1CADA" w:rsidR="00292164" w:rsidRDefault="00A33577" w:rsidP="00937E49">
      <w:pPr>
        <w:jc w:val="both"/>
        <w:rPr>
          <w:rFonts w:ascii="Garamond" w:hAnsi="Garamond"/>
        </w:rPr>
      </w:pPr>
      <w:r w:rsidRPr="00FF5F4C">
        <w:rPr>
          <w:rFonts w:ascii="Garamond" w:hAnsi="Garamond"/>
        </w:rPr>
        <w:t xml:space="preserve">The Supreme Court </w:t>
      </w:r>
      <w:r w:rsidR="00B45046" w:rsidRPr="00FF5F4C">
        <w:rPr>
          <w:rFonts w:ascii="Garamond" w:hAnsi="Garamond"/>
        </w:rPr>
        <w:t xml:space="preserve">unanimously </w:t>
      </w:r>
      <w:r w:rsidR="001C06D4" w:rsidRPr="00FF5F4C">
        <w:rPr>
          <w:rFonts w:ascii="Garamond" w:hAnsi="Garamond"/>
        </w:rPr>
        <w:t>dismisses</w:t>
      </w:r>
      <w:r w:rsidR="00937F9E" w:rsidRPr="00FF5F4C">
        <w:rPr>
          <w:rFonts w:ascii="Garamond" w:hAnsi="Garamond"/>
        </w:rPr>
        <w:t xml:space="preserve"> the appeal</w:t>
      </w:r>
      <w:r w:rsidR="0025011D" w:rsidRPr="00FF5F4C">
        <w:rPr>
          <w:rFonts w:ascii="Garamond" w:hAnsi="Garamond"/>
        </w:rPr>
        <w:t>.</w:t>
      </w:r>
      <w:r w:rsidR="00B45046" w:rsidRPr="00FF5F4C">
        <w:rPr>
          <w:rFonts w:ascii="Garamond" w:hAnsi="Garamond"/>
        </w:rPr>
        <w:t xml:space="preserve"> It holds</w:t>
      </w:r>
      <w:r w:rsidR="00B8264A">
        <w:rPr>
          <w:rFonts w:ascii="Garamond" w:hAnsi="Garamond"/>
        </w:rPr>
        <w:t xml:space="preserve"> that </w:t>
      </w:r>
      <w:r w:rsidR="00695441">
        <w:rPr>
          <w:rFonts w:ascii="Garamond" w:hAnsi="Garamond"/>
        </w:rPr>
        <w:t>there is no principled basis for excluding clinical negligence from the ambit of the scope of duty principle.</w:t>
      </w:r>
      <w:r w:rsidR="00FF5534">
        <w:rPr>
          <w:rFonts w:ascii="Garamond" w:hAnsi="Garamond"/>
        </w:rPr>
        <w:t xml:space="preserve"> Dr Khan is liable only for </w:t>
      </w:r>
      <w:r w:rsidR="00981581">
        <w:rPr>
          <w:rFonts w:ascii="Garamond" w:hAnsi="Garamond"/>
        </w:rPr>
        <w:t>loss</w:t>
      </w:r>
      <w:r w:rsidR="000C425A">
        <w:rPr>
          <w:rFonts w:ascii="Garamond" w:hAnsi="Garamond"/>
        </w:rPr>
        <w:t>es</w:t>
      </w:r>
      <w:r w:rsidR="00981581">
        <w:rPr>
          <w:rFonts w:ascii="Garamond" w:hAnsi="Garamond"/>
        </w:rPr>
        <w:t xml:space="preserve"> falling within the scope of her duty </w:t>
      </w:r>
      <w:r w:rsidR="00FA7C68">
        <w:rPr>
          <w:rFonts w:ascii="Garamond" w:hAnsi="Garamond"/>
        </w:rPr>
        <w:t>of care to advise Ms Meadows</w:t>
      </w:r>
      <w:r w:rsidR="00EB1E04">
        <w:rPr>
          <w:rFonts w:ascii="Garamond" w:hAnsi="Garamond"/>
        </w:rPr>
        <w:t xml:space="preserve"> on </w:t>
      </w:r>
      <w:r w:rsidR="005160E4">
        <w:rPr>
          <w:rFonts w:ascii="Garamond" w:hAnsi="Garamond"/>
        </w:rPr>
        <w:t>whether or not she was a carrier of the haemophilia gene.</w:t>
      </w:r>
      <w:r w:rsidR="00292164">
        <w:rPr>
          <w:rFonts w:ascii="Garamond" w:hAnsi="Garamond"/>
        </w:rPr>
        <w:t xml:space="preserve"> She is not liable for costs associated with Adejuwon’s autism. </w:t>
      </w:r>
      <w:r w:rsidR="0045464C" w:rsidRPr="0045464C">
        <w:rPr>
          <w:rFonts w:ascii="Garamond" w:hAnsi="Garamond"/>
        </w:rPr>
        <w:t xml:space="preserve">Lord Hodge and Lord Sales give the lead judgment with whom Lord Reed, Lady </w:t>
      </w:r>
      <w:proofErr w:type="gramStart"/>
      <w:r w:rsidR="0045464C" w:rsidRPr="0045464C">
        <w:rPr>
          <w:rFonts w:ascii="Garamond" w:hAnsi="Garamond"/>
        </w:rPr>
        <w:t>B</w:t>
      </w:r>
      <w:r w:rsidR="00EC7FE9">
        <w:rPr>
          <w:rFonts w:ascii="Garamond" w:hAnsi="Garamond"/>
        </w:rPr>
        <w:t>l</w:t>
      </w:r>
      <w:r w:rsidR="0045464C" w:rsidRPr="0045464C">
        <w:rPr>
          <w:rFonts w:ascii="Garamond" w:hAnsi="Garamond"/>
        </w:rPr>
        <w:t>ack</w:t>
      </w:r>
      <w:proofErr w:type="gramEnd"/>
      <w:r w:rsidR="0045464C" w:rsidRPr="0045464C">
        <w:rPr>
          <w:rFonts w:ascii="Garamond" w:hAnsi="Garamond"/>
        </w:rPr>
        <w:t xml:space="preserve"> and Lord Kitchin agree. Lord Burrows and Lord Leggatt each give a concurring judgment</w:t>
      </w:r>
      <w:r w:rsidR="00EC7FE9">
        <w:rPr>
          <w:rFonts w:ascii="Garamond" w:hAnsi="Garamond"/>
        </w:rPr>
        <w:t>.</w:t>
      </w:r>
    </w:p>
    <w:p w14:paraId="73694D28" w14:textId="77777777" w:rsidR="002F02D5" w:rsidRDefault="002F02D5" w:rsidP="00937E49">
      <w:pPr>
        <w:jc w:val="both"/>
        <w:rPr>
          <w:rFonts w:ascii="Garamond" w:hAnsi="Garamond"/>
        </w:rPr>
      </w:pPr>
    </w:p>
    <w:p w14:paraId="6B451AEC" w14:textId="77777777" w:rsidR="00105F32" w:rsidRDefault="00105F32" w:rsidP="00937E49">
      <w:pPr>
        <w:jc w:val="both"/>
        <w:rPr>
          <w:rFonts w:ascii="Garamond" w:hAnsi="Garamond"/>
        </w:rPr>
      </w:pPr>
    </w:p>
    <w:p w14:paraId="4A383BFC" w14:textId="3E734815" w:rsidR="002F02D5" w:rsidRDefault="002F02D5" w:rsidP="00937E49">
      <w:pPr>
        <w:jc w:val="both"/>
        <w:rPr>
          <w:rFonts w:ascii="Garamond" w:hAnsi="Garamond"/>
        </w:rPr>
      </w:pPr>
    </w:p>
    <w:p w14:paraId="67A11B2D" w14:textId="77777777" w:rsidR="00F81A4D" w:rsidRDefault="00F81A4D" w:rsidP="00937E49">
      <w:pPr>
        <w:jc w:val="both"/>
        <w:rPr>
          <w:rFonts w:ascii="Garamond" w:hAnsi="Garamond"/>
        </w:rPr>
      </w:pPr>
    </w:p>
    <w:p w14:paraId="2543EDE5" w14:textId="77777777" w:rsidR="00A16C02" w:rsidRDefault="00A16C02" w:rsidP="00A16C02">
      <w:pPr>
        <w:rPr>
          <w:rFonts w:ascii="Garamond" w:hAnsi="Garamond"/>
          <w:b/>
        </w:rPr>
      </w:pPr>
      <w:r w:rsidRPr="00A30FCD">
        <w:rPr>
          <w:rFonts w:ascii="Garamond" w:hAnsi="Garamond"/>
          <w:b/>
        </w:rPr>
        <w:t>REASONS FOR THE JUDGMENT</w:t>
      </w:r>
    </w:p>
    <w:p w14:paraId="3656B9AB" w14:textId="27438683" w:rsidR="00A16C02" w:rsidRDefault="00A16C02" w:rsidP="00A16C02">
      <w:pPr>
        <w:rPr>
          <w:rFonts w:ascii="Garamond" w:hAnsi="Garamond"/>
          <w:b/>
        </w:rPr>
      </w:pPr>
    </w:p>
    <w:p w14:paraId="56A4DAF6" w14:textId="5CF001A2" w:rsidR="009314B3" w:rsidRDefault="00B54D49" w:rsidP="00732DC3">
      <w:pPr>
        <w:jc w:val="both"/>
        <w:rPr>
          <w:rFonts w:ascii="Garamond" w:hAnsi="Garamond"/>
          <w:bCs/>
        </w:rPr>
      </w:pPr>
      <w:r>
        <w:rPr>
          <w:rFonts w:ascii="Garamond" w:hAnsi="Garamond"/>
          <w:bCs/>
        </w:rPr>
        <w:t xml:space="preserve">The </w:t>
      </w:r>
      <w:r w:rsidR="00C23122">
        <w:rPr>
          <w:rFonts w:ascii="Garamond" w:hAnsi="Garamond"/>
          <w:bCs/>
        </w:rPr>
        <w:t>C</w:t>
      </w:r>
      <w:r>
        <w:rPr>
          <w:rFonts w:ascii="Garamond" w:hAnsi="Garamond"/>
          <w:bCs/>
        </w:rPr>
        <w:t>ourt considers that a</w:t>
      </w:r>
      <w:r w:rsidR="00071A14">
        <w:rPr>
          <w:rFonts w:ascii="Garamond" w:hAnsi="Garamond"/>
          <w:bCs/>
        </w:rPr>
        <w:t xml:space="preserve"> helpful </w:t>
      </w:r>
      <w:r w:rsidR="006170A4">
        <w:rPr>
          <w:rFonts w:ascii="Garamond" w:hAnsi="Garamond"/>
          <w:bCs/>
        </w:rPr>
        <w:t>model</w:t>
      </w:r>
      <w:r w:rsidR="00CC2CD7">
        <w:rPr>
          <w:rFonts w:ascii="Garamond" w:hAnsi="Garamond"/>
          <w:bCs/>
        </w:rPr>
        <w:t xml:space="preserve"> to</w:t>
      </w:r>
      <w:r w:rsidR="00071A14">
        <w:rPr>
          <w:rFonts w:ascii="Garamond" w:hAnsi="Garamond"/>
          <w:bCs/>
        </w:rPr>
        <w:t xml:space="preserve"> analys</w:t>
      </w:r>
      <w:r w:rsidR="00C3552D">
        <w:rPr>
          <w:rFonts w:ascii="Garamond" w:hAnsi="Garamond"/>
          <w:bCs/>
        </w:rPr>
        <w:t>e</w:t>
      </w:r>
      <w:r w:rsidR="00071A14">
        <w:rPr>
          <w:rFonts w:ascii="Garamond" w:hAnsi="Garamond"/>
          <w:bCs/>
        </w:rPr>
        <w:t xml:space="preserve"> the place of the scope of duty principle within the scheme of the tort of negligence </w:t>
      </w:r>
      <w:r w:rsidR="00E0762B">
        <w:rPr>
          <w:rFonts w:ascii="Garamond" w:hAnsi="Garamond"/>
          <w:bCs/>
        </w:rPr>
        <w:t xml:space="preserve">is to </w:t>
      </w:r>
      <w:r w:rsidR="001D4B11">
        <w:rPr>
          <w:rFonts w:ascii="Garamond" w:hAnsi="Garamond"/>
          <w:bCs/>
        </w:rPr>
        <w:t>answer</w:t>
      </w:r>
      <w:r w:rsidR="00E0762B">
        <w:rPr>
          <w:rFonts w:ascii="Garamond" w:hAnsi="Garamond"/>
          <w:bCs/>
        </w:rPr>
        <w:t xml:space="preserve"> the following six questions in sequence:</w:t>
      </w:r>
      <w:r w:rsidR="00741043">
        <w:rPr>
          <w:rFonts w:ascii="Garamond" w:hAnsi="Garamond"/>
          <w:bCs/>
        </w:rPr>
        <w:t xml:space="preserve"> </w:t>
      </w:r>
      <w:r w:rsidR="00732DC3">
        <w:rPr>
          <w:rFonts w:ascii="Garamond" w:hAnsi="Garamond"/>
          <w:bCs/>
        </w:rPr>
        <w:t xml:space="preserve">(1) </w:t>
      </w:r>
      <w:r w:rsidR="00476624" w:rsidRPr="00B70638">
        <w:rPr>
          <w:rFonts w:ascii="Garamond" w:hAnsi="Garamond"/>
          <w:bCs/>
        </w:rPr>
        <w:t xml:space="preserve">Is the harm (loss, </w:t>
      </w:r>
      <w:proofErr w:type="gramStart"/>
      <w:r w:rsidR="00476624" w:rsidRPr="00B70638">
        <w:rPr>
          <w:rFonts w:ascii="Garamond" w:hAnsi="Garamond"/>
          <w:bCs/>
        </w:rPr>
        <w:t>injury</w:t>
      </w:r>
      <w:proofErr w:type="gramEnd"/>
      <w:r w:rsidR="00476624" w:rsidRPr="00B70638">
        <w:rPr>
          <w:rFonts w:ascii="Garamond" w:hAnsi="Garamond"/>
          <w:bCs/>
        </w:rPr>
        <w:t xml:space="preserve"> and damage) which is the subject matter of the claim actionable in negligence? (the actionability question)</w:t>
      </w:r>
      <w:r w:rsidR="00606052">
        <w:rPr>
          <w:rFonts w:ascii="Garamond" w:hAnsi="Garamond"/>
          <w:bCs/>
        </w:rPr>
        <w:t xml:space="preserve">; </w:t>
      </w:r>
      <w:r w:rsidR="00732DC3">
        <w:rPr>
          <w:rFonts w:ascii="Garamond" w:hAnsi="Garamond"/>
          <w:bCs/>
        </w:rPr>
        <w:t xml:space="preserve">(2) </w:t>
      </w:r>
      <w:r w:rsidR="00476624" w:rsidRPr="00732DC3">
        <w:rPr>
          <w:rFonts w:ascii="Garamond" w:hAnsi="Garamond"/>
          <w:bCs/>
        </w:rPr>
        <w:t>What are the risks of harm to the claimant against which the law imposes on the defendant a duty to take care? (the scope of duty question)</w:t>
      </w:r>
      <w:r w:rsidR="0044063A">
        <w:rPr>
          <w:rFonts w:ascii="Garamond" w:hAnsi="Garamond"/>
          <w:bCs/>
        </w:rPr>
        <w:t>;</w:t>
      </w:r>
      <w:r w:rsidR="00732DC3">
        <w:rPr>
          <w:rFonts w:ascii="Garamond" w:hAnsi="Garamond"/>
          <w:bCs/>
        </w:rPr>
        <w:t xml:space="preserve"> (3) </w:t>
      </w:r>
      <w:r w:rsidR="00476624" w:rsidRPr="00732DC3">
        <w:rPr>
          <w:rFonts w:ascii="Garamond" w:hAnsi="Garamond"/>
          <w:bCs/>
        </w:rPr>
        <w:t>Did the defendant breach his or her duty by his or her act or omission? (the breach question)</w:t>
      </w:r>
      <w:r w:rsidR="0044063A">
        <w:rPr>
          <w:rFonts w:ascii="Garamond" w:hAnsi="Garamond"/>
          <w:bCs/>
        </w:rPr>
        <w:t xml:space="preserve">; </w:t>
      </w:r>
      <w:r w:rsidR="00732DC3">
        <w:rPr>
          <w:rFonts w:ascii="Garamond" w:hAnsi="Garamond"/>
          <w:bCs/>
        </w:rPr>
        <w:t xml:space="preserve">(4) </w:t>
      </w:r>
      <w:r w:rsidR="00476624" w:rsidRPr="00732DC3">
        <w:rPr>
          <w:rFonts w:ascii="Garamond" w:hAnsi="Garamond"/>
          <w:bCs/>
        </w:rPr>
        <w:t>Is the loss for which the claimant seeks damages the consequence of the defendant’s act or omission? (the factual causation question)</w:t>
      </w:r>
      <w:r w:rsidR="00A2527F">
        <w:rPr>
          <w:rFonts w:ascii="Garamond" w:hAnsi="Garamond"/>
          <w:bCs/>
        </w:rPr>
        <w:t xml:space="preserve">; </w:t>
      </w:r>
      <w:r w:rsidR="00732DC3">
        <w:rPr>
          <w:rFonts w:ascii="Garamond" w:hAnsi="Garamond"/>
          <w:bCs/>
        </w:rPr>
        <w:t xml:space="preserve">(5) </w:t>
      </w:r>
      <w:r w:rsidR="00476624" w:rsidRPr="00732DC3">
        <w:rPr>
          <w:rFonts w:ascii="Garamond" w:hAnsi="Garamond"/>
          <w:bCs/>
        </w:rPr>
        <w:t>Is there a sufficient nexus between a particular element of the harm for which the claimant seeks damages and the subject matter of the defendant’s duty of care as analysed at stage 2 above? (the duty nexus question)</w:t>
      </w:r>
      <w:r w:rsidR="00A2527F">
        <w:rPr>
          <w:rFonts w:ascii="Garamond" w:hAnsi="Garamond"/>
          <w:bCs/>
        </w:rPr>
        <w:t xml:space="preserve">; and </w:t>
      </w:r>
      <w:r w:rsidR="00732DC3">
        <w:rPr>
          <w:rFonts w:ascii="Garamond" w:hAnsi="Garamond"/>
          <w:bCs/>
        </w:rPr>
        <w:t xml:space="preserve">(6) </w:t>
      </w:r>
      <w:r w:rsidR="00476624" w:rsidRPr="00B70638">
        <w:rPr>
          <w:rFonts w:ascii="Garamond" w:hAnsi="Garamond"/>
          <w:bCs/>
        </w:rPr>
        <w:t>Is a particular element of the harm for which the claimant seeks damages irrecoverable because it is too remote, or because there is a different effective cause or because the claimant has mitigated his or her loss or has failed to avoid loss which he or she could reasonably have been expected to avoid? (the legal responsibility question)</w:t>
      </w:r>
      <w:r w:rsidR="00C01EA2">
        <w:rPr>
          <w:rFonts w:ascii="Garamond" w:hAnsi="Garamond"/>
          <w:bCs/>
        </w:rPr>
        <w:t xml:space="preserve"> </w:t>
      </w:r>
      <w:r w:rsidR="00C01EA2" w:rsidRPr="00C01EA2">
        <w:rPr>
          <w:rFonts w:ascii="Garamond" w:hAnsi="Garamond"/>
          <w:b/>
        </w:rPr>
        <w:t>[28]</w:t>
      </w:r>
      <w:r w:rsidR="009314B3">
        <w:rPr>
          <w:rFonts w:ascii="Garamond" w:hAnsi="Garamond"/>
          <w:bCs/>
        </w:rPr>
        <w:t>.</w:t>
      </w:r>
    </w:p>
    <w:p w14:paraId="31C8040A" w14:textId="614FCEBE" w:rsidR="007748A0" w:rsidRDefault="007748A0" w:rsidP="00732DC3">
      <w:pPr>
        <w:jc w:val="both"/>
        <w:rPr>
          <w:rFonts w:ascii="Garamond" w:hAnsi="Garamond"/>
          <w:bCs/>
        </w:rPr>
      </w:pPr>
    </w:p>
    <w:p w14:paraId="494AC3D0" w14:textId="79036304" w:rsidR="00B47BB6" w:rsidRPr="00522E3B" w:rsidRDefault="006368EB" w:rsidP="00732DC3">
      <w:pPr>
        <w:jc w:val="both"/>
        <w:rPr>
          <w:rFonts w:ascii="Garamond" w:hAnsi="Garamond"/>
          <w:bCs/>
        </w:rPr>
      </w:pPr>
      <w:r w:rsidRPr="00C3552D">
        <w:rPr>
          <w:rFonts w:ascii="Garamond" w:hAnsi="Garamond"/>
          <w:bCs/>
        </w:rPr>
        <w:t xml:space="preserve">The second </w:t>
      </w:r>
      <w:r w:rsidR="00C5739A">
        <w:rPr>
          <w:rFonts w:ascii="Garamond" w:hAnsi="Garamond"/>
          <w:bCs/>
        </w:rPr>
        <w:t>stage</w:t>
      </w:r>
      <w:r w:rsidR="00CC2CD7" w:rsidRPr="00C3552D">
        <w:rPr>
          <w:rFonts w:ascii="Garamond" w:hAnsi="Garamond"/>
          <w:bCs/>
        </w:rPr>
        <w:t xml:space="preserve"> in the</w:t>
      </w:r>
      <w:r w:rsidR="00B47BB6">
        <w:rPr>
          <w:rFonts w:ascii="Garamond" w:hAnsi="Garamond"/>
          <w:bCs/>
        </w:rPr>
        <w:t xml:space="preserve"> above</w:t>
      </w:r>
      <w:r w:rsidR="00CC2CD7" w:rsidRPr="00C3552D">
        <w:rPr>
          <w:rFonts w:ascii="Garamond" w:hAnsi="Garamond"/>
          <w:bCs/>
        </w:rPr>
        <w:t xml:space="preserve"> scheme</w:t>
      </w:r>
      <w:r w:rsidR="00761E8F" w:rsidRPr="00C3552D">
        <w:rPr>
          <w:rFonts w:ascii="Garamond" w:hAnsi="Garamond"/>
          <w:bCs/>
        </w:rPr>
        <w:t xml:space="preserve"> </w:t>
      </w:r>
      <w:r w:rsidR="008A1B36">
        <w:rPr>
          <w:rFonts w:ascii="Garamond" w:hAnsi="Garamond"/>
          <w:bCs/>
        </w:rPr>
        <w:t>relates to</w:t>
      </w:r>
      <w:r w:rsidR="00761E8F" w:rsidRPr="00C3552D">
        <w:rPr>
          <w:rFonts w:ascii="Garamond" w:hAnsi="Garamond"/>
          <w:bCs/>
        </w:rPr>
        <w:t xml:space="preserve"> the</w:t>
      </w:r>
      <w:r w:rsidR="009A75CE" w:rsidRPr="00C3552D">
        <w:rPr>
          <w:rFonts w:ascii="Garamond" w:hAnsi="Garamond"/>
          <w:bCs/>
        </w:rPr>
        <w:t xml:space="preserve"> </w:t>
      </w:r>
      <w:r w:rsidR="00761E8F" w:rsidRPr="00C3552D">
        <w:rPr>
          <w:rFonts w:ascii="Garamond" w:hAnsi="Garamond"/>
          <w:bCs/>
        </w:rPr>
        <w:t xml:space="preserve">scope of duty principle. </w:t>
      </w:r>
      <w:r w:rsidR="006340A5" w:rsidRPr="006340A5">
        <w:rPr>
          <w:rFonts w:ascii="Garamond" w:hAnsi="Garamond"/>
          <w:bCs/>
        </w:rPr>
        <w:t>The scope of duty principle is that a defendant is liable only for losses which fall within the scope of his or her duty of care to the claimant.</w:t>
      </w:r>
      <w:r w:rsidR="00687962">
        <w:rPr>
          <w:rFonts w:ascii="Garamond" w:hAnsi="Garamond"/>
          <w:bCs/>
        </w:rPr>
        <w:t xml:space="preserve"> </w:t>
      </w:r>
      <w:r w:rsidR="00FC52EE">
        <w:rPr>
          <w:rFonts w:ascii="Garamond" w:hAnsi="Garamond"/>
          <w:bCs/>
        </w:rPr>
        <w:t xml:space="preserve">The principle predates </w:t>
      </w:r>
      <w:r w:rsidR="00FC52EE" w:rsidRPr="00FC52EE">
        <w:rPr>
          <w:rFonts w:ascii="Garamond" w:hAnsi="Garamond"/>
          <w:bCs/>
          <w:i/>
          <w:iCs/>
        </w:rPr>
        <w:t>SAAMCO</w:t>
      </w:r>
      <w:r w:rsidR="000C1F8D">
        <w:rPr>
          <w:rFonts w:ascii="Garamond" w:hAnsi="Garamond"/>
          <w:bCs/>
          <w:i/>
          <w:iCs/>
        </w:rPr>
        <w:t xml:space="preserve"> </w:t>
      </w:r>
      <w:r w:rsidR="00C429ED">
        <w:rPr>
          <w:rFonts w:ascii="Garamond" w:hAnsi="Garamond"/>
          <w:bCs/>
        </w:rPr>
        <w:t xml:space="preserve">but was developed </w:t>
      </w:r>
      <w:r w:rsidR="00FD584A">
        <w:rPr>
          <w:rFonts w:ascii="Garamond" w:hAnsi="Garamond"/>
          <w:bCs/>
        </w:rPr>
        <w:t>in that case by its application not to</w:t>
      </w:r>
      <w:r w:rsidR="00DC592C">
        <w:rPr>
          <w:rFonts w:ascii="Garamond" w:hAnsi="Garamond"/>
          <w:bCs/>
        </w:rPr>
        <w:t xml:space="preserve"> kind</w:t>
      </w:r>
      <w:r w:rsidR="007957F2">
        <w:rPr>
          <w:rFonts w:ascii="Garamond" w:hAnsi="Garamond"/>
          <w:bCs/>
        </w:rPr>
        <w:t>s</w:t>
      </w:r>
      <w:r w:rsidR="00FD584A">
        <w:rPr>
          <w:rFonts w:ascii="Garamond" w:hAnsi="Garamond"/>
          <w:bCs/>
        </w:rPr>
        <w:t xml:space="preserve"> or categor</w:t>
      </w:r>
      <w:r w:rsidR="007957F2">
        <w:rPr>
          <w:rFonts w:ascii="Garamond" w:hAnsi="Garamond"/>
          <w:bCs/>
        </w:rPr>
        <w:t>ies</w:t>
      </w:r>
      <w:r w:rsidR="00FD584A">
        <w:rPr>
          <w:rFonts w:ascii="Garamond" w:hAnsi="Garamond"/>
          <w:bCs/>
        </w:rPr>
        <w:t xml:space="preserve"> of damage but to the quantification of damage</w:t>
      </w:r>
      <w:r w:rsidR="00A05040">
        <w:rPr>
          <w:rFonts w:ascii="Garamond" w:hAnsi="Garamond"/>
          <w:bCs/>
        </w:rPr>
        <w:t xml:space="preserve"> </w:t>
      </w:r>
      <w:r w:rsidR="00A05040" w:rsidRPr="00A05040">
        <w:rPr>
          <w:rFonts w:ascii="Garamond" w:hAnsi="Garamond"/>
          <w:b/>
        </w:rPr>
        <w:t>[36]</w:t>
      </w:r>
      <w:r w:rsidR="00570220">
        <w:rPr>
          <w:rFonts w:ascii="Garamond" w:hAnsi="Garamond"/>
          <w:bCs/>
        </w:rPr>
        <w:t xml:space="preserve">. Regarding the distinction drawn between “advice” and </w:t>
      </w:r>
      <w:r w:rsidR="003334B7">
        <w:rPr>
          <w:rFonts w:ascii="Garamond" w:hAnsi="Garamond"/>
          <w:bCs/>
        </w:rPr>
        <w:t xml:space="preserve">“information” in </w:t>
      </w:r>
      <w:r w:rsidR="003334B7">
        <w:rPr>
          <w:rFonts w:ascii="Garamond" w:hAnsi="Garamond"/>
          <w:bCs/>
          <w:i/>
          <w:iCs/>
        </w:rPr>
        <w:t>SAAMCO</w:t>
      </w:r>
      <w:r w:rsidR="003334B7">
        <w:rPr>
          <w:rFonts w:ascii="Garamond" w:hAnsi="Garamond"/>
          <w:bCs/>
        </w:rPr>
        <w:t>, there is in reality a spectru</w:t>
      </w:r>
      <w:r w:rsidR="002D238B">
        <w:rPr>
          <w:rFonts w:ascii="Garamond" w:hAnsi="Garamond"/>
          <w:bCs/>
        </w:rPr>
        <w:t xml:space="preserve">m. </w:t>
      </w:r>
      <w:r w:rsidR="00AA61B8">
        <w:rPr>
          <w:rFonts w:ascii="Garamond" w:hAnsi="Garamond"/>
          <w:bCs/>
        </w:rPr>
        <w:t>In</w:t>
      </w:r>
      <w:r w:rsidR="00DC2905">
        <w:rPr>
          <w:rFonts w:ascii="Garamond" w:hAnsi="Garamond"/>
          <w:bCs/>
        </w:rPr>
        <w:t xml:space="preserve"> addressing the scope of duty question, the </w:t>
      </w:r>
      <w:r w:rsidR="003A1725">
        <w:rPr>
          <w:rFonts w:ascii="Garamond" w:hAnsi="Garamond"/>
          <w:bCs/>
        </w:rPr>
        <w:t>C</w:t>
      </w:r>
      <w:r w:rsidR="00DC2905">
        <w:rPr>
          <w:rFonts w:ascii="Garamond" w:hAnsi="Garamond"/>
          <w:bCs/>
        </w:rPr>
        <w:t xml:space="preserve">ourt seeks to identify the purpose for which advice or information was given. </w:t>
      </w:r>
      <w:r w:rsidR="00726D7D">
        <w:rPr>
          <w:rFonts w:ascii="Garamond" w:hAnsi="Garamond"/>
          <w:bCs/>
        </w:rPr>
        <w:t>It asks:</w:t>
      </w:r>
      <w:r w:rsidR="003479F0">
        <w:rPr>
          <w:rFonts w:ascii="Garamond" w:hAnsi="Garamond"/>
          <w:bCs/>
        </w:rPr>
        <w:t xml:space="preserve"> </w:t>
      </w:r>
      <w:r w:rsidR="000C4B6C" w:rsidRPr="000C4B6C">
        <w:rPr>
          <w:rFonts w:ascii="Garamond" w:hAnsi="Garamond"/>
          <w:bCs/>
        </w:rPr>
        <w:t>“what was the risk which the advice or information was intended and was reasonably understood to address</w:t>
      </w:r>
      <w:proofErr w:type="gramStart"/>
      <w:r w:rsidR="000C4B6C" w:rsidRPr="000C4B6C">
        <w:rPr>
          <w:rFonts w:ascii="Garamond" w:hAnsi="Garamond"/>
          <w:bCs/>
        </w:rPr>
        <w:t>?”</w:t>
      </w:r>
      <w:r w:rsidR="000C4B6C" w:rsidRPr="000C4B6C">
        <w:rPr>
          <w:rFonts w:ascii="Garamond" w:hAnsi="Garamond"/>
          <w:b/>
        </w:rPr>
        <w:t>[</w:t>
      </w:r>
      <w:proofErr w:type="gramEnd"/>
      <w:r w:rsidR="000C4B6C" w:rsidRPr="000C4B6C">
        <w:rPr>
          <w:rFonts w:ascii="Garamond" w:hAnsi="Garamond"/>
          <w:b/>
        </w:rPr>
        <w:t>41]</w:t>
      </w:r>
      <w:r w:rsidR="00522E3B">
        <w:rPr>
          <w:rFonts w:ascii="Garamond" w:hAnsi="Garamond"/>
          <w:bCs/>
        </w:rPr>
        <w:t>.</w:t>
      </w:r>
    </w:p>
    <w:p w14:paraId="076B4A8C" w14:textId="7335955D" w:rsidR="005B5088" w:rsidRPr="00E447CF" w:rsidRDefault="005B5088" w:rsidP="00732DC3">
      <w:pPr>
        <w:jc w:val="both"/>
        <w:rPr>
          <w:rFonts w:ascii="Garamond" w:hAnsi="Garamond"/>
          <w:bCs/>
        </w:rPr>
      </w:pPr>
    </w:p>
    <w:p w14:paraId="5C4B96CF" w14:textId="49E6CD56" w:rsidR="00852886" w:rsidRDefault="002E395E" w:rsidP="00852886">
      <w:pPr>
        <w:jc w:val="both"/>
        <w:rPr>
          <w:rFonts w:ascii="Garamond" w:hAnsi="Garamond"/>
          <w:bCs/>
        </w:rPr>
      </w:pPr>
      <w:r w:rsidRPr="008A3F99">
        <w:rPr>
          <w:rFonts w:ascii="Garamond" w:hAnsi="Garamond"/>
          <w:bCs/>
        </w:rPr>
        <w:t xml:space="preserve">In some cases, </w:t>
      </w:r>
      <w:r w:rsidR="00140090" w:rsidRPr="008A3F99">
        <w:rPr>
          <w:rFonts w:ascii="Garamond" w:hAnsi="Garamond"/>
          <w:bCs/>
        </w:rPr>
        <w:t xml:space="preserve">the </w:t>
      </w:r>
      <w:r w:rsidR="001A6630">
        <w:rPr>
          <w:rFonts w:ascii="Garamond" w:hAnsi="Garamond"/>
          <w:bCs/>
        </w:rPr>
        <w:t>answer to the scope of duty question als</w:t>
      </w:r>
      <w:r w:rsidR="00C522F2">
        <w:rPr>
          <w:rFonts w:ascii="Garamond" w:hAnsi="Garamond"/>
          <w:bCs/>
        </w:rPr>
        <w:t xml:space="preserve">o answers the duty nexus question (stage five). </w:t>
      </w:r>
      <w:r w:rsidR="005F603D">
        <w:rPr>
          <w:rFonts w:ascii="Garamond" w:hAnsi="Garamond"/>
          <w:bCs/>
        </w:rPr>
        <w:t xml:space="preserve">However, in cases where the scope of duty question </w:t>
      </w:r>
      <w:r w:rsidR="00C522F2">
        <w:rPr>
          <w:rFonts w:ascii="Garamond" w:hAnsi="Garamond"/>
          <w:bCs/>
        </w:rPr>
        <w:t xml:space="preserve">is concerned with the </w:t>
      </w:r>
      <w:r w:rsidR="00E84E81">
        <w:rPr>
          <w:rFonts w:ascii="Garamond" w:hAnsi="Garamond"/>
          <w:bCs/>
        </w:rPr>
        <w:t xml:space="preserve">quantification or extent of </w:t>
      </w:r>
      <w:r w:rsidR="00DC592C">
        <w:rPr>
          <w:rFonts w:ascii="Garamond" w:hAnsi="Garamond"/>
          <w:bCs/>
        </w:rPr>
        <w:t xml:space="preserve">a particular kind of </w:t>
      </w:r>
      <w:r w:rsidR="00E84E81">
        <w:rPr>
          <w:rFonts w:ascii="Garamond" w:hAnsi="Garamond"/>
          <w:bCs/>
        </w:rPr>
        <w:t>loss</w:t>
      </w:r>
      <w:r w:rsidR="00C30295">
        <w:rPr>
          <w:rFonts w:ascii="Garamond" w:hAnsi="Garamond"/>
          <w:bCs/>
        </w:rPr>
        <w:t xml:space="preserve">, the duty nexus question </w:t>
      </w:r>
      <w:r w:rsidR="00251B3F">
        <w:rPr>
          <w:rFonts w:ascii="Garamond" w:hAnsi="Garamond"/>
          <w:bCs/>
        </w:rPr>
        <w:t>should</w:t>
      </w:r>
      <w:r w:rsidR="00C30295">
        <w:rPr>
          <w:rFonts w:ascii="Garamond" w:hAnsi="Garamond"/>
          <w:bCs/>
        </w:rPr>
        <w:t xml:space="preserve"> be addressed </w:t>
      </w:r>
      <w:r w:rsidR="00C522F2">
        <w:rPr>
          <w:rFonts w:ascii="Garamond" w:hAnsi="Garamond"/>
          <w:bCs/>
        </w:rPr>
        <w:t xml:space="preserve">separately </w:t>
      </w:r>
      <w:r w:rsidR="00C30295">
        <w:rPr>
          <w:rFonts w:ascii="Garamond" w:hAnsi="Garamond"/>
          <w:bCs/>
        </w:rPr>
        <w:t>after the</w:t>
      </w:r>
      <w:r w:rsidR="000F526F">
        <w:rPr>
          <w:rFonts w:ascii="Garamond" w:hAnsi="Garamond"/>
          <w:bCs/>
        </w:rPr>
        <w:t xml:space="preserve"> court has determined</w:t>
      </w:r>
      <w:r w:rsidR="00154BC1">
        <w:rPr>
          <w:rFonts w:ascii="Garamond" w:hAnsi="Garamond"/>
          <w:bCs/>
        </w:rPr>
        <w:t xml:space="preserve"> that</w:t>
      </w:r>
      <w:r w:rsidR="000F526F">
        <w:rPr>
          <w:rFonts w:ascii="Garamond" w:hAnsi="Garamond"/>
          <w:bCs/>
        </w:rPr>
        <w:t xml:space="preserve"> there is a breach of duty and factual causation</w:t>
      </w:r>
      <w:r w:rsidR="00CB1A8A">
        <w:rPr>
          <w:rFonts w:ascii="Garamond" w:hAnsi="Garamond"/>
          <w:bCs/>
        </w:rPr>
        <w:t xml:space="preserve"> </w:t>
      </w:r>
      <w:r w:rsidR="00CB1A8A" w:rsidRPr="00CB1A8A">
        <w:rPr>
          <w:rFonts w:ascii="Garamond" w:hAnsi="Garamond"/>
          <w:b/>
        </w:rPr>
        <w:t>[48-49]</w:t>
      </w:r>
      <w:r w:rsidR="00CB1A8A">
        <w:rPr>
          <w:rFonts w:ascii="Garamond" w:hAnsi="Garamond"/>
          <w:bCs/>
        </w:rPr>
        <w:t xml:space="preserve">. </w:t>
      </w:r>
      <w:r w:rsidR="0078220D">
        <w:rPr>
          <w:rFonts w:ascii="Garamond" w:hAnsi="Garamond"/>
          <w:bCs/>
        </w:rPr>
        <w:t xml:space="preserve">The mechanism by which the duty nexus question has been addressed in the </w:t>
      </w:r>
      <w:r w:rsidR="0078220D">
        <w:rPr>
          <w:rFonts w:ascii="Garamond" w:hAnsi="Garamond"/>
          <w:bCs/>
          <w:i/>
          <w:iCs/>
        </w:rPr>
        <w:t>SAAMC</w:t>
      </w:r>
      <w:r w:rsidR="00146C42">
        <w:rPr>
          <w:rFonts w:ascii="Garamond" w:hAnsi="Garamond"/>
          <w:bCs/>
          <w:i/>
          <w:iCs/>
        </w:rPr>
        <w:t>O</w:t>
      </w:r>
      <w:r w:rsidR="00146C42">
        <w:rPr>
          <w:rFonts w:ascii="Garamond" w:hAnsi="Garamond"/>
          <w:bCs/>
        </w:rPr>
        <w:t xml:space="preserve"> line of cases</w:t>
      </w:r>
      <w:r w:rsidR="00461787">
        <w:rPr>
          <w:rFonts w:ascii="Garamond" w:hAnsi="Garamond"/>
          <w:bCs/>
        </w:rPr>
        <w:t xml:space="preserve"> (ie valuers’ negligence cases)</w:t>
      </w:r>
      <w:r w:rsidR="00146C42">
        <w:rPr>
          <w:rFonts w:ascii="Garamond" w:hAnsi="Garamond"/>
          <w:bCs/>
        </w:rPr>
        <w:t xml:space="preserve"> is</w:t>
      </w:r>
      <w:r w:rsidR="00D067D9">
        <w:rPr>
          <w:rFonts w:ascii="Garamond" w:hAnsi="Garamond"/>
          <w:bCs/>
        </w:rPr>
        <w:t xml:space="preserve"> the </w:t>
      </w:r>
      <w:r w:rsidR="00D067D9" w:rsidRPr="00BE6590">
        <w:rPr>
          <w:rFonts w:ascii="Garamond" w:hAnsi="Garamond"/>
          <w:bCs/>
          <w:i/>
          <w:iCs/>
        </w:rPr>
        <w:t>SAAMCO</w:t>
      </w:r>
      <w:r w:rsidR="00D067D9">
        <w:rPr>
          <w:rFonts w:ascii="Garamond" w:hAnsi="Garamond"/>
          <w:bCs/>
        </w:rPr>
        <w:t xml:space="preserve"> counterfactual. It asks: </w:t>
      </w:r>
      <w:r w:rsidR="00146C42">
        <w:rPr>
          <w:rFonts w:ascii="Garamond" w:hAnsi="Garamond"/>
          <w:bCs/>
        </w:rPr>
        <w:t xml:space="preserve">“what would the claimant’s loss have been if </w:t>
      </w:r>
      <w:r w:rsidR="00D067D9">
        <w:rPr>
          <w:rFonts w:ascii="Garamond" w:hAnsi="Garamond"/>
          <w:bCs/>
        </w:rPr>
        <w:t xml:space="preserve">the information which the defendant in fact </w:t>
      </w:r>
      <w:r w:rsidR="00893C59">
        <w:rPr>
          <w:rFonts w:ascii="Garamond" w:hAnsi="Garamond"/>
          <w:bCs/>
        </w:rPr>
        <w:t>g</w:t>
      </w:r>
      <w:r w:rsidR="00D067D9">
        <w:rPr>
          <w:rFonts w:ascii="Garamond" w:hAnsi="Garamond"/>
          <w:bCs/>
        </w:rPr>
        <w:t>ave had been correct</w:t>
      </w:r>
      <w:r w:rsidR="00DA4682">
        <w:rPr>
          <w:rFonts w:ascii="Garamond" w:hAnsi="Garamond"/>
          <w:bCs/>
        </w:rPr>
        <w:t>?</w:t>
      </w:r>
      <w:r w:rsidR="00D067D9">
        <w:rPr>
          <w:rFonts w:ascii="Garamond" w:hAnsi="Garamond"/>
          <w:bCs/>
        </w:rPr>
        <w:t>”</w:t>
      </w:r>
      <w:r w:rsidR="00656F62">
        <w:rPr>
          <w:rFonts w:ascii="Garamond" w:hAnsi="Garamond"/>
          <w:bCs/>
        </w:rPr>
        <w:t>.</w:t>
      </w:r>
      <w:r w:rsidR="00522E3B">
        <w:rPr>
          <w:rFonts w:ascii="Garamond" w:hAnsi="Garamond"/>
          <w:bCs/>
        </w:rPr>
        <w:t xml:space="preserve"> </w:t>
      </w:r>
      <w:r w:rsidR="00154BC1">
        <w:rPr>
          <w:rFonts w:ascii="Garamond" w:hAnsi="Garamond"/>
          <w:bCs/>
        </w:rPr>
        <w:t xml:space="preserve">The </w:t>
      </w:r>
      <w:r w:rsidR="00154BC1" w:rsidRPr="00BE6590">
        <w:rPr>
          <w:rFonts w:ascii="Garamond" w:hAnsi="Garamond"/>
          <w:bCs/>
          <w:i/>
          <w:iCs/>
        </w:rPr>
        <w:t>SAAMCO</w:t>
      </w:r>
      <w:r w:rsidR="00154BC1">
        <w:rPr>
          <w:rFonts w:ascii="Garamond" w:hAnsi="Garamond"/>
          <w:bCs/>
        </w:rPr>
        <w:t xml:space="preserve"> counterfactual </w:t>
      </w:r>
      <w:r w:rsidR="00C56F8A">
        <w:rPr>
          <w:rFonts w:ascii="Garamond" w:hAnsi="Garamond"/>
          <w:bCs/>
        </w:rPr>
        <w:t>is best</w:t>
      </w:r>
      <w:r w:rsidR="00154BC1">
        <w:rPr>
          <w:rFonts w:ascii="Garamond" w:hAnsi="Garamond"/>
          <w:bCs/>
        </w:rPr>
        <w:t xml:space="preserve"> understood</w:t>
      </w:r>
      <w:r w:rsidR="00DF0256">
        <w:rPr>
          <w:rFonts w:ascii="Garamond" w:hAnsi="Garamond"/>
          <w:bCs/>
        </w:rPr>
        <w:t xml:space="preserve"> as an analytical tool which is useful i</w:t>
      </w:r>
      <w:r w:rsidR="00251B3F">
        <w:rPr>
          <w:rFonts w:ascii="Garamond" w:hAnsi="Garamond"/>
          <w:bCs/>
        </w:rPr>
        <w:t>n</w:t>
      </w:r>
      <w:r w:rsidR="00DF0256">
        <w:rPr>
          <w:rFonts w:ascii="Garamond" w:hAnsi="Garamond"/>
          <w:bCs/>
        </w:rPr>
        <w:t xml:space="preserve"> some but not all circumstances to ascertain the extent of a def</w:t>
      </w:r>
      <w:r w:rsidR="002477D8">
        <w:rPr>
          <w:rFonts w:ascii="Garamond" w:hAnsi="Garamond"/>
          <w:bCs/>
        </w:rPr>
        <w:t>endant’s liability f</w:t>
      </w:r>
      <w:r w:rsidR="004F7734">
        <w:rPr>
          <w:rFonts w:ascii="Garamond" w:hAnsi="Garamond"/>
          <w:bCs/>
        </w:rPr>
        <w:t>lowing</w:t>
      </w:r>
      <w:r w:rsidR="002477D8">
        <w:rPr>
          <w:rFonts w:ascii="Garamond" w:hAnsi="Garamond"/>
          <w:bCs/>
        </w:rPr>
        <w:t xml:space="preserve"> from the breach of </w:t>
      </w:r>
      <w:r w:rsidR="005544A5">
        <w:rPr>
          <w:rFonts w:ascii="Garamond" w:hAnsi="Garamond"/>
          <w:bCs/>
        </w:rPr>
        <w:t xml:space="preserve">a </w:t>
      </w:r>
      <w:r w:rsidR="002477D8">
        <w:rPr>
          <w:rFonts w:ascii="Garamond" w:hAnsi="Garamond"/>
          <w:bCs/>
        </w:rPr>
        <w:t xml:space="preserve">duty </w:t>
      </w:r>
      <w:r w:rsidR="00EB0F78">
        <w:rPr>
          <w:rFonts w:ascii="Garamond" w:hAnsi="Garamond"/>
          <w:bCs/>
        </w:rPr>
        <w:t>of a defined scope</w:t>
      </w:r>
      <w:r w:rsidR="00656F62">
        <w:rPr>
          <w:rFonts w:ascii="Garamond" w:hAnsi="Garamond"/>
          <w:bCs/>
        </w:rPr>
        <w:t xml:space="preserve"> </w:t>
      </w:r>
      <w:r w:rsidR="00656F62" w:rsidRPr="004F7734">
        <w:rPr>
          <w:rFonts w:ascii="Garamond" w:hAnsi="Garamond"/>
          <w:b/>
        </w:rPr>
        <w:t>[53</w:t>
      </w:r>
      <w:r w:rsidR="004F7734" w:rsidRPr="004F7734">
        <w:rPr>
          <w:rFonts w:ascii="Garamond" w:hAnsi="Garamond"/>
          <w:b/>
        </w:rPr>
        <w:t>-54</w:t>
      </w:r>
      <w:r w:rsidR="00656F62" w:rsidRPr="004F7734">
        <w:rPr>
          <w:rFonts w:ascii="Garamond" w:hAnsi="Garamond"/>
          <w:b/>
        </w:rPr>
        <w:t>]</w:t>
      </w:r>
      <w:r w:rsidR="00656F62" w:rsidRPr="00656F62">
        <w:rPr>
          <w:rFonts w:ascii="Garamond" w:hAnsi="Garamond"/>
          <w:bCs/>
        </w:rPr>
        <w:t>.</w:t>
      </w:r>
    </w:p>
    <w:p w14:paraId="2D03D0BC" w14:textId="77777777" w:rsidR="00852886" w:rsidRDefault="00852886" w:rsidP="00852886">
      <w:pPr>
        <w:jc w:val="both"/>
        <w:rPr>
          <w:rFonts w:ascii="Garamond" w:hAnsi="Garamond"/>
          <w:bCs/>
        </w:rPr>
      </w:pPr>
    </w:p>
    <w:p w14:paraId="07F78F51" w14:textId="7DEE9992" w:rsidR="00852886" w:rsidRPr="00852886" w:rsidRDefault="00852886" w:rsidP="00852886">
      <w:pPr>
        <w:jc w:val="both"/>
        <w:rPr>
          <w:rFonts w:ascii="Garamond" w:hAnsi="Garamond"/>
          <w:bCs/>
        </w:rPr>
      </w:pPr>
      <w:r w:rsidRPr="00852886">
        <w:rPr>
          <w:rFonts w:ascii="Garamond" w:hAnsi="Garamond"/>
          <w:bCs/>
        </w:rPr>
        <w:t xml:space="preserve">The </w:t>
      </w:r>
      <w:r w:rsidR="00251B3F">
        <w:rPr>
          <w:rFonts w:ascii="Garamond" w:hAnsi="Garamond"/>
          <w:bCs/>
        </w:rPr>
        <w:t>C</w:t>
      </w:r>
      <w:r w:rsidRPr="00852886">
        <w:rPr>
          <w:rFonts w:ascii="Garamond" w:hAnsi="Garamond"/>
          <w:bCs/>
        </w:rPr>
        <w:t xml:space="preserve">ourt rejects </w:t>
      </w:r>
      <w:r>
        <w:rPr>
          <w:rFonts w:ascii="Garamond" w:hAnsi="Garamond"/>
          <w:bCs/>
        </w:rPr>
        <w:t>the submission by counsel for Ms Meadows</w:t>
      </w:r>
      <w:r w:rsidRPr="00852886">
        <w:rPr>
          <w:rFonts w:ascii="Garamond" w:hAnsi="Garamond"/>
          <w:bCs/>
        </w:rPr>
        <w:t xml:space="preserve"> that the scope of duty principle does not apply to claims arising out of clinical negligence. There is no </w:t>
      </w:r>
      <w:r w:rsidR="00F17284">
        <w:rPr>
          <w:rFonts w:ascii="Garamond" w:hAnsi="Garamond"/>
          <w:bCs/>
        </w:rPr>
        <w:t>sound</w:t>
      </w:r>
      <w:r w:rsidRPr="00852886">
        <w:rPr>
          <w:rFonts w:ascii="Garamond" w:hAnsi="Garamond"/>
          <w:bCs/>
        </w:rPr>
        <w:t xml:space="preserve"> basis for excluding clinical negligence from </w:t>
      </w:r>
      <w:r w:rsidR="00F17284">
        <w:rPr>
          <w:rFonts w:ascii="Garamond" w:hAnsi="Garamond"/>
          <w:bCs/>
        </w:rPr>
        <w:t xml:space="preserve">the ambit of the principle </w:t>
      </w:r>
      <w:r w:rsidRPr="00852886">
        <w:rPr>
          <w:rFonts w:ascii="Garamond" w:hAnsi="Garamond"/>
          <w:bCs/>
        </w:rPr>
        <w:t xml:space="preserve">nor for confining the principle to </w:t>
      </w:r>
      <w:r w:rsidR="00F17284">
        <w:rPr>
          <w:rFonts w:ascii="Garamond" w:hAnsi="Garamond"/>
          <w:bCs/>
        </w:rPr>
        <w:t xml:space="preserve">cases involving </w:t>
      </w:r>
      <w:r w:rsidR="00461787">
        <w:rPr>
          <w:rFonts w:ascii="Garamond" w:hAnsi="Garamond"/>
          <w:bCs/>
        </w:rPr>
        <w:t xml:space="preserve">pure </w:t>
      </w:r>
      <w:r w:rsidRPr="00852886">
        <w:rPr>
          <w:rFonts w:ascii="Garamond" w:hAnsi="Garamond"/>
          <w:bCs/>
        </w:rPr>
        <w:t xml:space="preserve">economic loss arising in commercial transactions </w:t>
      </w:r>
      <w:r w:rsidRPr="00AB5B29">
        <w:rPr>
          <w:rFonts w:ascii="Garamond" w:hAnsi="Garamond"/>
          <w:b/>
        </w:rPr>
        <w:t>[62]</w:t>
      </w:r>
      <w:r w:rsidRPr="00852886">
        <w:rPr>
          <w:rFonts w:ascii="Garamond" w:hAnsi="Garamond"/>
          <w:bCs/>
        </w:rPr>
        <w:t>.</w:t>
      </w:r>
    </w:p>
    <w:p w14:paraId="3F41CFD2" w14:textId="77777777" w:rsidR="00852886" w:rsidRPr="00852886" w:rsidRDefault="00852886" w:rsidP="00852886">
      <w:pPr>
        <w:jc w:val="both"/>
        <w:rPr>
          <w:rFonts w:ascii="Garamond" w:hAnsi="Garamond"/>
          <w:bCs/>
        </w:rPr>
      </w:pPr>
    </w:p>
    <w:p w14:paraId="1FDD7215" w14:textId="21FD928B" w:rsidR="00E84E81" w:rsidRDefault="00852886" w:rsidP="00852886">
      <w:pPr>
        <w:jc w:val="both"/>
        <w:rPr>
          <w:rFonts w:ascii="Garamond" w:hAnsi="Garamond"/>
          <w:bCs/>
        </w:rPr>
      </w:pPr>
      <w:r w:rsidRPr="00852886">
        <w:rPr>
          <w:rFonts w:ascii="Garamond" w:hAnsi="Garamond"/>
          <w:bCs/>
        </w:rPr>
        <w:t>Applying the six-step model to the facts of the case, first, the economic costs of caring for a disabled child are clearly actionable. Second, Dr Khan’s advice was concerned with a specific risk, the risk of a child having haemophilia for which Dr Khan owed a duty of care to Ms Meadows. Third, Dr Khan was in breach of her duty. Fourth, as a matter of factual causation, there was a causal link between Dr Khan’s mistake and</w:t>
      </w:r>
      <w:r w:rsidR="0075724E">
        <w:rPr>
          <w:rFonts w:ascii="Garamond" w:hAnsi="Garamond"/>
          <w:bCs/>
        </w:rPr>
        <w:t xml:space="preserve"> the</w:t>
      </w:r>
      <w:r w:rsidRPr="00852886">
        <w:rPr>
          <w:rFonts w:ascii="Garamond" w:hAnsi="Garamond"/>
          <w:bCs/>
        </w:rPr>
        <w:t xml:space="preserve"> birth of Adejuwon. Fifth, the answer to the scope of duty question gives a straightforward answer to the duty nexus question: the law did not impose on Dr Khan any duty in relation to unrelated risks (such as autism) which might arise in any pregnancy.</w:t>
      </w:r>
      <w:r w:rsidR="00A177A7">
        <w:rPr>
          <w:rFonts w:ascii="Garamond" w:hAnsi="Garamond"/>
          <w:bCs/>
        </w:rPr>
        <w:t xml:space="preserve"> In any case, applying the </w:t>
      </w:r>
      <w:r w:rsidR="00A177A7" w:rsidRPr="00142EC9">
        <w:rPr>
          <w:rFonts w:ascii="Garamond" w:hAnsi="Garamond"/>
          <w:bCs/>
          <w:i/>
          <w:iCs/>
        </w:rPr>
        <w:t>SAAMCO</w:t>
      </w:r>
      <w:r w:rsidR="00A177A7">
        <w:rPr>
          <w:rFonts w:ascii="Garamond" w:hAnsi="Garamond"/>
          <w:bCs/>
        </w:rPr>
        <w:t xml:space="preserve"> counterfactual, </w:t>
      </w:r>
      <w:r w:rsidRPr="00852886">
        <w:rPr>
          <w:rFonts w:ascii="Garamond" w:hAnsi="Garamond"/>
          <w:bCs/>
        </w:rPr>
        <w:t>if Dr Khan’s advice had been correct</w:t>
      </w:r>
      <w:r w:rsidR="002073FF">
        <w:rPr>
          <w:rFonts w:ascii="Garamond" w:hAnsi="Garamond"/>
          <w:bCs/>
        </w:rPr>
        <w:t xml:space="preserve"> and all else remained the same, Adejuwon would have been born with autism. </w:t>
      </w:r>
      <w:r w:rsidRPr="00852886">
        <w:rPr>
          <w:rFonts w:ascii="Garamond" w:hAnsi="Garamond"/>
          <w:bCs/>
        </w:rPr>
        <w:t>Sixth, there being no questions o</w:t>
      </w:r>
      <w:r w:rsidR="002073FF">
        <w:rPr>
          <w:rFonts w:ascii="Garamond" w:hAnsi="Garamond"/>
          <w:bCs/>
        </w:rPr>
        <w:t>f</w:t>
      </w:r>
      <w:r w:rsidRPr="00852886">
        <w:rPr>
          <w:rFonts w:ascii="Garamond" w:hAnsi="Garamond"/>
          <w:bCs/>
        </w:rPr>
        <w:t xml:space="preserve"> remoteness, other effective cause or mitigation of loss, the law imposes on Dr Khan responsibility for the foreseeable consequences of the birth of a boy with haemophilia, and in particular the increased cost of caring for a child with haemophilia </w:t>
      </w:r>
      <w:r w:rsidRPr="002073FF">
        <w:rPr>
          <w:rFonts w:ascii="Garamond" w:hAnsi="Garamond"/>
          <w:b/>
        </w:rPr>
        <w:t>[67-68]</w:t>
      </w:r>
      <w:r w:rsidRPr="00852886">
        <w:rPr>
          <w:rFonts w:ascii="Garamond" w:hAnsi="Garamond"/>
          <w:bCs/>
        </w:rPr>
        <w:t>.</w:t>
      </w:r>
    </w:p>
    <w:p w14:paraId="2876528B" w14:textId="5E495C76" w:rsidR="00852886" w:rsidRDefault="00852886" w:rsidP="00732DC3">
      <w:pPr>
        <w:jc w:val="both"/>
        <w:rPr>
          <w:rFonts w:ascii="Garamond" w:hAnsi="Garamond"/>
          <w:bCs/>
        </w:rPr>
      </w:pPr>
    </w:p>
    <w:p w14:paraId="0E98B8F6" w14:textId="7E7B8807" w:rsidR="00852886" w:rsidRDefault="00852886" w:rsidP="00732DC3">
      <w:pPr>
        <w:jc w:val="both"/>
        <w:rPr>
          <w:rFonts w:ascii="Garamond" w:hAnsi="Garamond"/>
          <w:bCs/>
        </w:rPr>
      </w:pPr>
    </w:p>
    <w:p w14:paraId="641E6F20" w14:textId="4F343FB8" w:rsidR="00F81A4D" w:rsidRDefault="00F81A4D" w:rsidP="00732DC3">
      <w:pPr>
        <w:jc w:val="both"/>
        <w:rPr>
          <w:rFonts w:ascii="Garamond" w:hAnsi="Garamond"/>
          <w:bCs/>
        </w:rPr>
      </w:pPr>
    </w:p>
    <w:p w14:paraId="227D5EE5" w14:textId="77777777" w:rsidR="00F81A4D" w:rsidRDefault="00F81A4D" w:rsidP="00732DC3">
      <w:pPr>
        <w:jc w:val="both"/>
        <w:rPr>
          <w:rFonts w:ascii="Garamond" w:hAnsi="Garamond"/>
          <w:bCs/>
        </w:rPr>
      </w:pPr>
    </w:p>
    <w:p w14:paraId="5200A989" w14:textId="7E99FEC1" w:rsidR="00E540CC" w:rsidRDefault="00B37EAA" w:rsidP="003541CA">
      <w:pPr>
        <w:jc w:val="both"/>
        <w:rPr>
          <w:rFonts w:ascii="Garamond" w:hAnsi="Garamond"/>
          <w:bCs/>
        </w:rPr>
      </w:pPr>
      <w:r w:rsidRPr="00E540CC">
        <w:rPr>
          <w:rFonts w:ascii="Garamond" w:hAnsi="Garamond"/>
          <w:bCs/>
        </w:rPr>
        <w:t xml:space="preserve">Lord Burrows </w:t>
      </w:r>
      <w:r w:rsidR="00101B57" w:rsidRPr="00E540CC">
        <w:rPr>
          <w:rFonts w:ascii="Garamond" w:hAnsi="Garamond"/>
          <w:bCs/>
        </w:rPr>
        <w:t xml:space="preserve">and Lord Leggatt </w:t>
      </w:r>
      <w:r w:rsidR="00436113" w:rsidRPr="00E540CC">
        <w:rPr>
          <w:rFonts w:ascii="Garamond" w:hAnsi="Garamond"/>
          <w:bCs/>
        </w:rPr>
        <w:t>agree</w:t>
      </w:r>
      <w:r w:rsidR="00104569">
        <w:rPr>
          <w:rFonts w:ascii="Garamond" w:hAnsi="Garamond"/>
          <w:bCs/>
        </w:rPr>
        <w:t xml:space="preserve"> that the </w:t>
      </w:r>
      <w:r w:rsidR="005A5475">
        <w:rPr>
          <w:rFonts w:ascii="Garamond" w:hAnsi="Garamond"/>
          <w:bCs/>
        </w:rPr>
        <w:t>appeal should be dismissed</w:t>
      </w:r>
      <w:r w:rsidR="002460D1">
        <w:rPr>
          <w:rFonts w:ascii="Garamond" w:hAnsi="Garamond"/>
          <w:bCs/>
        </w:rPr>
        <w:t xml:space="preserve"> but each explain in their own words how they understand </w:t>
      </w:r>
      <w:r w:rsidR="002460D1" w:rsidRPr="002460D1">
        <w:rPr>
          <w:rFonts w:ascii="Garamond" w:hAnsi="Garamond"/>
          <w:bCs/>
          <w:i/>
          <w:iCs/>
        </w:rPr>
        <w:t xml:space="preserve">SAAMCO </w:t>
      </w:r>
      <w:r w:rsidR="002460D1">
        <w:rPr>
          <w:rFonts w:ascii="Garamond" w:hAnsi="Garamond"/>
          <w:bCs/>
        </w:rPr>
        <w:t>and its application to the facts of this case.</w:t>
      </w:r>
    </w:p>
    <w:p w14:paraId="007FBB33" w14:textId="3F3D4667" w:rsidR="002460D1" w:rsidRDefault="002460D1" w:rsidP="003541CA">
      <w:pPr>
        <w:jc w:val="both"/>
        <w:rPr>
          <w:rFonts w:ascii="Garamond" w:hAnsi="Garamond"/>
          <w:bCs/>
        </w:rPr>
      </w:pPr>
    </w:p>
    <w:p w14:paraId="2CC2C413" w14:textId="74CF3409" w:rsidR="002460D1" w:rsidRDefault="00A950C9" w:rsidP="003541CA">
      <w:pPr>
        <w:jc w:val="both"/>
        <w:rPr>
          <w:rFonts w:ascii="Garamond" w:hAnsi="Garamond"/>
          <w:bCs/>
        </w:rPr>
      </w:pPr>
      <w:r>
        <w:rPr>
          <w:rFonts w:ascii="Garamond" w:hAnsi="Garamond"/>
          <w:bCs/>
        </w:rPr>
        <w:t xml:space="preserve">Lord Burrows emphasises that the purpose of the advice or information is of central importance. </w:t>
      </w:r>
      <w:r w:rsidR="00A73D04">
        <w:rPr>
          <w:rFonts w:ascii="Garamond" w:hAnsi="Garamond"/>
          <w:bCs/>
        </w:rPr>
        <w:t>In light of the purpose</w:t>
      </w:r>
      <w:r w:rsidR="00BE0E62">
        <w:rPr>
          <w:rFonts w:ascii="Garamond" w:hAnsi="Garamond"/>
          <w:bCs/>
        </w:rPr>
        <w:t xml:space="preserve"> for which Ms Meadows approached the GP practice (to ascertain whether she was a carrier of </w:t>
      </w:r>
      <w:r w:rsidR="00C926BE">
        <w:rPr>
          <w:rFonts w:ascii="Garamond" w:hAnsi="Garamond"/>
          <w:bCs/>
        </w:rPr>
        <w:t xml:space="preserve">the </w:t>
      </w:r>
      <w:r w:rsidR="00BE0E62">
        <w:rPr>
          <w:rFonts w:ascii="Garamond" w:hAnsi="Garamond"/>
          <w:bCs/>
        </w:rPr>
        <w:t>haemophilia</w:t>
      </w:r>
      <w:r w:rsidR="00C926BE">
        <w:rPr>
          <w:rFonts w:ascii="Garamond" w:hAnsi="Garamond"/>
          <w:bCs/>
        </w:rPr>
        <w:t xml:space="preserve"> gene</w:t>
      </w:r>
      <w:r w:rsidR="00BE0E62">
        <w:rPr>
          <w:rFonts w:ascii="Garamond" w:hAnsi="Garamond"/>
          <w:bCs/>
        </w:rPr>
        <w:t>)</w:t>
      </w:r>
      <w:r w:rsidR="00A73D04">
        <w:rPr>
          <w:rFonts w:ascii="Garamond" w:hAnsi="Garamond"/>
          <w:bCs/>
        </w:rPr>
        <w:t xml:space="preserve"> it was fair and reasonable that that</w:t>
      </w:r>
      <w:r w:rsidR="009C7CC8">
        <w:rPr>
          <w:rFonts w:ascii="Garamond" w:hAnsi="Garamond"/>
          <w:bCs/>
        </w:rPr>
        <w:t xml:space="preserve"> the risk of a child being born with haemophilia should be allocated to Dr Khan. Applying the S</w:t>
      </w:r>
      <w:r w:rsidR="009C7CC8" w:rsidRPr="00ED7B47">
        <w:rPr>
          <w:rFonts w:ascii="Garamond" w:hAnsi="Garamond"/>
          <w:bCs/>
          <w:i/>
          <w:iCs/>
        </w:rPr>
        <w:t>AAMCO</w:t>
      </w:r>
      <w:r w:rsidR="009C7CC8">
        <w:rPr>
          <w:rFonts w:ascii="Garamond" w:hAnsi="Garamond"/>
          <w:bCs/>
        </w:rPr>
        <w:t xml:space="preserve"> counterfactual as a cross-check, it supports the conclusion that the losses</w:t>
      </w:r>
      <w:r w:rsidR="00D54F1F">
        <w:rPr>
          <w:rFonts w:ascii="Garamond" w:hAnsi="Garamond"/>
          <w:bCs/>
        </w:rPr>
        <w:t xml:space="preserve"> relating to Adejuwon’s autism</w:t>
      </w:r>
      <w:r w:rsidR="009C7CC8">
        <w:rPr>
          <w:rFonts w:ascii="Garamond" w:hAnsi="Garamond"/>
          <w:bCs/>
        </w:rPr>
        <w:t xml:space="preserve"> were outside the scope of Dr Khan’s duty of care</w:t>
      </w:r>
      <w:r w:rsidR="008F4A9E">
        <w:rPr>
          <w:rFonts w:ascii="Garamond" w:hAnsi="Garamond"/>
          <w:bCs/>
        </w:rPr>
        <w:t xml:space="preserve"> </w:t>
      </w:r>
      <w:r w:rsidR="008F4A9E" w:rsidRPr="008F4A9E">
        <w:rPr>
          <w:rFonts w:ascii="Garamond" w:hAnsi="Garamond"/>
          <w:b/>
        </w:rPr>
        <w:t>[77]</w:t>
      </w:r>
      <w:r w:rsidR="008F4A9E">
        <w:rPr>
          <w:rFonts w:ascii="Garamond" w:hAnsi="Garamond"/>
          <w:bCs/>
        </w:rPr>
        <w:t xml:space="preserve">. Lord Burrows </w:t>
      </w:r>
      <w:r w:rsidR="00675D8F">
        <w:rPr>
          <w:rFonts w:ascii="Garamond" w:hAnsi="Garamond"/>
          <w:bCs/>
        </w:rPr>
        <w:t xml:space="preserve">does not </w:t>
      </w:r>
      <w:r w:rsidR="00FB0ECA">
        <w:rPr>
          <w:rFonts w:ascii="Garamond" w:hAnsi="Garamond"/>
          <w:bCs/>
        </w:rPr>
        <w:t xml:space="preserve">consider the six-step model advocated by Lord Hodge and Lord Sales to be helpful or necessary in this case. He sets out his own </w:t>
      </w:r>
      <w:r w:rsidR="00352E14">
        <w:rPr>
          <w:rFonts w:ascii="Garamond" w:hAnsi="Garamond"/>
          <w:bCs/>
        </w:rPr>
        <w:t>approach</w:t>
      </w:r>
      <w:r w:rsidR="00854C13">
        <w:rPr>
          <w:rFonts w:ascii="Garamond" w:hAnsi="Garamond"/>
          <w:bCs/>
        </w:rPr>
        <w:t xml:space="preserve"> involving </w:t>
      </w:r>
      <w:r w:rsidR="00F71D18">
        <w:rPr>
          <w:rFonts w:ascii="Garamond" w:hAnsi="Garamond"/>
          <w:bCs/>
        </w:rPr>
        <w:t>seven</w:t>
      </w:r>
      <w:r w:rsidR="00854C13">
        <w:rPr>
          <w:rFonts w:ascii="Garamond" w:hAnsi="Garamond"/>
          <w:bCs/>
        </w:rPr>
        <w:t xml:space="preserve"> questions which he views as a more convention</w:t>
      </w:r>
      <w:r w:rsidR="00F501B9">
        <w:rPr>
          <w:rFonts w:ascii="Garamond" w:hAnsi="Garamond"/>
          <w:bCs/>
        </w:rPr>
        <w:t>al</w:t>
      </w:r>
      <w:r w:rsidR="00854C13">
        <w:rPr>
          <w:rFonts w:ascii="Garamond" w:hAnsi="Garamond"/>
          <w:bCs/>
        </w:rPr>
        <w:t xml:space="preserve"> structure of the tort of negligence </w:t>
      </w:r>
      <w:r w:rsidR="00854C13" w:rsidRPr="00854C13">
        <w:rPr>
          <w:rFonts w:ascii="Garamond" w:hAnsi="Garamond"/>
          <w:b/>
        </w:rPr>
        <w:t>[79]</w:t>
      </w:r>
      <w:r w:rsidR="00854C13">
        <w:rPr>
          <w:rFonts w:ascii="Garamond" w:hAnsi="Garamond"/>
          <w:bCs/>
        </w:rPr>
        <w:t>.</w:t>
      </w:r>
    </w:p>
    <w:p w14:paraId="43A2E740" w14:textId="5B8E62AE" w:rsidR="00F71D18" w:rsidRDefault="00F71D18" w:rsidP="003541CA">
      <w:pPr>
        <w:jc w:val="both"/>
        <w:rPr>
          <w:rFonts w:ascii="Garamond" w:hAnsi="Garamond"/>
          <w:bCs/>
        </w:rPr>
      </w:pPr>
    </w:p>
    <w:p w14:paraId="5A41F1C5" w14:textId="6B40C16E" w:rsidR="00575FD5" w:rsidRDefault="00F71D18" w:rsidP="00BE7A7E">
      <w:pPr>
        <w:jc w:val="both"/>
        <w:rPr>
          <w:rFonts w:ascii="Garamond" w:hAnsi="Garamond"/>
          <w:bCs/>
        </w:rPr>
      </w:pPr>
      <w:r>
        <w:rPr>
          <w:rFonts w:ascii="Garamond" w:hAnsi="Garamond"/>
          <w:bCs/>
        </w:rPr>
        <w:t>Lord Leggatt agrees</w:t>
      </w:r>
      <w:r w:rsidR="004D67F8">
        <w:rPr>
          <w:rFonts w:ascii="Garamond" w:hAnsi="Garamond"/>
          <w:bCs/>
        </w:rPr>
        <w:t xml:space="preserve"> that it is always necessary to determine whether</w:t>
      </w:r>
      <w:r w:rsidR="00D75494">
        <w:rPr>
          <w:rFonts w:ascii="Garamond" w:hAnsi="Garamond"/>
          <w:bCs/>
        </w:rPr>
        <w:t>,</w:t>
      </w:r>
      <w:r w:rsidR="004D67F8">
        <w:rPr>
          <w:rFonts w:ascii="Garamond" w:hAnsi="Garamond"/>
          <w:bCs/>
        </w:rPr>
        <w:t xml:space="preserve"> or to what extent</w:t>
      </w:r>
      <w:r w:rsidR="00D75494">
        <w:rPr>
          <w:rFonts w:ascii="Garamond" w:hAnsi="Garamond"/>
          <w:bCs/>
        </w:rPr>
        <w:t>,</w:t>
      </w:r>
      <w:r w:rsidR="004D67F8">
        <w:rPr>
          <w:rFonts w:ascii="Garamond" w:hAnsi="Garamond"/>
          <w:bCs/>
        </w:rPr>
        <w:t xml:space="preserve"> </w:t>
      </w:r>
      <w:r w:rsidR="00C56419">
        <w:rPr>
          <w:rFonts w:ascii="Garamond" w:hAnsi="Garamond"/>
          <w:bCs/>
        </w:rPr>
        <w:t>the claimant</w:t>
      </w:r>
      <w:r w:rsidR="00727CA1">
        <w:rPr>
          <w:rFonts w:ascii="Garamond" w:hAnsi="Garamond"/>
          <w:bCs/>
        </w:rPr>
        <w:t>’s “basic loss”</w:t>
      </w:r>
      <w:r w:rsidR="001A4831">
        <w:rPr>
          <w:rFonts w:ascii="Garamond" w:hAnsi="Garamond"/>
          <w:bCs/>
        </w:rPr>
        <w:t>(</w:t>
      </w:r>
      <w:r w:rsidR="00BF6CFC">
        <w:rPr>
          <w:rFonts w:ascii="Garamond" w:hAnsi="Garamond"/>
          <w:bCs/>
        </w:rPr>
        <w:t>i</w:t>
      </w:r>
      <w:r w:rsidR="007B69C0">
        <w:rPr>
          <w:rFonts w:ascii="Garamond" w:hAnsi="Garamond"/>
          <w:bCs/>
        </w:rPr>
        <w:t>e</w:t>
      </w:r>
      <w:r w:rsidR="00BF6CFC">
        <w:rPr>
          <w:rFonts w:ascii="Garamond" w:hAnsi="Garamond"/>
          <w:bCs/>
        </w:rPr>
        <w:t xml:space="preserve"> the </w:t>
      </w:r>
      <w:r w:rsidR="00F501B9">
        <w:rPr>
          <w:rFonts w:ascii="Garamond" w:hAnsi="Garamond"/>
          <w:bCs/>
        </w:rPr>
        <w:t>factually caused loss</w:t>
      </w:r>
      <w:r w:rsidR="00BF6CFC">
        <w:rPr>
          <w:rFonts w:ascii="Garamond" w:hAnsi="Garamond"/>
          <w:bCs/>
        </w:rPr>
        <w:t>)</w:t>
      </w:r>
      <w:r w:rsidR="00037262">
        <w:rPr>
          <w:rFonts w:ascii="Garamond" w:hAnsi="Garamond"/>
          <w:bCs/>
        </w:rPr>
        <w:t xml:space="preserve"> is within the scope of the defendant’s duty of care. While Lord Hodge and Lord Sales</w:t>
      </w:r>
      <w:r w:rsidR="00FB47CF">
        <w:rPr>
          <w:rFonts w:ascii="Garamond" w:hAnsi="Garamond"/>
          <w:bCs/>
        </w:rPr>
        <w:t xml:space="preserve"> call this the duty nexus </w:t>
      </w:r>
      <w:r w:rsidR="009C47E5">
        <w:rPr>
          <w:rFonts w:ascii="Garamond" w:hAnsi="Garamond"/>
          <w:bCs/>
        </w:rPr>
        <w:t>question, Lord Leggatt</w:t>
      </w:r>
      <w:r w:rsidR="00E54E68">
        <w:rPr>
          <w:rFonts w:ascii="Garamond" w:hAnsi="Garamond"/>
          <w:bCs/>
        </w:rPr>
        <w:t xml:space="preserve"> refers to this as</w:t>
      </w:r>
      <w:r w:rsidR="008E5BDA">
        <w:rPr>
          <w:rFonts w:ascii="Garamond" w:hAnsi="Garamond"/>
          <w:bCs/>
        </w:rPr>
        <w:t xml:space="preserve"> a</w:t>
      </w:r>
      <w:r w:rsidR="00E54E68">
        <w:rPr>
          <w:rFonts w:ascii="Garamond" w:hAnsi="Garamond"/>
          <w:bCs/>
        </w:rPr>
        <w:t xml:space="preserve"> causal connection </w:t>
      </w:r>
      <w:r w:rsidR="00E54E68" w:rsidRPr="00E54E68">
        <w:rPr>
          <w:rFonts w:ascii="Garamond" w:hAnsi="Garamond"/>
          <w:b/>
        </w:rPr>
        <w:t>[97]</w:t>
      </w:r>
      <w:r w:rsidR="00E54E68">
        <w:rPr>
          <w:rFonts w:ascii="Garamond" w:hAnsi="Garamond"/>
          <w:bCs/>
        </w:rPr>
        <w:t>.</w:t>
      </w:r>
      <w:r w:rsidR="004E076F">
        <w:rPr>
          <w:rFonts w:ascii="Garamond" w:hAnsi="Garamond"/>
          <w:bCs/>
        </w:rPr>
        <w:t xml:space="preserve"> </w:t>
      </w:r>
      <w:r w:rsidR="004E076F" w:rsidRPr="0064765A">
        <w:rPr>
          <w:rFonts w:ascii="Garamond" w:hAnsi="Garamond"/>
          <w:bCs/>
        </w:rPr>
        <w:t xml:space="preserve">The rationale underpinning the requirement to show a causal connection between </w:t>
      </w:r>
      <w:r w:rsidR="00B96389" w:rsidRPr="0064765A">
        <w:rPr>
          <w:rFonts w:ascii="Garamond" w:hAnsi="Garamond"/>
          <w:bCs/>
        </w:rPr>
        <w:t>the subject matter of the defendant’s advice and the claimant</w:t>
      </w:r>
      <w:r w:rsidR="00F00D9E" w:rsidRPr="0064765A">
        <w:rPr>
          <w:rFonts w:ascii="Garamond" w:hAnsi="Garamond"/>
          <w:bCs/>
        </w:rPr>
        <w:t>’</w:t>
      </w:r>
      <w:r w:rsidR="00B96389" w:rsidRPr="0064765A">
        <w:rPr>
          <w:rFonts w:ascii="Garamond" w:hAnsi="Garamond"/>
          <w:bCs/>
        </w:rPr>
        <w:t>s loss is that i</w:t>
      </w:r>
      <w:r w:rsidR="00185888" w:rsidRPr="0064765A">
        <w:rPr>
          <w:rFonts w:ascii="Garamond" w:hAnsi="Garamond"/>
          <w:bCs/>
        </w:rPr>
        <w:t xml:space="preserve">t is not fair and reasonable to impose on a professional adviser liability for adverse consequences which a person relying on the advice would have suffered even if the advice was </w:t>
      </w:r>
      <w:r w:rsidR="00F00D9E" w:rsidRPr="0064765A">
        <w:rPr>
          <w:rFonts w:ascii="Garamond" w:hAnsi="Garamond"/>
          <w:bCs/>
        </w:rPr>
        <w:t>sound. No</w:t>
      </w:r>
      <w:r w:rsidR="00F00D9E">
        <w:rPr>
          <w:rFonts w:ascii="Garamond" w:hAnsi="Garamond"/>
          <w:bCs/>
        </w:rPr>
        <w:t xml:space="preserve"> good reason has been given for treating doctors differently in this re</w:t>
      </w:r>
      <w:r w:rsidR="00796487">
        <w:rPr>
          <w:rFonts w:ascii="Garamond" w:hAnsi="Garamond"/>
          <w:bCs/>
        </w:rPr>
        <w:t>spect</w:t>
      </w:r>
      <w:r w:rsidR="00F00D9E">
        <w:rPr>
          <w:rFonts w:ascii="Garamond" w:hAnsi="Garamond"/>
          <w:bCs/>
        </w:rPr>
        <w:t xml:space="preserve"> </w:t>
      </w:r>
      <w:r w:rsidR="00F00D9E" w:rsidRPr="00F00D9E">
        <w:rPr>
          <w:rFonts w:ascii="Garamond" w:hAnsi="Garamond"/>
          <w:b/>
        </w:rPr>
        <w:t>[90]</w:t>
      </w:r>
      <w:r w:rsidR="00F00D9E">
        <w:rPr>
          <w:rFonts w:ascii="Garamond" w:hAnsi="Garamond"/>
          <w:bCs/>
        </w:rPr>
        <w:t>.</w:t>
      </w:r>
      <w:r w:rsidR="00B024D0">
        <w:rPr>
          <w:rFonts w:ascii="Garamond" w:hAnsi="Garamond"/>
          <w:bCs/>
        </w:rPr>
        <w:t xml:space="preserve"> There is no need to apply the</w:t>
      </w:r>
      <w:r w:rsidR="00B024D0" w:rsidRPr="00F60691">
        <w:rPr>
          <w:rFonts w:ascii="Garamond" w:hAnsi="Garamond"/>
          <w:bCs/>
          <w:i/>
          <w:iCs/>
        </w:rPr>
        <w:t xml:space="preserve"> SAAMCO</w:t>
      </w:r>
      <w:r w:rsidR="00B024D0">
        <w:rPr>
          <w:rFonts w:ascii="Garamond" w:hAnsi="Garamond"/>
          <w:bCs/>
        </w:rPr>
        <w:t xml:space="preserve"> counterfactual in this case but no difficulty in doing so</w:t>
      </w:r>
      <w:r w:rsidR="00BE7A7E">
        <w:rPr>
          <w:rFonts w:ascii="Garamond" w:hAnsi="Garamond"/>
          <w:bCs/>
        </w:rPr>
        <w:t xml:space="preserve">. If the advice had been correct, Adejuwon would still have been born with autism </w:t>
      </w:r>
      <w:r w:rsidR="00BE7A7E" w:rsidRPr="00BE7A7E">
        <w:rPr>
          <w:rFonts w:ascii="Garamond" w:hAnsi="Garamond"/>
          <w:b/>
        </w:rPr>
        <w:t>[95]</w:t>
      </w:r>
      <w:r w:rsidR="00BE7A7E">
        <w:rPr>
          <w:rFonts w:ascii="Garamond" w:hAnsi="Garamond"/>
          <w:bCs/>
        </w:rPr>
        <w:t xml:space="preserve">. </w:t>
      </w:r>
    </w:p>
    <w:p w14:paraId="198CFD87" w14:textId="4C0C3C46" w:rsidR="00BE7A7E" w:rsidRDefault="00BE7A7E" w:rsidP="00BE7A7E">
      <w:pPr>
        <w:jc w:val="both"/>
        <w:rPr>
          <w:rFonts w:ascii="Garamond" w:hAnsi="Garamond"/>
          <w:bCs/>
        </w:rPr>
      </w:pPr>
    </w:p>
    <w:p w14:paraId="0C711EC7" w14:textId="6AB6677F" w:rsidR="00F81A4D" w:rsidRDefault="00F81A4D" w:rsidP="00BE7A7E">
      <w:pPr>
        <w:jc w:val="both"/>
        <w:rPr>
          <w:rFonts w:ascii="Garamond" w:hAnsi="Garamond"/>
          <w:bCs/>
        </w:rPr>
      </w:pPr>
    </w:p>
    <w:p w14:paraId="72AD5D9B" w14:textId="7FED07C7" w:rsidR="00F81A4D" w:rsidRDefault="00F81A4D" w:rsidP="00BE7A7E">
      <w:pPr>
        <w:jc w:val="both"/>
        <w:rPr>
          <w:rFonts w:ascii="Garamond" w:hAnsi="Garamond"/>
          <w:bCs/>
        </w:rPr>
      </w:pPr>
    </w:p>
    <w:p w14:paraId="435062E4" w14:textId="77777777" w:rsidR="00F81A4D" w:rsidRPr="00BE7A7E" w:rsidRDefault="00F81A4D" w:rsidP="00BE7A7E">
      <w:pPr>
        <w:jc w:val="both"/>
        <w:rPr>
          <w:rFonts w:ascii="Garamond" w:hAnsi="Garamond"/>
          <w:bCs/>
        </w:rPr>
      </w:pPr>
    </w:p>
    <w:p w14:paraId="17F0EB5F" w14:textId="77777777" w:rsidR="009621B7" w:rsidRPr="00566BC2" w:rsidRDefault="00566BC2" w:rsidP="009621B7">
      <w:pPr>
        <w:rPr>
          <w:rFonts w:ascii="Garamond" w:hAnsi="Garamond"/>
          <w:i/>
        </w:rPr>
      </w:pPr>
      <w:r w:rsidRPr="00566BC2">
        <w:rPr>
          <w:rFonts w:ascii="Garamond" w:hAnsi="Garamond"/>
          <w:i/>
        </w:rPr>
        <w:t>References in square brackets are to paragraphs in the judgment</w:t>
      </w:r>
    </w:p>
    <w:p w14:paraId="049F31CB" w14:textId="77777777" w:rsidR="00FA3D1D" w:rsidRDefault="00FA3D1D" w:rsidP="009621B7">
      <w:pPr>
        <w:rPr>
          <w:rFonts w:ascii="Garamond" w:hAnsi="Garamond"/>
        </w:rPr>
      </w:pPr>
    </w:p>
    <w:p w14:paraId="53128261" w14:textId="77777777" w:rsidR="00FA3D1D" w:rsidRDefault="00FA3D1D" w:rsidP="009621B7">
      <w:pPr>
        <w:rPr>
          <w:rFonts w:ascii="Garamond" w:hAnsi="Garamond"/>
        </w:rPr>
      </w:pPr>
    </w:p>
    <w:p w14:paraId="18C4D82F" w14:textId="77777777" w:rsidR="00A16C02" w:rsidRPr="00775EE3" w:rsidRDefault="00A16C02" w:rsidP="009621B7">
      <w:pPr>
        <w:rPr>
          <w:rFonts w:ascii="Garamond" w:hAnsi="Garamond"/>
          <w:b/>
          <w:u w:val="single"/>
        </w:rPr>
      </w:pPr>
      <w:r w:rsidRPr="00775EE3">
        <w:rPr>
          <w:rFonts w:ascii="Garamond" w:hAnsi="Garamond"/>
          <w:b/>
          <w:u w:val="single"/>
        </w:rPr>
        <w:t>NOTE</w:t>
      </w:r>
    </w:p>
    <w:p w14:paraId="7E7D1CCD" w14:textId="77777777" w:rsidR="00A16C02" w:rsidRPr="00775EE3" w:rsidRDefault="00A16C02" w:rsidP="00A16C02">
      <w:pPr>
        <w:rPr>
          <w:rFonts w:ascii="Garamond" w:hAnsi="Garamond"/>
          <w:b/>
        </w:rPr>
      </w:pPr>
      <w:r w:rsidRPr="00775EE3">
        <w:rPr>
          <w:rFonts w:ascii="Garamond" w:hAnsi="Garamond"/>
          <w:b/>
        </w:rPr>
        <w:t>This summary is provided to assist in understanding the Court’s decision.  It does not form part of the reasons for the decision.  The full judgment of the Court is the only</w:t>
      </w:r>
      <w:r w:rsidR="004B0054">
        <w:rPr>
          <w:rFonts w:ascii="Garamond" w:hAnsi="Garamond"/>
          <w:b/>
        </w:rPr>
        <w:t xml:space="preserve"> authoritative document.   Judg</w:t>
      </w:r>
      <w:r w:rsidRPr="00775EE3">
        <w:rPr>
          <w:rFonts w:ascii="Garamond" w:hAnsi="Garamond"/>
          <w:b/>
        </w:rPr>
        <w:t>ments are public documents and are available at:</w:t>
      </w:r>
    </w:p>
    <w:p w14:paraId="21FCB6BE" w14:textId="77777777" w:rsidR="006D6D23" w:rsidRPr="006D6D23" w:rsidRDefault="00A46207" w:rsidP="004F156B">
      <w:pPr>
        <w:rPr>
          <w:rFonts w:ascii="Garamond" w:hAnsi="Garamond"/>
        </w:rPr>
      </w:pPr>
      <w:hyperlink r:id="rId12" w:history="1">
        <w:r w:rsidR="00677EF9" w:rsidRPr="00D87E58">
          <w:rPr>
            <w:rStyle w:val="Hyperlink"/>
            <w:rFonts w:ascii="Garamond" w:hAnsi="Garamond"/>
          </w:rPr>
          <w:t>http://supre</w:t>
        </w:r>
        <w:r w:rsidR="00305E6A">
          <w:rPr>
            <w:rStyle w:val="Hyperlink"/>
            <w:rFonts w:ascii="Garamond" w:hAnsi="Garamond"/>
          </w:rPr>
          <w:t>mecourt.uk/decided-cases/index.</w:t>
        </w:r>
        <w:r w:rsidR="00677EF9" w:rsidRPr="00D87E58">
          <w:rPr>
            <w:rStyle w:val="Hyperlink"/>
            <w:rFonts w:ascii="Garamond" w:hAnsi="Garamond"/>
          </w:rPr>
          <w:t>html</w:t>
        </w:r>
      </w:hyperlink>
      <w:r w:rsidR="00677EF9">
        <w:rPr>
          <w:rFonts w:ascii="Garamond" w:hAnsi="Garamond"/>
        </w:rPr>
        <w:t xml:space="preserve"> </w:t>
      </w:r>
      <w:r w:rsidR="00B73D9F">
        <w:rPr>
          <w:rFonts w:ascii="Garamond" w:hAnsi="Garamond"/>
        </w:rPr>
        <w:t xml:space="preserve"> </w:t>
      </w:r>
      <w:r w:rsidR="004F156B">
        <w:rPr>
          <w:rFonts w:ascii="Garamond" w:hAnsi="Garamond"/>
        </w:rPr>
        <w:t xml:space="preserve">  </w:t>
      </w:r>
    </w:p>
    <w:sectPr w:rsidR="006D6D23" w:rsidRPr="006D6D23" w:rsidSect="00437284">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EC49" w14:textId="77777777" w:rsidR="00A34ACA" w:rsidRDefault="00A34ACA">
      <w:r>
        <w:separator/>
      </w:r>
    </w:p>
  </w:endnote>
  <w:endnote w:type="continuationSeparator" w:id="0">
    <w:p w14:paraId="599496FD" w14:textId="77777777" w:rsidR="00A34ACA" w:rsidRDefault="00A3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3BA7" w14:textId="77777777" w:rsidR="00762D19" w:rsidRDefault="00762D19"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4B3C7364" w14:textId="77777777" w:rsidR="00762D19" w:rsidRPr="00821EB9" w:rsidRDefault="00762D19"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4DDBEF00" w14:textId="77777777"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D613" w14:textId="77777777" w:rsidR="00A34ACA" w:rsidRDefault="00A34ACA">
      <w:r>
        <w:separator/>
      </w:r>
    </w:p>
  </w:footnote>
  <w:footnote w:type="continuationSeparator" w:id="0">
    <w:p w14:paraId="3BF9F26B" w14:textId="77777777" w:rsidR="00A34ACA" w:rsidRDefault="00A34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42061"/>
    <w:multiLevelType w:val="hybridMultilevel"/>
    <w:tmpl w:val="A54E3C16"/>
    <w:lvl w:ilvl="0" w:tplc="A4328F7A">
      <w:start w:val="1"/>
      <w:numFmt w:val="decimal"/>
      <w:lvlText w:val="%1."/>
      <w:lvlJc w:val="left"/>
      <w:pPr>
        <w:ind w:left="360" w:hanging="360"/>
      </w:pPr>
      <w:rPr>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3319168B"/>
    <w:multiLevelType w:val="hybridMultilevel"/>
    <w:tmpl w:val="F9F60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3210A5"/>
    <w:multiLevelType w:val="hybridMultilevel"/>
    <w:tmpl w:val="73E697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4B6B77"/>
    <w:multiLevelType w:val="hybridMultilevel"/>
    <w:tmpl w:val="0862FE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5D70B9F"/>
    <w:multiLevelType w:val="multilevel"/>
    <w:tmpl w:val="36F0104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1"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8"/>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1"/>
  </w:num>
  <w:num w:numId="7">
    <w:abstractNumId w:val="1"/>
  </w:num>
  <w:num w:numId="8">
    <w:abstractNumId w:val="4"/>
  </w:num>
  <w:num w:numId="9">
    <w:abstractNumId w:val="2"/>
  </w:num>
  <w:num w:numId="10">
    <w:abstractNumId w:val="7"/>
  </w:num>
  <w:num w:numId="11">
    <w:abstractNumId w:val="10"/>
  </w:num>
  <w:num w:numId="12">
    <w:abstractNumId w:val="10"/>
    <w:lvlOverride w:ilvl="0">
      <w:lvl w:ilvl="0">
        <w:start w:val="1"/>
        <w:numFmt w:val="decimal"/>
        <w:pStyle w:val="ParaLevel1"/>
        <w:lvlText w:val="%1."/>
        <w:lvlJc w:val="left"/>
        <w:pPr>
          <w:tabs>
            <w:tab w:val="num" w:pos="720"/>
          </w:tabs>
          <w:ind w:left="720" w:hanging="720"/>
        </w:pPr>
        <w:rPr>
          <w:rFonts w:hint="default"/>
          <w:b w:val="0"/>
          <w:i w:val="0"/>
          <w:u w:val="none"/>
        </w:rPr>
      </w:lvl>
    </w:lvlOverride>
    <w:lvlOverride w:ilvl="1">
      <w:lvl w:ilvl="1">
        <w:start w:val="1"/>
        <w:numFmt w:val="decimal"/>
        <w:pStyle w:val="ParaLevel2"/>
        <w:lvlText w:val="(%2)"/>
        <w:lvlJc w:val="left"/>
        <w:pPr>
          <w:tabs>
            <w:tab w:val="num" w:pos="1418"/>
          </w:tabs>
          <w:ind w:left="1418" w:hanging="709"/>
        </w:pPr>
        <w:rPr>
          <w:rFonts w:hint="default"/>
          <w:b w:val="0"/>
          <w:i w:val="0"/>
        </w:rPr>
      </w:lvl>
    </w:lvlOverride>
    <w:lvlOverride w:ilvl="2">
      <w:lvl w:ilvl="2">
        <w:start w:val="1"/>
        <w:numFmt w:val="lowerLetter"/>
        <w:pStyle w:val="ParaLevel3"/>
        <w:lvlText w:val="%3)"/>
        <w:lvlJc w:val="left"/>
        <w:pPr>
          <w:tabs>
            <w:tab w:val="num" w:pos="2127"/>
          </w:tabs>
          <w:ind w:left="2127" w:hanging="709"/>
        </w:pPr>
        <w:rPr>
          <w:rFonts w:hint="default"/>
        </w:rPr>
      </w:lvl>
    </w:lvlOverride>
    <w:lvlOverride w:ilvl="3">
      <w:lvl w:ilvl="3">
        <w:start w:val="1"/>
        <w:numFmt w:val="lowerRoman"/>
        <w:pStyle w:val="ParaLevel4"/>
        <w:lvlText w:val="%4)"/>
        <w:lvlJc w:val="left"/>
        <w:pPr>
          <w:tabs>
            <w:tab w:val="num" w:pos="2836"/>
          </w:tabs>
          <w:ind w:left="2836" w:hanging="709"/>
        </w:pPr>
        <w:rPr>
          <w:rFonts w:hint="default"/>
        </w:rPr>
      </w:lvl>
    </w:lvlOverride>
    <w:lvlOverride w:ilvl="4">
      <w:lvl w:ilvl="4">
        <w:start w:val="1"/>
        <w:numFmt w:val="lowerLetter"/>
        <w:pStyle w:val="ParaLevel5"/>
        <w:lvlText w:val="(%5)"/>
        <w:lvlJc w:val="left"/>
        <w:pPr>
          <w:tabs>
            <w:tab w:val="num" w:pos="3545"/>
          </w:tabs>
          <w:ind w:left="3545" w:hanging="709"/>
        </w:pPr>
        <w:rPr>
          <w:rFonts w:hint="default"/>
        </w:rPr>
      </w:lvl>
    </w:lvlOverride>
    <w:lvlOverride w:ilvl="5">
      <w:lvl w:ilvl="5">
        <w:start w:val="1"/>
        <w:numFmt w:val="lowerRoman"/>
        <w:pStyle w:val="ParaLevel6"/>
        <w:lvlText w:val="(%6)"/>
        <w:lvlJc w:val="left"/>
        <w:pPr>
          <w:tabs>
            <w:tab w:val="num" w:pos="4254"/>
          </w:tabs>
          <w:ind w:left="4254" w:hanging="709"/>
        </w:pPr>
        <w:rPr>
          <w:rFonts w:hint="default"/>
        </w:rPr>
      </w:lvl>
    </w:lvlOverride>
    <w:lvlOverride w:ilvl="6">
      <w:lvl w:ilvl="6">
        <w:start w:val="1"/>
        <w:numFmt w:val="lowerLetter"/>
        <w:pStyle w:val="ParaLevel7"/>
        <w:lvlText w:val="(%7)"/>
        <w:lvlJc w:val="left"/>
        <w:pPr>
          <w:tabs>
            <w:tab w:val="num" w:pos="4963"/>
          </w:tabs>
          <w:ind w:left="4963" w:hanging="709"/>
        </w:pPr>
        <w:rPr>
          <w:rFonts w:hint="default"/>
        </w:rPr>
      </w:lvl>
    </w:lvlOverride>
    <w:lvlOverride w:ilvl="7">
      <w:lvl w:ilvl="7">
        <w:start w:val="1"/>
        <w:numFmt w:val="lowerRoman"/>
        <w:pStyle w:val="ParaLevel8"/>
        <w:lvlText w:val="(%8)"/>
        <w:lvlJc w:val="left"/>
        <w:pPr>
          <w:tabs>
            <w:tab w:val="num" w:pos="5672"/>
          </w:tabs>
          <w:ind w:left="5672" w:hanging="709"/>
        </w:pPr>
        <w:rPr>
          <w:rFonts w:hint="default"/>
        </w:rPr>
      </w:lvl>
    </w:lvlOverride>
    <w:lvlOverride w:ilvl="8">
      <w:lvl w:ilvl="8">
        <w:start w:val="1"/>
        <w:numFmt w:val="lowerLetter"/>
        <w:pStyle w:val="ParaLevel9"/>
        <w:lvlText w:val="(%9)"/>
        <w:lvlJc w:val="left"/>
        <w:pPr>
          <w:tabs>
            <w:tab w:val="num" w:pos="6381"/>
          </w:tabs>
          <w:ind w:left="6381" w:hanging="709"/>
        </w:pPr>
        <w:rPr>
          <w:rFonts w:hint="default"/>
        </w:rPr>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2"/>
    <w:rsid w:val="000005FE"/>
    <w:rsid w:val="00000683"/>
    <w:rsid w:val="00003ADE"/>
    <w:rsid w:val="000106D6"/>
    <w:rsid w:val="00012EE6"/>
    <w:rsid w:val="000203AF"/>
    <w:rsid w:val="00027162"/>
    <w:rsid w:val="00027726"/>
    <w:rsid w:val="000330C1"/>
    <w:rsid w:val="0003384B"/>
    <w:rsid w:val="00036CBC"/>
    <w:rsid w:val="00037262"/>
    <w:rsid w:val="00040DAA"/>
    <w:rsid w:val="00045474"/>
    <w:rsid w:val="000477EB"/>
    <w:rsid w:val="0005191A"/>
    <w:rsid w:val="00055D2D"/>
    <w:rsid w:val="000575DB"/>
    <w:rsid w:val="00064056"/>
    <w:rsid w:val="00065E05"/>
    <w:rsid w:val="00071A14"/>
    <w:rsid w:val="00072728"/>
    <w:rsid w:val="00074C03"/>
    <w:rsid w:val="00086F57"/>
    <w:rsid w:val="000948B2"/>
    <w:rsid w:val="000977F1"/>
    <w:rsid w:val="000A30B5"/>
    <w:rsid w:val="000A3B6A"/>
    <w:rsid w:val="000A455A"/>
    <w:rsid w:val="000B3E81"/>
    <w:rsid w:val="000B447B"/>
    <w:rsid w:val="000B57AA"/>
    <w:rsid w:val="000B7A7F"/>
    <w:rsid w:val="000C0D64"/>
    <w:rsid w:val="000C1F8D"/>
    <w:rsid w:val="000C2A92"/>
    <w:rsid w:val="000C425A"/>
    <w:rsid w:val="000C4B6C"/>
    <w:rsid w:val="000C618E"/>
    <w:rsid w:val="000D20A0"/>
    <w:rsid w:val="000D6187"/>
    <w:rsid w:val="000E09EF"/>
    <w:rsid w:val="000E5194"/>
    <w:rsid w:val="000E6359"/>
    <w:rsid w:val="000E7AAB"/>
    <w:rsid w:val="000F2F42"/>
    <w:rsid w:val="000F4B66"/>
    <w:rsid w:val="000F526F"/>
    <w:rsid w:val="000F7397"/>
    <w:rsid w:val="00101B57"/>
    <w:rsid w:val="00104569"/>
    <w:rsid w:val="00104A30"/>
    <w:rsid w:val="00105EAC"/>
    <w:rsid w:val="00105F32"/>
    <w:rsid w:val="0011094F"/>
    <w:rsid w:val="00125CC7"/>
    <w:rsid w:val="00127FE3"/>
    <w:rsid w:val="001320F0"/>
    <w:rsid w:val="00134213"/>
    <w:rsid w:val="001374DD"/>
    <w:rsid w:val="00140090"/>
    <w:rsid w:val="001418CE"/>
    <w:rsid w:val="00142EC9"/>
    <w:rsid w:val="00146C42"/>
    <w:rsid w:val="0015103F"/>
    <w:rsid w:val="0015132D"/>
    <w:rsid w:val="001538C2"/>
    <w:rsid w:val="00154BC1"/>
    <w:rsid w:val="001561B2"/>
    <w:rsid w:val="00160943"/>
    <w:rsid w:val="001612F7"/>
    <w:rsid w:val="00170AAD"/>
    <w:rsid w:val="00185888"/>
    <w:rsid w:val="0019381D"/>
    <w:rsid w:val="00193A43"/>
    <w:rsid w:val="001974C0"/>
    <w:rsid w:val="001A2C39"/>
    <w:rsid w:val="001A4831"/>
    <w:rsid w:val="001A6630"/>
    <w:rsid w:val="001A6CB8"/>
    <w:rsid w:val="001B1894"/>
    <w:rsid w:val="001C06D4"/>
    <w:rsid w:val="001C0CF6"/>
    <w:rsid w:val="001C78CB"/>
    <w:rsid w:val="001D2772"/>
    <w:rsid w:val="001D2CAB"/>
    <w:rsid w:val="001D4B11"/>
    <w:rsid w:val="001E14A2"/>
    <w:rsid w:val="001E787F"/>
    <w:rsid w:val="001F4EF0"/>
    <w:rsid w:val="00203C23"/>
    <w:rsid w:val="002073FF"/>
    <w:rsid w:val="00207405"/>
    <w:rsid w:val="00210AAC"/>
    <w:rsid w:val="002110D1"/>
    <w:rsid w:val="00212D7C"/>
    <w:rsid w:val="00217E5C"/>
    <w:rsid w:val="002212C4"/>
    <w:rsid w:val="00222F7B"/>
    <w:rsid w:val="00227139"/>
    <w:rsid w:val="00231814"/>
    <w:rsid w:val="00232001"/>
    <w:rsid w:val="00234C69"/>
    <w:rsid w:val="00242AF2"/>
    <w:rsid w:val="00242E6A"/>
    <w:rsid w:val="00244893"/>
    <w:rsid w:val="002460D1"/>
    <w:rsid w:val="002477D8"/>
    <w:rsid w:val="0025011D"/>
    <w:rsid w:val="00251B3F"/>
    <w:rsid w:val="002720B8"/>
    <w:rsid w:val="00275CA8"/>
    <w:rsid w:val="00282AF2"/>
    <w:rsid w:val="0029072E"/>
    <w:rsid w:val="00290EC8"/>
    <w:rsid w:val="00292164"/>
    <w:rsid w:val="00292165"/>
    <w:rsid w:val="002A152D"/>
    <w:rsid w:val="002A15E6"/>
    <w:rsid w:val="002A3DAF"/>
    <w:rsid w:val="002A4432"/>
    <w:rsid w:val="002A6E8C"/>
    <w:rsid w:val="002B0F59"/>
    <w:rsid w:val="002B3E29"/>
    <w:rsid w:val="002B631E"/>
    <w:rsid w:val="002C3DBC"/>
    <w:rsid w:val="002C4175"/>
    <w:rsid w:val="002D2326"/>
    <w:rsid w:val="002D238B"/>
    <w:rsid w:val="002D3646"/>
    <w:rsid w:val="002D3999"/>
    <w:rsid w:val="002E30D8"/>
    <w:rsid w:val="002E340D"/>
    <w:rsid w:val="002E395E"/>
    <w:rsid w:val="002E6749"/>
    <w:rsid w:val="002E68AA"/>
    <w:rsid w:val="002E789A"/>
    <w:rsid w:val="002F02D5"/>
    <w:rsid w:val="002F4DEF"/>
    <w:rsid w:val="002F582D"/>
    <w:rsid w:val="002F6ADC"/>
    <w:rsid w:val="00301FA7"/>
    <w:rsid w:val="00305E6A"/>
    <w:rsid w:val="00307AC8"/>
    <w:rsid w:val="00312D2C"/>
    <w:rsid w:val="003156A6"/>
    <w:rsid w:val="00321997"/>
    <w:rsid w:val="003226AD"/>
    <w:rsid w:val="00330185"/>
    <w:rsid w:val="003334B7"/>
    <w:rsid w:val="00333889"/>
    <w:rsid w:val="0033502D"/>
    <w:rsid w:val="003364B8"/>
    <w:rsid w:val="00337267"/>
    <w:rsid w:val="00346725"/>
    <w:rsid w:val="003479F0"/>
    <w:rsid w:val="00351EF4"/>
    <w:rsid w:val="00352E14"/>
    <w:rsid w:val="003530A6"/>
    <w:rsid w:val="003541CA"/>
    <w:rsid w:val="00362343"/>
    <w:rsid w:val="00366246"/>
    <w:rsid w:val="00371D36"/>
    <w:rsid w:val="0037345C"/>
    <w:rsid w:val="00376B17"/>
    <w:rsid w:val="003808B5"/>
    <w:rsid w:val="0038189A"/>
    <w:rsid w:val="00383B78"/>
    <w:rsid w:val="003865D2"/>
    <w:rsid w:val="00392B03"/>
    <w:rsid w:val="0039570F"/>
    <w:rsid w:val="00396504"/>
    <w:rsid w:val="003A1725"/>
    <w:rsid w:val="003B7C5F"/>
    <w:rsid w:val="003C4482"/>
    <w:rsid w:val="003C49AF"/>
    <w:rsid w:val="003D007E"/>
    <w:rsid w:val="003D6B9E"/>
    <w:rsid w:val="003D7C76"/>
    <w:rsid w:val="003D7D7D"/>
    <w:rsid w:val="003E029F"/>
    <w:rsid w:val="003E07E2"/>
    <w:rsid w:val="003E7AC8"/>
    <w:rsid w:val="003F6EBD"/>
    <w:rsid w:val="004166CF"/>
    <w:rsid w:val="00425E21"/>
    <w:rsid w:val="00426D03"/>
    <w:rsid w:val="004304E8"/>
    <w:rsid w:val="00431BDD"/>
    <w:rsid w:val="00435A91"/>
    <w:rsid w:val="00436113"/>
    <w:rsid w:val="00437284"/>
    <w:rsid w:val="0044063A"/>
    <w:rsid w:val="0044315A"/>
    <w:rsid w:val="00443E3A"/>
    <w:rsid w:val="00444CC8"/>
    <w:rsid w:val="004470C3"/>
    <w:rsid w:val="00452620"/>
    <w:rsid w:val="0045464C"/>
    <w:rsid w:val="00461787"/>
    <w:rsid w:val="00470A50"/>
    <w:rsid w:val="00474DE9"/>
    <w:rsid w:val="00476624"/>
    <w:rsid w:val="0047770B"/>
    <w:rsid w:val="00480EEA"/>
    <w:rsid w:val="00482F95"/>
    <w:rsid w:val="00493DA4"/>
    <w:rsid w:val="004959CB"/>
    <w:rsid w:val="00496941"/>
    <w:rsid w:val="004979A3"/>
    <w:rsid w:val="004A12FA"/>
    <w:rsid w:val="004A325F"/>
    <w:rsid w:val="004B0054"/>
    <w:rsid w:val="004B2973"/>
    <w:rsid w:val="004B58B8"/>
    <w:rsid w:val="004C1125"/>
    <w:rsid w:val="004C14A9"/>
    <w:rsid w:val="004C3845"/>
    <w:rsid w:val="004C49F1"/>
    <w:rsid w:val="004D373F"/>
    <w:rsid w:val="004D50C5"/>
    <w:rsid w:val="004D67F8"/>
    <w:rsid w:val="004E076F"/>
    <w:rsid w:val="004E175B"/>
    <w:rsid w:val="004E4956"/>
    <w:rsid w:val="004F0C57"/>
    <w:rsid w:val="004F12B4"/>
    <w:rsid w:val="004F156B"/>
    <w:rsid w:val="004F2030"/>
    <w:rsid w:val="004F433A"/>
    <w:rsid w:val="004F5B88"/>
    <w:rsid w:val="004F7734"/>
    <w:rsid w:val="00505336"/>
    <w:rsid w:val="005062A5"/>
    <w:rsid w:val="005151D7"/>
    <w:rsid w:val="00515819"/>
    <w:rsid w:val="00516039"/>
    <w:rsid w:val="005160E4"/>
    <w:rsid w:val="00516B18"/>
    <w:rsid w:val="00517F87"/>
    <w:rsid w:val="00522E3B"/>
    <w:rsid w:val="00536BE4"/>
    <w:rsid w:val="00543221"/>
    <w:rsid w:val="0054664F"/>
    <w:rsid w:val="00547692"/>
    <w:rsid w:val="00550C8D"/>
    <w:rsid w:val="0055369E"/>
    <w:rsid w:val="005544A5"/>
    <w:rsid w:val="0055709E"/>
    <w:rsid w:val="00557464"/>
    <w:rsid w:val="005617A4"/>
    <w:rsid w:val="00561828"/>
    <w:rsid w:val="00562D94"/>
    <w:rsid w:val="00566BC2"/>
    <w:rsid w:val="00566D6A"/>
    <w:rsid w:val="00570219"/>
    <w:rsid w:val="00570220"/>
    <w:rsid w:val="00572E9D"/>
    <w:rsid w:val="00574723"/>
    <w:rsid w:val="00575FD5"/>
    <w:rsid w:val="005817DB"/>
    <w:rsid w:val="00582CFA"/>
    <w:rsid w:val="00583A80"/>
    <w:rsid w:val="00585122"/>
    <w:rsid w:val="00587DCB"/>
    <w:rsid w:val="005907D4"/>
    <w:rsid w:val="00590DB5"/>
    <w:rsid w:val="00591F3E"/>
    <w:rsid w:val="005A5475"/>
    <w:rsid w:val="005B5088"/>
    <w:rsid w:val="005E0F87"/>
    <w:rsid w:val="005E2C6B"/>
    <w:rsid w:val="005E6AE8"/>
    <w:rsid w:val="005F603D"/>
    <w:rsid w:val="006002B2"/>
    <w:rsid w:val="00600BC3"/>
    <w:rsid w:val="00606052"/>
    <w:rsid w:val="00606A45"/>
    <w:rsid w:val="00610304"/>
    <w:rsid w:val="006170A4"/>
    <w:rsid w:val="00625612"/>
    <w:rsid w:val="006340A5"/>
    <w:rsid w:val="00635331"/>
    <w:rsid w:val="006368EB"/>
    <w:rsid w:val="006454E9"/>
    <w:rsid w:val="00646B75"/>
    <w:rsid w:val="0064765A"/>
    <w:rsid w:val="00647FCA"/>
    <w:rsid w:val="00651621"/>
    <w:rsid w:val="00655AA8"/>
    <w:rsid w:val="00655BD8"/>
    <w:rsid w:val="00656DA2"/>
    <w:rsid w:val="00656F62"/>
    <w:rsid w:val="006667A0"/>
    <w:rsid w:val="00672AB6"/>
    <w:rsid w:val="00674089"/>
    <w:rsid w:val="00675D8F"/>
    <w:rsid w:val="00676ED9"/>
    <w:rsid w:val="00677EAB"/>
    <w:rsid w:val="00677EF9"/>
    <w:rsid w:val="00682216"/>
    <w:rsid w:val="0068413A"/>
    <w:rsid w:val="006844B4"/>
    <w:rsid w:val="006858BC"/>
    <w:rsid w:val="006859FE"/>
    <w:rsid w:val="00686FFE"/>
    <w:rsid w:val="00687962"/>
    <w:rsid w:val="00692050"/>
    <w:rsid w:val="00695441"/>
    <w:rsid w:val="00696927"/>
    <w:rsid w:val="006B4252"/>
    <w:rsid w:val="006C0EC6"/>
    <w:rsid w:val="006C334D"/>
    <w:rsid w:val="006C3FDE"/>
    <w:rsid w:val="006C62A7"/>
    <w:rsid w:val="006D07AE"/>
    <w:rsid w:val="006D3769"/>
    <w:rsid w:val="006D6D23"/>
    <w:rsid w:val="006D6D25"/>
    <w:rsid w:val="006E5976"/>
    <w:rsid w:val="006F277F"/>
    <w:rsid w:val="006F407A"/>
    <w:rsid w:val="0070247C"/>
    <w:rsid w:val="0070274C"/>
    <w:rsid w:val="0070688C"/>
    <w:rsid w:val="007079F1"/>
    <w:rsid w:val="0071078F"/>
    <w:rsid w:val="0071119C"/>
    <w:rsid w:val="007237BC"/>
    <w:rsid w:val="00723903"/>
    <w:rsid w:val="007245A4"/>
    <w:rsid w:val="00725B27"/>
    <w:rsid w:val="00726D7D"/>
    <w:rsid w:val="00727CA1"/>
    <w:rsid w:val="007307BC"/>
    <w:rsid w:val="00732DC3"/>
    <w:rsid w:val="007352A0"/>
    <w:rsid w:val="00735AF1"/>
    <w:rsid w:val="00741043"/>
    <w:rsid w:val="007424A1"/>
    <w:rsid w:val="007461F5"/>
    <w:rsid w:val="0075710B"/>
    <w:rsid w:val="0075724E"/>
    <w:rsid w:val="00761E8F"/>
    <w:rsid w:val="00762D19"/>
    <w:rsid w:val="00767DDC"/>
    <w:rsid w:val="007721A0"/>
    <w:rsid w:val="007748A0"/>
    <w:rsid w:val="00775A6C"/>
    <w:rsid w:val="00781BEE"/>
    <w:rsid w:val="0078220D"/>
    <w:rsid w:val="007854F1"/>
    <w:rsid w:val="0079497B"/>
    <w:rsid w:val="007957F2"/>
    <w:rsid w:val="00796487"/>
    <w:rsid w:val="00796752"/>
    <w:rsid w:val="00796CA9"/>
    <w:rsid w:val="007A79DE"/>
    <w:rsid w:val="007B0F66"/>
    <w:rsid w:val="007B5513"/>
    <w:rsid w:val="007B5F75"/>
    <w:rsid w:val="007B69C0"/>
    <w:rsid w:val="007C2BEB"/>
    <w:rsid w:val="007C3213"/>
    <w:rsid w:val="007C5049"/>
    <w:rsid w:val="007C5DB4"/>
    <w:rsid w:val="007C75EE"/>
    <w:rsid w:val="007D1B8F"/>
    <w:rsid w:val="007D5B3B"/>
    <w:rsid w:val="007D5CD0"/>
    <w:rsid w:val="007F1CCB"/>
    <w:rsid w:val="00800002"/>
    <w:rsid w:val="00810EFB"/>
    <w:rsid w:val="00812442"/>
    <w:rsid w:val="00822BB1"/>
    <w:rsid w:val="00826F52"/>
    <w:rsid w:val="00832B84"/>
    <w:rsid w:val="00844979"/>
    <w:rsid w:val="00846FD3"/>
    <w:rsid w:val="00852886"/>
    <w:rsid w:val="008539B7"/>
    <w:rsid w:val="00854C13"/>
    <w:rsid w:val="008607AC"/>
    <w:rsid w:val="00864E04"/>
    <w:rsid w:val="00864FE0"/>
    <w:rsid w:val="0086620D"/>
    <w:rsid w:val="008737DA"/>
    <w:rsid w:val="008770E2"/>
    <w:rsid w:val="00877381"/>
    <w:rsid w:val="0088293B"/>
    <w:rsid w:val="008829D1"/>
    <w:rsid w:val="0089175A"/>
    <w:rsid w:val="00892CAA"/>
    <w:rsid w:val="00893C59"/>
    <w:rsid w:val="008A1B36"/>
    <w:rsid w:val="008A33B0"/>
    <w:rsid w:val="008A3F99"/>
    <w:rsid w:val="008A7666"/>
    <w:rsid w:val="008B25A9"/>
    <w:rsid w:val="008B40F2"/>
    <w:rsid w:val="008C13B7"/>
    <w:rsid w:val="008C21BC"/>
    <w:rsid w:val="008C484E"/>
    <w:rsid w:val="008C7AB0"/>
    <w:rsid w:val="008D2A85"/>
    <w:rsid w:val="008D5D9E"/>
    <w:rsid w:val="008E243C"/>
    <w:rsid w:val="008E5BDA"/>
    <w:rsid w:val="008E7422"/>
    <w:rsid w:val="008F398F"/>
    <w:rsid w:val="008F4A9E"/>
    <w:rsid w:val="008F6AA8"/>
    <w:rsid w:val="0090321E"/>
    <w:rsid w:val="00903E5A"/>
    <w:rsid w:val="009046AB"/>
    <w:rsid w:val="00904B67"/>
    <w:rsid w:val="0090799A"/>
    <w:rsid w:val="009108B2"/>
    <w:rsid w:val="00912413"/>
    <w:rsid w:val="0091496F"/>
    <w:rsid w:val="009228EE"/>
    <w:rsid w:val="00926A8C"/>
    <w:rsid w:val="009314B3"/>
    <w:rsid w:val="0093335A"/>
    <w:rsid w:val="00937E49"/>
    <w:rsid w:val="00937F9E"/>
    <w:rsid w:val="009478FC"/>
    <w:rsid w:val="00947E07"/>
    <w:rsid w:val="00954625"/>
    <w:rsid w:val="009621B7"/>
    <w:rsid w:val="00962FD6"/>
    <w:rsid w:val="00967718"/>
    <w:rsid w:val="00971191"/>
    <w:rsid w:val="009731EF"/>
    <w:rsid w:val="009812C6"/>
    <w:rsid w:val="00981581"/>
    <w:rsid w:val="009869C3"/>
    <w:rsid w:val="00986D2A"/>
    <w:rsid w:val="00991EAB"/>
    <w:rsid w:val="009A26CD"/>
    <w:rsid w:val="009A75CE"/>
    <w:rsid w:val="009B0FC3"/>
    <w:rsid w:val="009B60FB"/>
    <w:rsid w:val="009B7388"/>
    <w:rsid w:val="009C29A4"/>
    <w:rsid w:val="009C47E5"/>
    <w:rsid w:val="009C7CC8"/>
    <w:rsid w:val="009D42FC"/>
    <w:rsid w:val="009E0904"/>
    <w:rsid w:val="009E149E"/>
    <w:rsid w:val="009E188A"/>
    <w:rsid w:val="009F0C75"/>
    <w:rsid w:val="009F0C9B"/>
    <w:rsid w:val="009F2EFE"/>
    <w:rsid w:val="009F5E9A"/>
    <w:rsid w:val="009F6E40"/>
    <w:rsid w:val="00A014A2"/>
    <w:rsid w:val="00A024BE"/>
    <w:rsid w:val="00A05040"/>
    <w:rsid w:val="00A13032"/>
    <w:rsid w:val="00A130CB"/>
    <w:rsid w:val="00A15E01"/>
    <w:rsid w:val="00A16C02"/>
    <w:rsid w:val="00A177A7"/>
    <w:rsid w:val="00A17FA3"/>
    <w:rsid w:val="00A24542"/>
    <w:rsid w:val="00A2527F"/>
    <w:rsid w:val="00A33213"/>
    <w:rsid w:val="00A33577"/>
    <w:rsid w:val="00A33A7D"/>
    <w:rsid w:val="00A34A22"/>
    <w:rsid w:val="00A34ACA"/>
    <w:rsid w:val="00A37225"/>
    <w:rsid w:val="00A411FC"/>
    <w:rsid w:val="00A428A6"/>
    <w:rsid w:val="00A46207"/>
    <w:rsid w:val="00A47B9C"/>
    <w:rsid w:val="00A57404"/>
    <w:rsid w:val="00A70C5E"/>
    <w:rsid w:val="00A71580"/>
    <w:rsid w:val="00A71AA5"/>
    <w:rsid w:val="00A73D04"/>
    <w:rsid w:val="00A74540"/>
    <w:rsid w:val="00A754A1"/>
    <w:rsid w:val="00A7738E"/>
    <w:rsid w:val="00A80EDC"/>
    <w:rsid w:val="00A816CE"/>
    <w:rsid w:val="00A82502"/>
    <w:rsid w:val="00A82CB4"/>
    <w:rsid w:val="00A91B82"/>
    <w:rsid w:val="00A935BC"/>
    <w:rsid w:val="00A950C9"/>
    <w:rsid w:val="00AA0443"/>
    <w:rsid w:val="00AA61B8"/>
    <w:rsid w:val="00AB1D1A"/>
    <w:rsid w:val="00AB31F2"/>
    <w:rsid w:val="00AB450D"/>
    <w:rsid w:val="00AB48FE"/>
    <w:rsid w:val="00AB5B29"/>
    <w:rsid w:val="00AB7971"/>
    <w:rsid w:val="00AC49B0"/>
    <w:rsid w:val="00AC4CB2"/>
    <w:rsid w:val="00AC7F69"/>
    <w:rsid w:val="00AD754C"/>
    <w:rsid w:val="00AE3873"/>
    <w:rsid w:val="00AE51C8"/>
    <w:rsid w:val="00AE7755"/>
    <w:rsid w:val="00AF0FEE"/>
    <w:rsid w:val="00AF7BEC"/>
    <w:rsid w:val="00B024D0"/>
    <w:rsid w:val="00B0446D"/>
    <w:rsid w:val="00B11779"/>
    <w:rsid w:val="00B11886"/>
    <w:rsid w:val="00B14355"/>
    <w:rsid w:val="00B15F56"/>
    <w:rsid w:val="00B16195"/>
    <w:rsid w:val="00B244B1"/>
    <w:rsid w:val="00B24A03"/>
    <w:rsid w:val="00B256C9"/>
    <w:rsid w:val="00B26B94"/>
    <w:rsid w:val="00B30ABB"/>
    <w:rsid w:val="00B32260"/>
    <w:rsid w:val="00B33E4F"/>
    <w:rsid w:val="00B37EAA"/>
    <w:rsid w:val="00B41DB1"/>
    <w:rsid w:val="00B4298A"/>
    <w:rsid w:val="00B449CC"/>
    <w:rsid w:val="00B45046"/>
    <w:rsid w:val="00B45FA6"/>
    <w:rsid w:val="00B47BB6"/>
    <w:rsid w:val="00B520AA"/>
    <w:rsid w:val="00B5321C"/>
    <w:rsid w:val="00B54D49"/>
    <w:rsid w:val="00B55F47"/>
    <w:rsid w:val="00B6294A"/>
    <w:rsid w:val="00B646D4"/>
    <w:rsid w:val="00B70638"/>
    <w:rsid w:val="00B72E0B"/>
    <w:rsid w:val="00B7342B"/>
    <w:rsid w:val="00B73D9F"/>
    <w:rsid w:val="00B8264A"/>
    <w:rsid w:val="00B82BF1"/>
    <w:rsid w:val="00B90F34"/>
    <w:rsid w:val="00B96389"/>
    <w:rsid w:val="00BA20C0"/>
    <w:rsid w:val="00BA66BB"/>
    <w:rsid w:val="00BB4574"/>
    <w:rsid w:val="00BB4896"/>
    <w:rsid w:val="00BC02C7"/>
    <w:rsid w:val="00BC3CBE"/>
    <w:rsid w:val="00BD26FC"/>
    <w:rsid w:val="00BE0E62"/>
    <w:rsid w:val="00BE13A1"/>
    <w:rsid w:val="00BE4557"/>
    <w:rsid w:val="00BE6590"/>
    <w:rsid w:val="00BE7903"/>
    <w:rsid w:val="00BE7A7E"/>
    <w:rsid w:val="00BF1818"/>
    <w:rsid w:val="00BF691C"/>
    <w:rsid w:val="00BF6B38"/>
    <w:rsid w:val="00BF6CFC"/>
    <w:rsid w:val="00C01EA2"/>
    <w:rsid w:val="00C01F35"/>
    <w:rsid w:val="00C01F87"/>
    <w:rsid w:val="00C03556"/>
    <w:rsid w:val="00C0454B"/>
    <w:rsid w:val="00C0644A"/>
    <w:rsid w:val="00C0770E"/>
    <w:rsid w:val="00C10257"/>
    <w:rsid w:val="00C114B9"/>
    <w:rsid w:val="00C221AF"/>
    <w:rsid w:val="00C23122"/>
    <w:rsid w:val="00C2381D"/>
    <w:rsid w:val="00C249AB"/>
    <w:rsid w:val="00C2546A"/>
    <w:rsid w:val="00C30295"/>
    <w:rsid w:val="00C33725"/>
    <w:rsid w:val="00C33AD3"/>
    <w:rsid w:val="00C3552D"/>
    <w:rsid w:val="00C40EE1"/>
    <w:rsid w:val="00C429ED"/>
    <w:rsid w:val="00C45FC0"/>
    <w:rsid w:val="00C47173"/>
    <w:rsid w:val="00C522F2"/>
    <w:rsid w:val="00C56419"/>
    <w:rsid w:val="00C567D4"/>
    <w:rsid w:val="00C56F8A"/>
    <w:rsid w:val="00C5739A"/>
    <w:rsid w:val="00C66C7B"/>
    <w:rsid w:val="00C7235E"/>
    <w:rsid w:val="00C7434A"/>
    <w:rsid w:val="00C80FCB"/>
    <w:rsid w:val="00C82E85"/>
    <w:rsid w:val="00C843FD"/>
    <w:rsid w:val="00C856A0"/>
    <w:rsid w:val="00C924A8"/>
    <w:rsid w:val="00C926BE"/>
    <w:rsid w:val="00C96698"/>
    <w:rsid w:val="00C966E4"/>
    <w:rsid w:val="00C97A13"/>
    <w:rsid w:val="00CA1F36"/>
    <w:rsid w:val="00CB1A8A"/>
    <w:rsid w:val="00CB1F37"/>
    <w:rsid w:val="00CC0C46"/>
    <w:rsid w:val="00CC0E89"/>
    <w:rsid w:val="00CC2CD7"/>
    <w:rsid w:val="00CD16E3"/>
    <w:rsid w:val="00CF36CB"/>
    <w:rsid w:val="00CF4EF8"/>
    <w:rsid w:val="00D004D0"/>
    <w:rsid w:val="00D0369F"/>
    <w:rsid w:val="00D067D9"/>
    <w:rsid w:val="00D076AA"/>
    <w:rsid w:val="00D139CB"/>
    <w:rsid w:val="00D14B7A"/>
    <w:rsid w:val="00D15180"/>
    <w:rsid w:val="00D151E2"/>
    <w:rsid w:val="00D233F2"/>
    <w:rsid w:val="00D248D5"/>
    <w:rsid w:val="00D26C41"/>
    <w:rsid w:val="00D27E30"/>
    <w:rsid w:val="00D32D45"/>
    <w:rsid w:val="00D330C1"/>
    <w:rsid w:val="00D41A0E"/>
    <w:rsid w:val="00D44626"/>
    <w:rsid w:val="00D51A40"/>
    <w:rsid w:val="00D54F1F"/>
    <w:rsid w:val="00D60694"/>
    <w:rsid w:val="00D615A8"/>
    <w:rsid w:val="00D65ED8"/>
    <w:rsid w:val="00D701BB"/>
    <w:rsid w:val="00D707D5"/>
    <w:rsid w:val="00D70D0B"/>
    <w:rsid w:val="00D73EFC"/>
    <w:rsid w:val="00D7478F"/>
    <w:rsid w:val="00D75494"/>
    <w:rsid w:val="00D80270"/>
    <w:rsid w:val="00D82178"/>
    <w:rsid w:val="00D8298C"/>
    <w:rsid w:val="00D86E77"/>
    <w:rsid w:val="00D96AA7"/>
    <w:rsid w:val="00DA4682"/>
    <w:rsid w:val="00DA4C36"/>
    <w:rsid w:val="00DA676E"/>
    <w:rsid w:val="00DB2C07"/>
    <w:rsid w:val="00DB33C8"/>
    <w:rsid w:val="00DB50BA"/>
    <w:rsid w:val="00DB7169"/>
    <w:rsid w:val="00DC0B86"/>
    <w:rsid w:val="00DC236A"/>
    <w:rsid w:val="00DC2594"/>
    <w:rsid w:val="00DC2905"/>
    <w:rsid w:val="00DC4E69"/>
    <w:rsid w:val="00DC56F3"/>
    <w:rsid w:val="00DC592C"/>
    <w:rsid w:val="00DD040E"/>
    <w:rsid w:val="00DD1BC9"/>
    <w:rsid w:val="00DD56E9"/>
    <w:rsid w:val="00DF0256"/>
    <w:rsid w:val="00DF21A1"/>
    <w:rsid w:val="00DF5C22"/>
    <w:rsid w:val="00DF6615"/>
    <w:rsid w:val="00E0183F"/>
    <w:rsid w:val="00E06870"/>
    <w:rsid w:val="00E06890"/>
    <w:rsid w:val="00E06D62"/>
    <w:rsid w:val="00E0762B"/>
    <w:rsid w:val="00E2206B"/>
    <w:rsid w:val="00E23426"/>
    <w:rsid w:val="00E430B3"/>
    <w:rsid w:val="00E447CF"/>
    <w:rsid w:val="00E47DDB"/>
    <w:rsid w:val="00E50CB5"/>
    <w:rsid w:val="00E540CC"/>
    <w:rsid w:val="00E54E68"/>
    <w:rsid w:val="00E60E77"/>
    <w:rsid w:val="00E61F60"/>
    <w:rsid w:val="00E65E46"/>
    <w:rsid w:val="00E669F6"/>
    <w:rsid w:val="00E67588"/>
    <w:rsid w:val="00E72051"/>
    <w:rsid w:val="00E76958"/>
    <w:rsid w:val="00E76F07"/>
    <w:rsid w:val="00E77428"/>
    <w:rsid w:val="00E847EF"/>
    <w:rsid w:val="00E84E81"/>
    <w:rsid w:val="00E9769B"/>
    <w:rsid w:val="00EA19D1"/>
    <w:rsid w:val="00EA1BF4"/>
    <w:rsid w:val="00EA463F"/>
    <w:rsid w:val="00EA693A"/>
    <w:rsid w:val="00EA6A0B"/>
    <w:rsid w:val="00EB08E0"/>
    <w:rsid w:val="00EB0F78"/>
    <w:rsid w:val="00EB1002"/>
    <w:rsid w:val="00EB1E04"/>
    <w:rsid w:val="00EB2541"/>
    <w:rsid w:val="00EB279C"/>
    <w:rsid w:val="00EC1E7C"/>
    <w:rsid w:val="00EC59A7"/>
    <w:rsid w:val="00EC7379"/>
    <w:rsid w:val="00EC7FE9"/>
    <w:rsid w:val="00ED036D"/>
    <w:rsid w:val="00ED05C2"/>
    <w:rsid w:val="00ED3C95"/>
    <w:rsid w:val="00ED6673"/>
    <w:rsid w:val="00ED6E36"/>
    <w:rsid w:val="00ED7B47"/>
    <w:rsid w:val="00EE0F32"/>
    <w:rsid w:val="00EE6B74"/>
    <w:rsid w:val="00EF1192"/>
    <w:rsid w:val="00EF563E"/>
    <w:rsid w:val="00F00D9E"/>
    <w:rsid w:val="00F01FFF"/>
    <w:rsid w:val="00F062A3"/>
    <w:rsid w:val="00F14102"/>
    <w:rsid w:val="00F17284"/>
    <w:rsid w:val="00F24310"/>
    <w:rsid w:val="00F4541E"/>
    <w:rsid w:val="00F501B9"/>
    <w:rsid w:val="00F60691"/>
    <w:rsid w:val="00F66FEF"/>
    <w:rsid w:val="00F71D18"/>
    <w:rsid w:val="00F7250B"/>
    <w:rsid w:val="00F75AEE"/>
    <w:rsid w:val="00F76F76"/>
    <w:rsid w:val="00F77626"/>
    <w:rsid w:val="00F81A4D"/>
    <w:rsid w:val="00F84C94"/>
    <w:rsid w:val="00F90D1C"/>
    <w:rsid w:val="00F917A3"/>
    <w:rsid w:val="00F94938"/>
    <w:rsid w:val="00F950AB"/>
    <w:rsid w:val="00FA16DE"/>
    <w:rsid w:val="00FA1813"/>
    <w:rsid w:val="00FA3D1D"/>
    <w:rsid w:val="00FA5A4E"/>
    <w:rsid w:val="00FA7C68"/>
    <w:rsid w:val="00FB0DCF"/>
    <w:rsid w:val="00FB0ECA"/>
    <w:rsid w:val="00FB2923"/>
    <w:rsid w:val="00FB47CF"/>
    <w:rsid w:val="00FB567F"/>
    <w:rsid w:val="00FC066F"/>
    <w:rsid w:val="00FC1600"/>
    <w:rsid w:val="00FC52EE"/>
    <w:rsid w:val="00FD0438"/>
    <w:rsid w:val="00FD584A"/>
    <w:rsid w:val="00FD5FA3"/>
    <w:rsid w:val="00FE22D2"/>
    <w:rsid w:val="00FF329A"/>
    <w:rsid w:val="00FF5534"/>
    <w:rsid w:val="00FF5B24"/>
    <w:rsid w:val="00FF5F4C"/>
    <w:rsid w:val="04EFF6E2"/>
    <w:rsid w:val="1A8507B6"/>
    <w:rsid w:val="1D9FDFCC"/>
    <w:rsid w:val="200873CD"/>
    <w:rsid w:val="21877B82"/>
    <w:rsid w:val="296A8A61"/>
    <w:rsid w:val="3460C5C9"/>
    <w:rsid w:val="3AFD4297"/>
    <w:rsid w:val="5305DC81"/>
    <w:rsid w:val="53395FCD"/>
    <w:rsid w:val="5617A2E7"/>
    <w:rsid w:val="6564BEB5"/>
    <w:rsid w:val="6CFED908"/>
    <w:rsid w:val="6E16BCB2"/>
    <w:rsid w:val="712C3B93"/>
    <w:rsid w:val="75EC9D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9685A8"/>
  <w14:defaultImageDpi w14:val="300"/>
  <w15:chartTrackingRefBased/>
  <w15:docId w15:val="{9DB6FDCF-F766-4C4E-95F9-84ED1004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 w:type="paragraph" w:styleId="ListParagraph">
    <w:name w:val="List Paragraph"/>
    <w:basedOn w:val="Normal"/>
    <w:uiPriority w:val="72"/>
    <w:qFormat/>
    <w:rsid w:val="00EE0F32"/>
    <w:pPr>
      <w:ind w:left="720"/>
      <w:contextualSpacing/>
    </w:pPr>
  </w:style>
  <w:style w:type="paragraph" w:customStyle="1" w:styleId="ParaLevel1">
    <w:name w:val="ParaLevel1"/>
    <w:basedOn w:val="Normal"/>
    <w:rsid w:val="00476624"/>
    <w:pPr>
      <w:numPr>
        <w:numId w:val="11"/>
      </w:numPr>
      <w:suppressAutoHyphens/>
      <w:spacing w:after="520" w:line="480" w:lineRule="auto"/>
      <w:ind w:left="0" w:firstLine="0"/>
      <w:jc w:val="both"/>
      <w:outlineLvl w:val="0"/>
    </w:pPr>
    <w:rPr>
      <w:sz w:val="26"/>
      <w:szCs w:val="20"/>
      <w:lang w:eastAsia="en-US"/>
    </w:rPr>
  </w:style>
  <w:style w:type="paragraph" w:customStyle="1" w:styleId="ParaLevel2">
    <w:name w:val="ParaLevel2"/>
    <w:basedOn w:val="Normal"/>
    <w:rsid w:val="00476624"/>
    <w:pPr>
      <w:numPr>
        <w:ilvl w:val="1"/>
        <w:numId w:val="11"/>
      </w:numPr>
      <w:suppressAutoHyphens/>
      <w:spacing w:after="520" w:line="480" w:lineRule="auto"/>
      <w:ind w:left="709" w:firstLine="0"/>
      <w:jc w:val="both"/>
      <w:outlineLvl w:val="1"/>
    </w:pPr>
    <w:rPr>
      <w:sz w:val="26"/>
      <w:szCs w:val="20"/>
      <w:lang w:eastAsia="en-US"/>
    </w:rPr>
  </w:style>
  <w:style w:type="paragraph" w:customStyle="1" w:styleId="ParaLevel3">
    <w:name w:val="ParaLevel3"/>
    <w:basedOn w:val="Normal"/>
    <w:rsid w:val="00476624"/>
    <w:pPr>
      <w:numPr>
        <w:ilvl w:val="2"/>
        <w:numId w:val="11"/>
      </w:numPr>
      <w:suppressAutoHyphens/>
      <w:spacing w:after="520" w:line="480" w:lineRule="auto"/>
      <w:ind w:left="1418" w:firstLine="0"/>
      <w:jc w:val="both"/>
      <w:outlineLvl w:val="2"/>
    </w:pPr>
    <w:rPr>
      <w:sz w:val="26"/>
      <w:szCs w:val="20"/>
      <w:lang w:eastAsia="en-US"/>
    </w:rPr>
  </w:style>
  <w:style w:type="paragraph" w:customStyle="1" w:styleId="ParaLevel4">
    <w:name w:val="ParaLevel4"/>
    <w:basedOn w:val="Normal"/>
    <w:rsid w:val="00476624"/>
    <w:pPr>
      <w:numPr>
        <w:ilvl w:val="3"/>
        <w:numId w:val="11"/>
      </w:numPr>
      <w:suppressAutoHyphens/>
      <w:spacing w:after="520" w:line="480" w:lineRule="auto"/>
      <w:ind w:left="2127" w:firstLine="0"/>
      <w:jc w:val="both"/>
      <w:outlineLvl w:val="3"/>
    </w:pPr>
    <w:rPr>
      <w:sz w:val="26"/>
      <w:szCs w:val="20"/>
      <w:lang w:eastAsia="en-US"/>
    </w:rPr>
  </w:style>
  <w:style w:type="paragraph" w:customStyle="1" w:styleId="ParaLevel5">
    <w:name w:val="ParaLevel5"/>
    <w:basedOn w:val="Normal"/>
    <w:rsid w:val="00476624"/>
    <w:pPr>
      <w:numPr>
        <w:ilvl w:val="4"/>
        <w:numId w:val="11"/>
      </w:numPr>
      <w:suppressAutoHyphens/>
      <w:spacing w:after="520" w:line="480" w:lineRule="auto"/>
      <w:ind w:left="2836" w:firstLine="0"/>
      <w:jc w:val="both"/>
      <w:outlineLvl w:val="4"/>
    </w:pPr>
    <w:rPr>
      <w:sz w:val="26"/>
      <w:szCs w:val="20"/>
      <w:lang w:eastAsia="en-US"/>
    </w:rPr>
  </w:style>
  <w:style w:type="paragraph" w:customStyle="1" w:styleId="ParaLevel6">
    <w:name w:val="ParaLevel6"/>
    <w:basedOn w:val="Normal"/>
    <w:rsid w:val="00476624"/>
    <w:pPr>
      <w:numPr>
        <w:ilvl w:val="5"/>
        <w:numId w:val="11"/>
      </w:numPr>
      <w:suppressAutoHyphens/>
      <w:spacing w:after="520" w:line="480" w:lineRule="auto"/>
      <w:ind w:left="3545" w:firstLine="0"/>
      <w:jc w:val="both"/>
      <w:outlineLvl w:val="5"/>
    </w:pPr>
    <w:rPr>
      <w:sz w:val="26"/>
      <w:szCs w:val="20"/>
      <w:lang w:eastAsia="en-US"/>
    </w:rPr>
  </w:style>
  <w:style w:type="paragraph" w:customStyle="1" w:styleId="ParaLevel7">
    <w:name w:val="ParaLevel7"/>
    <w:basedOn w:val="Normal"/>
    <w:rsid w:val="00476624"/>
    <w:pPr>
      <w:numPr>
        <w:ilvl w:val="6"/>
        <w:numId w:val="11"/>
      </w:numPr>
      <w:suppressAutoHyphens/>
      <w:spacing w:after="520" w:line="480" w:lineRule="auto"/>
      <w:ind w:left="4254" w:firstLine="0"/>
      <w:jc w:val="both"/>
      <w:outlineLvl w:val="6"/>
    </w:pPr>
    <w:rPr>
      <w:sz w:val="26"/>
      <w:szCs w:val="20"/>
      <w:lang w:eastAsia="en-US"/>
    </w:rPr>
  </w:style>
  <w:style w:type="paragraph" w:customStyle="1" w:styleId="ParaLevel8">
    <w:name w:val="ParaLevel8"/>
    <w:basedOn w:val="Normal"/>
    <w:rsid w:val="00476624"/>
    <w:pPr>
      <w:numPr>
        <w:ilvl w:val="7"/>
        <w:numId w:val="11"/>
      </w:numPr>
      <w:suppressAutoHyphens/>
      <w:spacing w:after="520" w:line="480" w:lineRule="auto"/>
      <w:ind w:left="4963" w:firstLine="0"/>
      <w:jc w:val="both"/>
      <w:outlineLvl w:val="7"/>
    </w:pPr>
    <w:rPr>
      <w:sz w:val="26"/>
      <w:szCs w:val="20"/>
      <w:lang w:eastAsia="en-US"/>
    </w:rPr>
  </w:style>
  <w:style w:type="paragraph" w:customStyle="1" w:styleId="ParaLevel9">
    <w:name w:val="ParaLevel9"/>
    <w:basedOn w:val="Normal"/>
    <w:rsid w:val="00476624"/>
    <w:pPr>
      <w:numPr>
        <w:ilvl w:val="8"/>
        <w:numId w:val="11"/>
      </w:numPr>
      <w:suppressAutoHyphens/>
      <w:spacing w:after="520" w:line="480" w:lineRule="auto"/>
      <w:ind w:left="5672" w:firstLine="0"/>
      <w:jc w:val="both"/>
      <w:outlineLvl w:val="8"/>
    </w:pPr>
    <w:rPr>
      <w:sz w:val="2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premecourt.uk/decided-cases/index.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F60A7-BDC9-448E-85BC-611D8C358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17E03-76AF-4839-AF0C-880C8821FDDC}">
  <ds:schemaRefs>
    <ds:schemaRef ds:uri="http://schemas.openxmlformats.org/package/2006/metadata/core-properties"/>
    <ds:schemaRef ds:uri="d1912800-d0d5-4897-aa13-fa15486e9ce2"/>
    <ds:schemaRef ds:uri="http://schemas.microsoft.com/office/2006/documentManagement/types"/>
    <ds:schemaRef ds:uri="http://www.w3.org/XML/1998/namespace"/>
    <ds:schemaRef ds:uri="http://purl.org/dc/terms/"/>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2B1885E7-13C6-4521-BA2B-D28946516483}">
  <ds:schemaRefs>
    <ds:schemaRef ds:uri="http://schemas.openxmlformats.org/officeDocument/2006/bibliography"/>
  </ds:schemaRefs>
</ds:datastoreItem>
</file>

<file path=customXml/itemProps4.xml><?xml version="1.0" encoding="utf-8"?>
<ds:datastoreItem xmlns:ds="http://schemas.openxmlformats.org/officeDocument/2006/customXml" ds:itemID="{2018BE03-5F1D-45C7-A4E0-03B28A7480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1649</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Khan (Respondent) v Meadows (Appellant)</vt:lpstr>
    </vt:vector>
  </TitlesOfParts>
  <Company>UK Supreme Court (UKSC)</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Khan (Respondent) v Meadows (Appellant)</dc:title>
  <dc:subject>Judgment delivered on Friday 18 June 2021</dc:subject>
  <dc:creator>UK Supreme Court (UKSC)</dc:creator>
  <cp:keywords>[2019] EWCA Civ 152; UKSC 2019/0011; [2021] UKSC 21</cp:keywords>
  <dc:description/>
  <cp:lastModifiedBy>Anita Homji</cp:lastModifiedBy>
  <cp:revision>10</cp:revision>
  <cp:lastPrinted>2014-03-10T18:19:00Z</cp:lastPrinted>
  <dcterms:created xsi:type="dcterms:W3CDTF">2021-05-23T07:52:00Z</dcterms:created>
  <dcterms:modified xsi:type="dcterms:W3CDTF">2021-06-15T07:17:00Z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Khan (Respondent) v Meadows (Appellant)</vt:lpwstr>
  </property>
  <property fmtid="{D5CDD505-2E9C-101B-9397-08002B2CF9AE}" pid="4" name="HandDownDate">
    <vt:lpwstr>18 June 2021</vt:lpwstr>
  </property>
  <property fmtid="{D5CDD505-2E9C-101B-9397-08002B2CF9AE}" pid="5" name="CaseID">
    <vt:lpwstr>UKSC 2019/0011</vt:lpwstr>
  </property>
  <property fmtid="{D5CDD505-2E9C-101B-9397-08002B2CF9AE}" pid="6" name="NeutralCitationNumber">
    <vt:lpwstr>[2021] UKSC 21</vt:lpwstr>
  </property>
</Properties>
</file>