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9711" w14:textId="47B6E2D2" w:rsidR="00ED05C2" w:rsidRDefault="00D00291" w:rsidP="00ED05C2">
      <w:pPr>
        <w:jc w:val="center"/>
        <w:rPr>
          <w:rFonts w:ascii="Garamond" w:hAnsi="Garamond"/>
        </w:rPr>
      </w:pPr>
      <w:r>
        <w:rPr>
          <w:rFonts w:ascii="Garamond" w:hAnsi="Garamond"/>
          <w:noProof/>
        </w:rPr>
        <w:drawing>
          <wp:inline distT="0" distB="0" distL="0" distR="0" wp14:anchorId="40E0D867" wp14:editId="741310E6">
            <wp:extent cx="1066800" cy="1428750"/>
            <wp:effectExtent l="0" t="0" r="0" b="0"/>
            <wp:docPr id="1" name="Picture 1" descr="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p>
    <w:p w14:paraId="52EB2909" w14:textId="788F5329" w:rsidR="00A16C02" w:rsidRPr="00A97444" w:rsidRDefault="00D2228B" w:rsidP="00553B5F">
      <w:pPr>
        <w:tabs>
          <w:tab w:val="left" w:pos="8285"/>
        </w:tabs>
        <w:jc w:val="right"/>
        <w:rPr>
          <w:rFonts w:ascii="Garamond" w:hAnsi="Garamond"/>
          <w:b/>
        </w:rPr>
      </w:pPr>
      <w:r>
        <w:rPr>
          <w:rFonts w:ascii="Garamond" w:hAnsi="Garamond"/>
          <w:b/>
        </w:rPr>
        <w:t>5 August</w:t>
      </w:r>
      <w:r w:rsidR="00553B5F">
        <w:rPr>
          <w:rFonts w:ascii="Garamond" w:hAnsi="Garamond"/>
          <w:b/>
        </w:rPr>
        <w:t xml:space="preserve"> 2020</w:t>
      </w:r>
    </w:p>
    <w:p w14:paraId="22923183" w14:textId="77777777" w:rsidR="00A16C02" w:rsidRPr="00C30E3C" w:rsidRDefault="00A16C02" w:rsidP="00A16C02">
      <w:pPr>
        <w:tabs>
          <w:tab w:val="left" w:pos="8285"/>
        </w:tabs>
        <w:jc w:val="center"/>
        <w:rPr>
          <w:rFonts w:ascii="Garamond" w:hAnsi="Garamond"/>
          <w:b/>
        </w:rPr>
      </w:pPr>
      <w:r w:rsidRPr="00C30E3C">
        <w:rPr>
          <w:rFonts w:ascii="Garamond" w:hAnsi="Garamond"/>
          <w:b/>
        </w:rPr>
        <w:t>PRESS SUMMARY</w:t>
      </w:r>
    </w:p>
    <w:p w14:paraId="5D823000" w14:textId="77777777" w:rsidR="00A16C02" w:rsidRPr="00C30E3C" w:rsidRDefault="00A16C02" w:rsidP="00A16C02">
      <w:pPr>
        <w:tabs>
          <w:tab w:val="left" w:pos="8285"/>
        </w:tabs>
        <w:rPr>
          <w:rFonts w:ascii="Garamond" w:hAnsi="Garamond"/>
          <w:b/>
        </w:rPr>
      </w:pPr>
    </w:p>
    <w:p w14:paraId="0F33CC50" w14:textId="0A049CA0" w:rsidR="00D2228B" w:rsidRDefault="00D2228B" w:rsidP="008B7362">
      <w:pPr>
        <w:tabs>
          <w:tab w:val="left" w:pos="8285"/>
        </w:tabs>
        <w:rPr>
          <w:rFonts w:ascii="Garamond" w:hAnsi="Garamond"/>
          <w:b/>
        </w:rPr>
      </w:pPr>
      <w:proofErr w:type="spellStart"/>
      <w:r w:rsidRPr="00D2228B">
        <w:rPr>
          <w:rFonts w:ascii="Garamond" w:hAnsi="Garamond"/>
          <w:b/>
        </w:rPr>
        <w:t>Shagang</w:t>
      </w:r>
      <w:proofErr w:type="spellEnd"/>
      <w:r w:rsidRPr="00D2228B">
        <w:rPr>
          <w:rFonts w:ascii="Garamond" w:hAnsi="Garamond"/>
          <w:b/>
        </w:rPr>
        <w:t xml:space="preserve"> Shipping Company Ltd (in liquidation) (Appellant) v HNA Group Company Ltd (Respondent)</w:t>
      </w:r>
    </w:p>
    <w:p w14:paraId="6DF95DB8" w14:textId="2375C94F" w:rsidR="0079610D" w:rsidRDefault="0079610D" w:rsidP="007568CC">
      <w:pPr>
        <w:tabs>
          <w:tab w:val="left" w:pos="8285"/>
        </w:tabs>
        <w:jc w:val="both"/>
        <w:rPr>
          <w:rFonts w:ascii="Garamond" w:hAnsi="Garamond"/>
          <w:b/>
        </w:rPr>
      </w:pPr>
      <w:r>
        <w:rPr>
          <w:rFonts w:ascii="Garamond" w:hAnsi="Garamond"/>
          <w:b/>
        </w:rPr>
        <w:t>[2020] UKSC 34</w:t>
      </w:r>
    </w:p>
    <w:p w14:paraId="32FFC8E3" w14:textId="653F97AB" w:rsidR="00A16C02" w:rsidRPr="00C30E3C" w:rsidRDefault="001C06D4" w:rsidP="007568CC">
      <w:pPr>
        <w:tabs>
          <w:tab w:val="left" w:pos="8285"/>
        </w:tabs>
        <w:jc w:val="both"/>
        <w:rPr>
          <w:rFonts w:ascii="Garamond" w:hAnsi="Garamond"/>
          <w:b/>
          <w:i/>
        </w:rPr>
      </w:pPr>
      <w:r w:rsidRPr="00C30E3C">
        <w:rPr>
          <w:rFonts w:ascii="Garamond" w:hAnsi="Garamond"/>
          <w:b/>
          <w:i/>
        </w:rPr>
        <w:t xml:space="preserve">On appeal from </w:t>
      </w:r>
      <w:r w:rsidR="00460E53">
        <w:rPr>
          <w:rFonts w:ascii="Garamond" w:hAnsi="Garamond"/>
          <w:b/>
          <w:i/>
        </w:rPr>
        <w:t>[</w:t>
      </w:r>
      <w:r w:rsidR="00D2228B">
        <w:rPr>
          <w:rFonts w:ascii="Garamond" w:hAnsi="Garamond"/>
          <w:b/>
          <w:i/>
        </w:rPr>
        <w:t xml:space="preserve">2018] EWCA </w:t>
      </w:r>
      <w:proofErr w:type="spellStart"/>
      <w:r w:rsidR="00D2228B">
        <w:rPr>
          <w:rFonts w:ascii="Garamond" w:hAnsi="Garamond"/>
          <w:b/>
          <w:i/>
        </w:rPr>
        <w:t>Civ</w:t>
      </w:r>
      <w:proofErr w:type="spellEnd"/>
      <w:r w:rsidR="00D2228B">
        <w:rPr>
          <w:rFonts w:ascii="Garamond" w:hAnsi="Garamond"/>
          <w:b/>
          <w:i/>
        </w:rPr>
        <w:t xml:space="preserve"> 1732</w:t>
      </w:r>
    </w:p>
    <w:p w14:paraId="06C37037" w14:textId="77777777" w:rsidR="002E340D" w:rsidRPr="00C30E3C" w:rsidRDefault="002E340D" w:rsidP="007568CC">
      <w:pPr>
        <w:tabs>
          <w:tab w:val="left" w:pos="8285"/>
        </w:tabs>
        <w:jc w:val="both"/>
        <w:rPr>
          <w:rFonts w:ascii="Garamond" w:hAnsi="Garamond"/>
        </w:rPr>
      </w:pPr>
    </w:p>
    <w:p w14:paraId="351EC8A3" w14:textId="32FF38B0" w:rsidR="00A16C02" w:rsidRPr="00C30E3C" w:rsidRDefault="00A16C02" w:rsidP="007568CC">
      <w:pPr>
        <w:tabs>
          <w:tab w:val="left" w:pos="8285"/>
        </w:tabs>
        <w:jc w:val="both"/>
        <w:rPr>
          <w:rFonts w:ascii="Garamond" w:hAnsi="Garamond"/>
        </w:rPr>
      </w:pPr>
      <w:r w:rsidRPr="00C30E3C">
        <w:rPr>
          <w:rFonts w:ascii="Garamond" w:hAnsi="Garamond"/>
          <w:b/>
        </w:rPr>
        <w:t>JUSTICES</w:t>
      </w:r>
      <w:r w:rsidRPr="00C30E3C">
        <w:rPr>
          <w:rFonts w:ascii="Garamond" w:hAnsi="Garamond"/>
        </w:rPr>
        <w:t xml:space="preserve">: </w:t>
      </w:r>
      <w:r w:rsidR="00460E53">
        <w:rPr>
          <w:rFonts w:ascii="Garamond" w:hAnsi="Garamond"/>
        </w:rPr>
        <w:t xml:space="preserve">Lord Hodge (Deputy President), </w:t>
      </w:r>
      <w:r w:rsidR="00D2228B">
        <w:rPr>
          <w:rFonts w:ascii="Garamond" w:hAnsi="Garamond"/>
        </w:rPr>
        <w:t>Lord Briggs, Lord Hamblen,</w:t>
      </w:r>
      <w:r w:rsidR="00460E53">
        <w:rPr>
          <w:rFonts w:ascii="Garamond" w:hAnsi="Garamond"/>
        </w:rPr>
        <w:t xml:space="preserve"> Lord Leggatt</w:t>
      </w:r>
      <w:r w:rsidR="00D2228B">
        <w:rPr>
          <w:rFonts w:ascii="Garamond" w:hAnsi="Garamond"/>
        </w:rPr>
        <w:t>, Lord Burrows</w:t>
      </w:r>
    </w:p>
    <w:p w14:paraId="7903DB7F" w14:textId="77777777" w:rsidR="00937F9E" w:rsidRPr="00C30E3C" w:rsidRDefault="00937F9E" w:rsidP="00A16C02">
      <w:pPr>
        <w:tabs>
          <w:tab w:val="left" w:pos="8285"/>
        </w:tabs>
        <w:rPr>
          <w:rFonts w:ascii="Garamond" w:hAnsi="Garamond"/>
          <w:b/>
        </w:rPr>
      </w:pPr>
    </w:p>
    <w:p w14:paraId="24087F84" w14:textId="161D29AE" w:rsidR="00A16C02" w:rsidRPr="00C30E3C" w:rsidRDefault="00A16C02" w:rsidP="00A16C02">
      <w:pPr>
        <w:tabs>
          <w:tab w:val="left" w:pos="8285"/>
        </w:tabs>
        <w:rPr>
          <w:rFonts w:ascii="Garamond" w:hAnsi="Garamond"/>
          <w:b/>
        </w:rPr>
      </w:pPr>
      <w:r w:rsidRPr="00C30E3C">
        <w:rPr>
          <w:rFonts w:ascii="Garamond" w:hAnsi="Garamond"/>
          <w:b/>
        </w:rPr>
        <w:t>BACKGROUND TO THE APPEAL</w:t>
      </w:r>
    </w:p>
    <w:p w14:paraId="75109F7A" w14:textId="77777777" w:rsidR="00A16C02" w:rsidRPr="00C30E3C" w:rsidRDefault="00A16C02" w:rsidP="00A16C02">
      <w:pPr>
        <w:tabs>
          <w:tab w:val="left" w:pos="8285"/>
        </w:tabs>
        <w:rPr>
          <w:rFonts w:ascii="Garamond" w:hAnsi="Garamond"/>
        </w:rPr>
      </w:pPr>
    </w:p>
    <w:p w14:paraId="2F4983A3" w14:textId="204A54DE" w:rsidR="00FD6534" w:rsidRPr="0079610D" w:rsidRDefault="00621A5B" w:rsidP="00FD6534">
      <w:pPr>
        <w:jc w:val="both"/>
        <w:rPr>
          <w:rFonts w:ascii="Garamond" w:hAnsi="Garamond"/>
          <w:sz w:val="23"/>
          <w:szCs w:val="23"/>
        </w:rPr>
      </w:pPr>
      <w:r w:rsidRPr="0079610D">
        <w:rPr>
          <w:rFonts w:ascii="Garamond" w:hAnsi="Garamond"/>
          <w:sz w:val="23"/>
          <w:szCs w:val="23"/>
        </w:rPr>
        <w:t>Th</w:t>
      </w:r>
      <w:r w:rsidR="0061147D" w:rsidRPr="0079610D">
        <w:rPr>
          <w:rFonts w:ascii="Garamond" w:hAnsi="Garamond"/>
          <w:sz w:val="23"/>
          <w:szCs w:val="23"/>
        </w:rPr>
        <w:t xml:space="preserve">is </w:t>
      </w:r>
      <w:r w:rsidR="00D23A46" w:rsidRPr="0079610D">
        <w:rPr>
          <w:rFonts w:ascii="Garamond" w:hAnsi="Garamond"/>
          <w:sz w:val="23"/>
          <w:szCs w:val="23"/>
        </w:rPr>
        <w:t xml:space="preserve">appeal arises out of a claim </w:t>
      </w:r>
      <w:r w:rsidR="00BD0EAD" w:rsidRPr="0079610D">
        <w:rPr>
          <w:rFonts w:ascii="Garamond" w:hAnsi="Garamond"/>
          <w:sz w:val="23"/>
          <w:szCs w:val="23"/>
        </w:rPr>
        <w:t xml:space="preserve">by the appellant </w:t>
      </w:r>
      <w:r w:rsidR="00AB4A67">
        <w:rPr>
          <w:rFonts w:ascii="Garamond" w:hAnsi="Garamond"/>
          <w:sz w:val="23"/>
          <w:szCs w:val="23"/>
        </w:rPr>
        <w:t>under a guarantee</w:t>
      </w:r>
      <w:r w:rsidR="00D23A46" w:rsidRPr="0079610D">
        <w:rPr>
          <w:rFonts w:ascii="Garamond" w:hAnsi="Garamond"/>
          <w:sz w:val="23"/>
          <w:szCs w:val="23"/>
        </w:rPr>
        <w:t xml:space="preserve"> of </w:t>
      </w:r>
      <w:r w:rsidR="00AB4A67">
        <w:rPr>
          <w:rFonts w:ascii="Garamond" w:hAnsi="Garamond"/>
          <w:sz w:val="23"/>
          <w:szCs w:val="23"/>
        </w:rPr>
        <w:t xml:space="preserve">a </w:t>
      </w:r>
      <w:r w:rsidR="00D23A46" w:rsidRPr="0079610D">
        <w:rPr>
          <w:rFonts w:ascii="Garamond" w:hAnsi="Garamond"/>
          <w:sz w:val="23"/>
          <w:szCs w:val="23"/>
        </w:rPr>
        <w:t>contract</w:t>
      </w:r>
      <w:r w:rsidR="00931C57" w:rsidRPr="0079610D">
        <w:rPr>
          <w:rFonts w:ascii="Garamond" w:hAnsi="Garamond"/>
          <w:sz w:val="23"/>
          <w:szCs w:val="23"/>
        </w:rPr>
        <w:t xml:space="preserve">, </w:t>
      </w:r>
      <w:r w:rsidR="00AB4A67">
        <w:rPr>
          <w:rFonts w:ascii="Garamond" w:hAnsi="Garamond"/>
          <w:sz w:val="23"/>
          <w:szCs w:val="23"/>
        </w:rPr>
        <w:t xml:space="preserve">to charter a vessel </w:t>
      </w:r>
      <w:r w:rsidR="00931C57" w:rsidRPr="0079610D">
        <w:rPr>
          <w:rFonts w:ascii="Garamond" w:hAnsi="Garamond"/>
          <w:sz w:val="23"/>
          <w:szCs w:val="23"/>
        </w:rPr>
        <w:t>which was met with a defence</w:t>
      </w:r>
      <w:r w:rsidR="00BD0EAD" w:rsidRPr="0079610D">
        <w:rPr>
          <w:rFonts w:ascii="Garamond" w:hAnsi="Garamond"/>
          <w:sz w:val="23"/>
          <w:szCs w:val="23"/>
        </w:rPr>
        <w:t xml:space="preserve"> </w:t>
      </w:r>
      <w:r w:rsidR="003021C5" w:rsidRPr="0079610D">
        <w:rPr>
          <w:rFonts w:ascii="Garamond" w:hAnsi="Garamond"/>
          <w:sz w:val="23"/>
          <w:szCs w:val="23"/>
        </w:rPr>
        <w:t>from</w:t>
      </w:r>
      <w:r w:rsidR="00BD0EAD" w:rsidRPr="0079610D">
        <w:rPr>
          <w:rFonts w:ascii="Garamond" w:hAnsi="Garamond"/>
          <w:sz w:val="23"/>
          <w:szCs w:val="23"/>
        </w:rPr>
        <w:t xml:space="preserve"> the respondent</w:t>
      </w:r>
      <w:r w:rsidR="00931C57" w:rsidRPr="0079610D">
        <w:rPr>
          <w:rFonts w:ascii="Garamond" w:hAnsi="Garamond"/>
          <w:sz w:val="23"/>
          <w:szCs w:val="23"/>
        </w:rPr>
        <w:t xml:space="preserve"> that the contract was procured by bribery and </w:t>
      </w:r>
      <w:r w:rsidR="00AB4A67">
        <w:rPr>
          <w:rFonts w:ascii="Garamond" w:hAnsi="Garamond"/>
          <w:sz w:val="23"/>
          <w:szCs w:val="23"/>
        </w:rPr>
        <w:t xml:space="preserve">that the guarantee was </w:t>
      </w:r>
      <w:r w:rsidR="00931C57" w:rsidRPr="0079610D">
        <w:rPr>
          <w:rFonts w:ascii="Garamond" w:hAnsi="Garamond"/>
          <w:sz w:val="23"/>
          <w:szCs w:val="23"/>
        </w:rPr>
        <w:t>therefore unenforceable.</w:t>
      </w:r>
      <w:r w:rsidR="00EC4D07" w:rsidRPr="0079610D">
        <w:rPr>
          <w:rFonts w:ascii="Garamond" w:hAnsi="Garamond"/>
          <w:sz w:val="23"/>
          <w:szCs w:val="23"/>
        </w:rPr>
        <w:t xml:space="preserve"> The bribery allegation was based on evidence of confessions that the </w:t>
      </w:r>
      <w:r w:rsidR="00624EE0" w:rsidRPr="0079610D">
        <w:rPr>
          <w:rFonts w:ascii="Garamond" w:hAnsi="Garamond"/>
          <w:sz w:val="23"/>
          <w:szCs w:val="23"/>
        </w:rPr>
        <w:t>appellant</w:t>
      </w:r>
      <w:r w:rsidR="00EC4D07" w:rsidRPr="0079610D">
        <w:rPr>
          <w:rFonts w:ascii="Garamond" w:hAnsi="Garamond"/>
          <w:sz w:val="23"/>
          <w:szCs w:val="23"/>
        </w:rPr>
        <w:t xml:space="preserve"> alleged were obtained by torture an</w:t>
      </w:r>
      <w:bookmarkStart w:id="0" w:name="_GoBack"/>
      <w:bookmarkEnd w:id="0"/>
      <w:r w:rsidR="00EC4D07" w:rsidRPr="0079610D">
        <w:rPr>
          <w:rFonts w:ascii="Garamond" w:hAnsi="Garamond"/>
          <w:sz w:val="23"/>
          <w:szCs w:val="23"/>
        </w:rPr>
        <w:t>d therefore inadmissible.</w:t>
      </w:r>
    </w:p>
    <w:p w14:paraId="70597A32" w14:textId="33B1C055" w:rsidR="00931C57" w:rsidRPr="0079610D" w:rsidRDefault="00931C57" w:rsidP="00FD6534">
      <w:pPr>
        <w:jc w:val="both"/>
        <w:rPr>
          <w:rFonts w:ascii="Garamond" w:hAnsi="Garamond"/>
          <w:sz w:val="23"/>
          <w:szCs w:val="23"/>
        </w:rPr>
      </w:pPr>
    </w:p>
    <w:p w14:paraId="452C5392" w14:textId="7CF07432" w:rsidR="00931C57" w:rsidRPr="0079610D" w:rsidRDefault="00EB606A" w:rsidP="00FD6534">
      <w:pPr>
        <w:jc w:val="both"/>
        <w:rPr>
          <w:rFonts w:ascii="Garamond" w:hAnsi="Garamond"/>
          <w:sz w:val="23"/>
          <w:szCs w:val="23"/>
        </w:rPr>
      </w:pPr>
      <w:r w:rsidRPr="0079610D">
        <w:rPr>
          <w:rFonts w:ascii="Garamond" w:hAnsi="Garamond"/>
          <w:sz w:val="23"/>
          <w:szCs w:val="23"/>
        </w:rPr>
        <w:t>A</w:t>
      </w:r>
      <w:r w:rsidR="008D40A5" w:rsidRPr="0079610D">
        <w:rPr>
          <w:rFonts w:ascii="Garamond" w:hAnsi="Garamond"/>
          <w:sz w:val="23"/>
          <w:szCs w:val="23"/>
        </w:rPr>
        <w:t xml:space="preserve"> contract </w:t>
      </w:r>
      <w:r w:rsidRPr="0079610D">
        <w:rPr>
          <w:rFonts w:ascii="Garamond" w:hAnsi="Garamond"/>
          <w:sz w:val="23"/>
          <w:szCs w:val="23"/>
        </w:rPr>
        <w:t>for the charter of a ship</w:t>
      </w:r>
      <w:r w:rsidR="00841FFC" w:rsidRPr="0079610D">
        <w:rPr>
          <w:rFonts w:ascii="Garamond" w:hAnsi="Garamond"/>
          <w:sz w:val="23"/>
          <w:szCs w:val="23"/>
        </w:rPr>
        <w:t xml:space="preserve"> </w:t>
      </w:r>
      <w:r w:rsidR="008D40A5" w:rsidRPr="0079610D">
        <w:rPr>
          <w:rFonts w:ascii="Garamond" w:hAnsi="Garamond"/>
          <w:sz w:val="23"/>
          <w:szCs w:val="23"/>
        </w:rPr>
        <w:t xml:space="preserve">was </w:t>
      </w:r>
      <w:r w:rsidR="000D5692" w:rsidRPr="0079610D">
        <w:rPr>
          <w:rFonts w:ascii="Garamond" w:hAnsi="Garamond"/>
          <w:sz w:val="23"/>
          <w:szCs w:val="23"/>
        </w:rPr>
        <w:t>agreed</w:t>
      </w:r>
      <w:r w:rsidR="008D40A5" w:rsidRPr="0079610D">
        <w:rPr>
          <w:rFonts w:ascii="Garamond" w:hAnsi="Garamond"/>
          <w:sz w:val="23"/>
          <w:szCs w:val="23"/>
        </w:rPr>
        <w:t xml:space="preserve"> in </w:t>
      </w:r>
      <w:r w:rsidR="003744E6" w:rsidRPr="0079610D">
        <w:rPr>
          <w:rFonts w:ascii="Garamond" w:hAnsi="Garamond"/>
          <w:sz w:val="23"/>
          <w:szCs w:val="23"/>
        </w:rPr>
        <w:t xml:space="preserve">August </w:t>
      </w:r>
      <w:r w:rsidR="008D40A5" w:rsidRPr="0079610D">
        <w:rPr>
          <w:rFonts w:ascii="Garamond" w:hAnsi="Garamond"/>
          <w:sz w:val="23"/>
          <w:szCs w:val="23"/>
        </w:rPr>
        <w:t>2008 between the appellant</w:t>
      </w:r>
      <w:r w:rsidR="00747714" w:rsidRPr="0079610D">
        <w:rPr>
          <w:rFonts w:ascii="Garamond" w:hAnsi="Garamond"/>
          <w:sz w:val="23"/>
          <w:szCs w:val="23"/>
        </w:rPr>
        <w:t>, a Hong Kong company now in liquidation,</w:t>
      </w:r>
      <w:r w:rsidRPr="0079610D">
        <w:rPr>
          <w:rFonts w:ascii="Garamond" w:hAnsi="Garamond"/>
          <w:sz w:val="23"/>
          <w:szCs w:val="23"/>
        </w:rPr>
        <w:t xml:space="preserve"> and </w:t>
      </w:r>
      <w:r w:rsidR="0016517B" w:rsidRPr="0079610D">
        <w:rPr>
          <w:rFonts w:ascii="Garamond" w:hAnsi="Garamond"/>
          <w:sz w:val="23"/>
          <w:szCs w:val="23"/>
        </w:rPr>
        <w:t>the respondent’s</w:t>
      </w:r>
      <w:r w:rsidRPr="0079610D">
        <w:rPr>
          <w:rFonts w:ascii="Garamond" w:hAnsi="Garamond"/>
          <w:sz w:val="23"/>
          <w:szCs w:val="23"/>
        </w:rPr>
        <w:t xml:space="preserve"> subsidiary</w:t>
      </w:r>
      <w:r w:rsidR="0016517B" w:rsidRPr="0079610D">
        <w:rPr>
          <w:rFonts w:ascii="Garamond" w:hAnsi="Garamond"/>
          <w:sz w:val="23"/>
          <w:szCs w:val="23"/>
        </w:rPr>
        <w:t xml:space="preserve">, </w:t>
      </w:r>
      <w:r w:rsidR="00D512D2" w:rsidRPr="0079610D">
        <w:rPr>
          <w:rFonts w:ascii="Garamond" w:hAnsi="Garamond"/>
          <w:sz w:val="23"/>
          <w:szCs w:val="23"/>
        </w:rPr>
        <w:t>a</w:t>
      </w:r>
      <w:r w:rsidR="0016517B" w:rsidRPr="0079610D">
        <w:rPr>
          <w:rFonts w:ascii="Garamond" w:hAnsi="Garamond"/>
          <w:sz w:val="23"/>
          <w:szCs w:val="23"/>
        </w:rPr>
        <w:t xml:space="preserve"> Hong Kong </w:t>
      </w:r>
      <w:r w:rsidR="00D512D2" w:rsidRPr="0079610D">
        <w:rPr>
          <w:rFonts w:ascii="Garamond" w:hAnsi="Garamond"/>
          <w:sz w:val="23"/>
          <w:szCs w:val="23"/>
        </w:rPr>
        <w:t>company also</w:t>
      </w:r>
      <w:r w:rsidR="0016517B" w:rsidRPr="0079610D">
        <w:rPr>
          <w:rFonts w:ascii="Garamond" w:hAnsi="Garamond"/>
          <w:sz w:val="23"/>
          <w:szCs w:val="23"/>
        </w:rPr>
        <w:t xml:space="preserve"> now in liquidation</w:t>
      </w:r>
      <w:r w:rsidRPr="0079610D">
        <w:rPr>
          <w:rFonts w:ascii="Garamond" w:hAnsi="Garamond"/>
          <w:sz w:val="23"/>
          <w:szCs w:val="23"/>
        </w:rPr>
        <w:t>.</w:t>
      </w:r>
      <w:r w:rsidR="00841FFC" w:rsidRPr="0079610D">
        <w:rPr>
          <w:rFonts w:ascii="Garamond" w:hAnsi="Garamond"/>
          <w:sz w:val="23"/>
          <w:szCs w:val="23"/>
        </w:rPr>
        <w:t xml:space="preserve"> A guarantee </w:t>
      </w:r>
      <w:r w:rsidR="000B6970" w:rsidRPr="0079610D">
        <w:rPr>
          <w:rFonts w:ascii="Garamond" w:hAnsi="Garamond"/>
          <w:sz w:val="23"/>
          <w:szCs w:val="23"/>
        </w:rPr>
        <w:t>was agreed between the respondent</w:t>
      </w:r>
      <w:r w:rsidR="007958AD" w:rsidRPr="0079610D">
        <w:rPr>
          <w:rFonts w:ascii="Garamond" w:hAnsi="Garamond"/>
          <w:sz w:val="23"/>
          <w:szCs w:val="23"/>
        </w:rPr>
        <w:t>, a Chinese company,</w:t>
      </w:r>
      <w:r w:rsidR="000B6970" w:rsidRPr="0079610D">
        <w:rPr>
          <w:rFonts w:ascii="Garamond" w:hAnsi="Garamond"/>
          <w:sz w:val="23"/>
          <w:szCs w:val="23"/>
        </w:rPr>
        <w:t xml:space="preserve"> </w:t>
      </w:r>
      <w:r w:rsidR="00D3733A" w:rsidRPr="0079610D">
        <w:rPr>
          <w:rFonts w:ascii="Garamond" w:hAnsi="Garamond"/>
          <w:sz w:val="23"/>
          <w:szCs w:val="23"/>
        </w:rPr>
        <w:t xml:space="preserve">and the appellant by which the respondent </w:t>
      </w:r>
      <w:r w:rsidR="000B6970" w:rsidRPr="0079610D">
        <w:rPr>
          <w:rFonts w:ascii="Garamond" w:hAnsi="Garamond"/>
          <w:sz w:val="23"/>
          <w:szCs w:val="23"/>
        </w:rPr>
        <w:t>guarantee</w:t>
      </w:r>
      <w:r w:rsidR="00D3733A" w:rsidRPr="0079610D">
        <w:rPr>
          <w:rFonts w:ascii="Garamond" w:hAnsi="Garamond"/>
          <w:sz w:val="23"/>
          <w:szCs w:val="23"/>
        </w:rPr>
        <w:t>d</w:t>
      </w:r>
      <w:r w:rsidR="000B6970" w:rsidRPr="0079610D">
        <w:rPr>
          <w:rFonts w:ascii="Garamond" w:hAnsi="Garamond"/>
          <w:sz w:val="23"/>
          <w:szCs w:val="23"/>
        </w:rPr>
        <w:t xml:space="preserve"> its subsidiary’s performance under the contract</w:t>
      </w:r>
      <w:r w:rsidR="00D3733A" w:rsidRPr="0079610D">
        <w:rPr>
          <w:rFonts w:ascii="Garamond" w:hAnsi="Garamond"/>
          <w:sz w:val="23"/>
          <w:szCs w:val="23"/>
        </w:rPr>
        <w:t xml:space="preserve">. The guarantee is governed by English law and </w:t>
      </w:r>
      <w:r w:rsidR="00747714" w:rsidRPr="0079610D">
        <w:rPr>
          <w:rFonts w:ascii="Garamond" w:hAnsi="Garamond"/>
          <w:sz w:val="23"/>
          <w:szCs w:val="23"/>
        </w:rPr>
        <w:t>confers jurisdiction on the English courts.</w:t>
      </w:r>
    </w:p>
    <w:p w14:paraId="0231E6D0" w14:textId="4F7069E4" w:rsidR="0015363E" w:rsidRPr="0079610D" w:rsidRDefault="0015363E" w:rsidP="00FD6534">
      <w:pPr>
        <w:jc w:val="both"/>
        <w:rPr>
          <w:rFonts w:ascii="Garamond" w:hAnsi="Garamond"/>
          <w:sz w:val="23"/>
          <w:szCs w:val="23"/>
        </w:rPr>
      </w:pPr>
    </w:p>
    <w:p w14:paraId="269B2FBE" w14:textId="2FA6A374" w:rsidR="0015363E" w:rsidRPr="0079610D" w:rsidRDefault="00CE5764" w:rsidP="00FD6534">
      <w:pPr>
        <w:jc w:val="both"/>
        <w:rPr>
          <w:rFonts w:ascii="Garamond" w:hAnsi="Garamond"/>
          <w:sz w:val="23"/>
          <w:szCs w:val="23"/>
        </w:rPr>
      </w:pPr>
      <w:r w:rsidRPr="0079610D">
        <w:rPr>
          <w:rFonts w:ascii="Garamond" w:hAnsi="Garamond"/>
          <w:sz w:val="23"/>
          <w:szCs w:val="23"/>
        </w:rPr>
        <w:t>The vessel was delivered in April 2010</w:t>
      </w:r>
      <w:r w:rsidR="003D372D" w:rsidRPr="0079610D">
        <w:rPr>
          <w:rFonts w:ascii="Garamond" w:hAnsi="Garamond"/>
          <w:sz w:val="23"/>
          <w:szCs w:val="23"/>
        </w:rPr>
        <w:t xml:space="preserve">, but from September 2010 the subsidiary defaulted on its payments. </w:t>
      </w:r>
      <w:r w:rsidR="004156A7" w:rsidRPr="0079610D">
        <w:rPr>
          <w:rFonts w:ascii="Garamond" w:hAnsi="Garamond"/>
          <w:sz w:val="23"/>
          <w:szCs w:val="23"/>
        </w:rPr>
        <w:t xml:space="preserve">The appellant brought arbitration proceedings and ultimately terminated the contract for </w:t>
      </w:r>
      <w:r w:rsidR="0055021D" w:rsidRPr="0079610D">
        <w:rPr>
          <w:rFonts w:ascii="Garamond" w:hAnsi="Garamond"/>
          <w:sz w:val="23"/>
          <w:szCs w:val="23"/>
        </w:rPr>
        <w:t xml:space="preserve">the subsidiary’s repudiatory breach. The appellant </w:t>
      </w:r>
      <w:r w:rsidR="00593630" w:rsidRPr="0079610D">
        <w:rPr>
          <w:rFonts w:ascii="Garamond" w:hAnsi="Garamond"/>
          <w:sz w:val="23"/>
          <w:szCs w:val="23"/>
        </w:rPr>
        <w:t>pursued its claim in arbitration for damages for the subsidiary’s breach, achieving a partial final award in November 2012.</w:t>
      </w:r>
    </w:p>
    <w:p w14:paraId="073F9B70" w14:textId="2E3ADE32" w:rsidR="00593630" w:rsidRPr="0079610D" w:rsidRDefault="00593630" w:rsidP="00FD6534">
      <w:pPr>
        <w:jc w:val="both"/>
        <w:rPr>
          <w:rFonts w:ascii="Garamond" w:hAnsi="Garamond"/>
          <w:sz w:val="23"/>
          <w:szCs w:val="23"/>
        </w:rPr>
      </w:pPr>
    </w:p>
    <w:p w14:paraId="236AFB15" w14:textId="00B82B59" w:rsidR="00593630" w:rsidRPr="0079610D" w:rsidRDefault="00593630" w:rsidP="00FD6534">
      <w:pPr>
        <w:jc w:val="both"/>
        <w:rPr>
          <w:rFonts w:ascii="Garamond" w:hAnsi="Garamond"/>
          <w:sz w:val="23"/>
          <w:szCs w:val="23"/>
        </w:rPr>
      </w:pPr>
      <w:r w:rsidRPr="0079610D">
        <w:rPr>
          <w:rFonts w:ascii="Garamond" w:hAnsi="Garamond"/>
          <w:sz w:val="23"/>
          <w:szCs w:val="23"/>
        </w:rPr>
        <w:t>In September 2012, the appellant commenced proceedings against the respondent under the guarantee in the Commercial Court.</w:t>
      </w:r>
      <w:r w:rsidR="00CB3908" w:rsidRPr="0079610D">
        <w:rPr>
          <w:rFonts w:ascii="Garamond" w:hAnsi="Garamond"/>
          <w:sz w:val="23"/>
          <w:szCs w:val="23"/>
        </w:rPr>
        <w:t xml:space="preserve"> In </w:t>
      </w:r>
      <w:r w:rsidR="005A03D1" w:rsidRPr="0079610D">
        <w:rPr>
          <w:rFonts w:ascii="Garamond" w:hAnsi="Garamond"/>
          <w:sz w:val="23"/>
          <w:szCs w:val="23"/>
        </w:rPr>
        <w:t>its</w:t>
      </w:r>
      <w:r w:rsidR="00CB3908" w:rsidRPr="0079610D">
        <w:rPr>
          <w:rFonts w:ascii="Garamond" w:hAnsi="Garamond"/>
          <w:sz w:val="23"/>
          <w:szCs w:val="23"/>
        </w:rPr>
        <w:t xml:space="preserve"> amended defence, the respondent alleged that the contract had been procured by bribes paid by or on behalf of the appellant to senior employees of the subsidiary</w:t>
      </w:r>
      <w:r w:rsidR="00BE2E2D" w:rsidRPr="0079610D">
        <w:rPr>
          <w:rFonts w:ascii="Garamond" w:hAnsi="Garamond"/>
          <w:sz w:val="23"/>
          <w:szCs w:val="23"/>
        </w:rPr>
        <w:t>. The respondent relied on confessions made</w:t>
      </w:r>
      <w:r w:rsidR="00020591" w:rsidRPr="0079610D">
        <w:rPr>
          <w:rFonts w:ascii="Garamond" w:hAnsi="Garamond"/>
          <w:sz w:val="23"/>
          <w:szCs w:val="23"/>
        </w:rPr>
        <w:t xml:space="preserve"> by three individuals</w:t>
      </w:r>
      <w:r w:rsidR="00BE2E2D" w:rsidRPr="0079610D">
        <w:rPr>
          <w:rFonts w:ascii="Garamond" w:hAnsi="Garamond"/>
          <w:sz w:val="23"/>
          <w:szCs w:val="23"/>
        </w:rPr>
        <w:t xml:space="preserve"> during an investigation undertaken by the Chinese Public Security Bureau.</w:t>
      </w:r>
      <w:r w:rsidR="00477DDC" w:rsidRPr="0079610D">
        <w:rPr>
          <w:rFonts w:ascii="Garamond" w:hAnsi="Garamond"/>
          <w:sz w:val="23"/>
          <w:szCs w:val="23"/>
        </w:rPr>
        <w:t xml:space="preserve"> In an amended reply the appellant alleged that th</w:t>
      </w:r>
      <w:r w:rsidR="004F1121" w:rsidRPr="0079610D">
        <w:rPr>
          <w:rFonts w:ascii="Garamond" w:hAnsi="Garamond"/>
          <w:sz w:val="23"/>
          <w:szCs w:val="23"/>
        </w:rPr>
        <w:t>ose</w:t>
      </w:r>
      <w:r w:rsidR="00477DDC" w:rsidRPr="0079610D">
        <w:rPr>
          <w:rFonts w:ascii="Garamond" w:hAnsi="Garamond"/>
          <w:sz w:val="23"/>
          <w:szCs w:val="23"/>
        </w:rPr>
        <w:t xml:space="preserve"> confessions</w:t>
      </w:r>
      <w:r w:rsidR="00EE6241" w:rsidRPr="0079610D">
        <w:rPr>
          <w:rFonts w:ascii="Garamond" w:hAnsi="Garamond"/>
          <w:sz w:val="23"/>
          <w:szCs w:val="23"/>
        </w:rPr>
        <w:t xml:space="preserve"> had been obtained by torture and consequently</w:t>
      </w:r>
      <w:r w:rsidR="00F458C6" w:rsidRPr="0079610D">
        <w:rPr>
          <w:rFonts w:ascii="Garamond" w:hAnsi="Garamond"/>
          <w:sz w:val="23"/>
          <w:szCs w:val="23"/>
        </w:rPr>
        <w:t xml:space="preserve"> were</w:t>
      </w:r>
      <w:r w:rsidR="00EE6241" w:rsidRPr="0079610D">
        <w:rPr>
          <w:rFonts w:ascii="Garamond" w:hAnsi="Garamond"/>
          <w:sz w:val="23"/>
          <w:szCs w:val="23"/>
        </w:rPr>
        <w:t xml:space="preserve"> inadmissible as evidence in the proceedings.</w:t>
      </w:r>
    </w:p>
    <w:p w14:paraId="0AB3C744" w14:textId="2DF02391" w:rsidR="00F92A63" w:rsidRPr="0079610D" w:rsidRDefault="00F92A63" w:rsidP="00FD6534">
      <w:pPr>
        <w:jc w:val="both"/>
        <w:rPr>
          <w:rFonts w:ascii="Garamond" w:hAnsi="Garamond"/>
          <w:sz w:val="23"/>
          <w:szCs w:val="23"/>
        </w:rPr>
      </w:pPr>
    </w:p>
    <w:p w14:paraId="0BB6854B" w14:textId="753B102C" w:rsidR="005954D1" w:rsidRPr="0079610D" w:rsidRDefault="00291554" w:rsidP="00712A0A">
      <w:pPr>
        <w:jc w:val="both"/>
        <w:rPr>
          <w:rFonts w:ascii="Garamond" w:hAnsi="Garamond"/>
          <w:sz w:val="23"/>
          <w:szCs w:val="23"/>
        </w:rPr>
      </w:pPr>
      <w:r w:rsidRPr="0079610D">
        <w:rPr>
          <w:rFonts w:ascii="Garamond" w:hAnsi="Garamond"/>
          <w:sz w:val="23"/>
          <w:szCs w:val="23"/>
        </w:rPr>
        <w:t>At trial</w:t>
      </w:r>
      <w:r w:rsidR="00DE50E7" w:rsidRPr="0079610D">
        <w:rPr>
          <w:rFonts w:ascii="Garamond" w:hAnsi="Garamond"/>
          <w:sz w:val="23"/>
          <w:szCs w:val="23"/>
        </w:rPr>
        <w:t xml:space="preserve">, Knowles J </w:t>
      </w:r>
      <w:r w:rsidR="006823DE" w:rsidRPr="0079610D">
        <w:rPr>
          <w:rFonts w:ascii="Garamond" w:hAnsi="Garamond"/>
          <w:sz w:val="23"/>
          <w:szCs w:val="23"/>
        </w:rPr>
        <w:t>gave judgment in favour of the appellant</w:t>
      </w:r>
      <w:r w:rsidR="002F6EA5" w:rsidRPr="0079610D">
        <w:rPr>
          <w:rFonts w:ascii="Garamond" w:hAnsi="Garamond"/>
          <w:sz w:val="23"/>
          <w:szCs w:val="23"/>
        </w:rPr>
        <w:t>, finding that there was no bribery and that he could not rule out torture</w:t>
      </w:r>
      <w:r w:rsidR="006823DE" w:rsidRPr="0079610D">
        <w:rPr>
          <w:rFonts w:ascii="Garamond" w:hAnsi="Garamond"/>
          <w:sz w:val="23"/>
          <w:szCs w:val="23"/>
        </w:rPr>
        <w:t>.</w:t>
      </w:r>
      <w:r w:rsidR="0066018D" w:rsidRPr="0079610D">
        <w:rPr>
          <w:rFonts w:ascii="Garamond" w:hAnsi="Garamond"/>
          <w:sz w:val="23"/>
          <w:szCs w:val="23"/>
        </w:rPr>
        <w:t xml:space="preserve"> On appeal, the Court of Appeal held that the judge’s </w:t>
      </w:r>
      <w:r w:rsidR="00FB2084" w:rsidRPr="0079610D">
        <w:rPr>
          <w:rFonts w:ascii="Garamond" w:hAnsi="Garamond"/>
          <w:sz w:val="23"/>
          <w:szCs w:val="23"/>
        </w:rPr>
        <w:t xml:space="preserve">decision was unsustainable </w:t>
      </w:r>
      <w:r w:rsidR="009E340D" w:rsidRPr="0079610D">
        <w:rPr>
          <w:rFonts w:ascii="Garamond" w:hAnsi="Garamond"/>
          <w:sz w:val="23"/>
          <w:szCs w:val="23"/>
        </w:rPr>
        <w:t>and sent the case back for reconsideration by a different judge.</w:t>
      </w:r>
      <w:r w:rsidR="00B911E6" w:rsidRPr="0079610D">
        <w:rPr>
          <w:rFonts w:ascii="Garamond" w:hAnsi="Garamond"/>
          <w:sz w:val="23"/>
          <w:szCs w:val="23"/>
        </w:rPr>
        <w:t xml:space="preserve"> The appellant appeal</w:t>
      </w:r>
      <w:r w:rsidR="008D5F89" w:rsidRPr="0079610D">
        <w:rPr>
          <w:rFonts w:ascii="Garamond" w:hAnsi="Garamond"/>
          <w:sz w:val="23"/>
          <w:szCs w:val="23"/>
        </w:rPr>
        <w:t>ed</w:t>
      </w:r>
      <w:r w:rsidR="00B911E6" w:rsidRPr="0079610D">
        <w:rPr>
          <w:rFonts w:ascii="Garamond" w:hAnsi="Garamond"/>
          <w:sz w:val="23"/>
          <w:szCs w:val="23"/>
        </w:rPr>
        <w:t xml:space="preserve"> </w:t>
      </w:r>
      <w:r w:rsidR="008D5F89" w:rsidRPr="0079610D">
        <w:rPr>
          <w:rFonts w:ascii="Garamond" w:hAnsi="Garamond"/>
          <w:sz w:val="23"/>
          <w:szCs w:val="23"/>
        </w:rPr>
        <w:t xml:space="preserve">to the Supreme Court </w:t>
      </w:r>
      <w:r w:rsidR="00B911E6" w:rsidRPr="0079610D">
        <w:rPr>
          <w:rFonts w:ascii="Garamond" w:hAnsi="Garamond"/>
          <w:sz w:val="23"/>
          <w:szCs w:val="23"/>
        </w:rPr>
        <w:t xml:space="preserve">seeking restoration of the </w:t>
      </w:r>
      <w:r w:rsidR="005E4EF5" w:rsidRPr="0079610D">
        <w:rPr>
          <w:rFonts w:ascii="Garamond" w:hAnsi="Garamond"/>
          <w:sz w:val="23"/>
          <w:szCs w:val="23"/>
        </w:rPr>
        <w:t>judge’s judgment.</w:t>
      </w:r>
    </w:p>
    <w:p w14:paraId="5DCDA6AC" w14:textId="77777777" w:rsidR="00F26FEF" w:rsidRPr="0079610D" w:rsidRDefault="00F26FEF" w:rsidP="00712A0A">
      <w:pPr>
        <w:jc w:val="both"/>
        <w:rPr>
          <w:rFonts w:ascii="Garamond" w:hAnsi="Garamond"/>
          <w:sz w:val="23"/>
          <w:szCs w:val="23"/>
        </w:rPr>
      </w:pPr>
    </w:p>
    <w:p w14:paraId="061CA697" w14:textId="77777777" w:rsidR="00A16C02" w:rsidRPr="00C30E3C" w:rsidRDefault="00A16C02" w:rsidP="00712A0A">
      <w:pPr>
        <w:jc w:val="both"/>
        <w:rPr>
          <w:rFonts w:ascii="Garamond" w:hAnsi="Garamond"/>
          <w:b/>
        </w:rPr>
      </w:pPr>
      <w:r w:rsidRPr="00C30E3C">
        <w:rPr>
          <w:rFonts w:ascii="Garamond" w:hAnsi="Garamond"/>
          <w:b/>
        </w:rPr>
        <w:t>JUDGMENT</w:t>
      </w:r>
    </w:p>
    <w:p w14:paraId="142FAFAC" w14:textId="77777777" w:rsidR="00A16C02" w:rsidRPr="00C30E3C" w:rsidRDefault="00A16C02" w:rsidP="00712A0A">
      <w:pPr>
        <w:jc w:val="both"/>
        <w:rPr>
          <w:rFonts w:ascii="Garamond" w:hAnsi="Garamond"/>
          <w:b/>
        </w:rPr>
      </w:pPr>
    </w:p>
    <w:p w14:paraId="4E7DC8C6" w14:textId="10D87C01" w:rsidR="00647FCA" w:rsidRPr="00C30E3C" w:rsidRDefault="00460E53" w:rsidP="00712A0A">
      <w:pPr>
        <w:jc w:val="both"/>
        <w:rPr>
          <w:rFonts w:ascii="Garamond" w:hAnsi="Garamond"/>
        </w:rPr>
      </w:pPr>
      <w:r>
        <w:rPr>
          <w:rFonts w:ascii="Garamond" w:hAnsi="Garamond"/>
        </w:rPr>
        <w:t>T</w:t>
      </w:r>
      <w:r w:rsidR="00A33577" w:rsidRPr="00C30E3C">
        <w:rPr>
          <w:rFonts w:ascii="Garamond" w:hAnsi="Garamond"/>
        </w:rPr>
        <w:t>he Supreme Court</w:t>
      </w:r>
      <w:r w:rsidR="00CD74C1">
        <w:rPr>
          <w:rFonts w:ascii="Garamond" w:hAnsi="Garamond"/>
        </w:rPr>
        <w:t xml:space="preserve"> </w:t>
      </w:r>
      <w:r>
        <w:rPr>
          <w:rFonts w:ascii="Garamond" w:hAnsi="Garamond"/>
        </w:rPr>
        <w:t xml:space="preserve">unanimously </w:t>
      </w:r>
      <w:r w:rsidR="00DA7B77">
        <w:rPr>
          <w:rFonts w:ascii="Garamond" w:hAnsi="Garamond"/>
        </w:rPr>
        <w:t>allows</w:t>
      </w:r>
      <w:r w:rsidR="00AC30BA">
        <w:rPr>
          <w:rFonts w:ascii="Garamond" w:hAnsi="Garamond"/>
        </w:rPr>
        <w:t xml:space="preserve"> th</w:t>
      </w:r>
      <w:r w:rsidR="00CA43FC">
        <w:rPr>
          <w:rFonts w:ascii="Garamond" w:hAnsi="Garamond"/>
        </w:rPr>
        <w:t>e appeal</w:t>
      </w:r>
      <w:r w:rsidR="00DA7B77">
        <w:rPr>
          <w:rFonts w:ascii="Garamond" w:hAnsi="Garamond"/>
        </w:rPr>
        <w:t xml:space="preserve"> and restores the judgment in favour of the appellant</w:t>
      </w:r>
      <w:r w:rsidR="00D2343F">
        <w:rPr>
          <w:rFonts w:ascii="Garamond" w:hAnsi="Garamond"/>
        </w:rPr>
        <w:t xml:space="preserve">. </w:t>
      </w:r>
      <w:r w:rsidR="00EE7E02">
        <w:rPr>
          <w:rFonts w:ascii="Garamond" w:hAnsi="Garamond"/>
        </w:rPr>
        <w:t xml:space="preserve">Lord </w:t>
      </w:r>
      <w:r w:rsidR="00E27DCB">
        <w:rPr>
          <w:rFonts w:ascii="Garamond" w:hAnsi="Garamond"/>
        </w:rPr>
        <w:t>Hamblen and Lord Leggatt</w:t>
      </w:r>
      <w:r w:rsidR="00BF0C5A">
        <w:rPr>
          <w:rFonts w:ascii="Garamond" w:hAnsi="Garamond"/>
        </w:rPr>
        <w:t xml:space="preserve"> </w:t>
      </w:r>
      <w:r w:rsidR="00D2343F">
        <w:rPr>
          <w:rFonts w:ascii="Garamond" w:hAnsi="Garamond"/>
        </w:rPr>
        <w:t>give</w:t>
      </w:r>
      <w:r w:rsidR="00BF0C5A">
        <w:rPr>
          <w:rFonts w:ascii="Garamond" w:hAnsi="Garamond"/>
        </w:rPr>
        <w:t xml:space="preserve"> </w:t>
      </w:r>
      <w:r w:rsidR="008A3253">
        <w:rPr>
          <w:rFonts w:ascii="Garamond" w:hAnsi="Garamond"/>
        </w:rPr>
        <w:t xml:space="preserve">the </w:t>
      </w:r>
      <w:r w:rsidR="00BF0C5A">
        <w:rPr>
          <w:rFonts w:ascii="Garamond" w:hAnsi="Garamond"/>
        </w:rPr>
        <w:t>judgmen</w:t>
      </w:r>
      <w:r w:rsidR="00CD6710">
        <w:rPr>
          <w:rFonts w:ascii="Garamond" w:hAnsi="Garamond"/>
        </w:rPr>
        <w:t xml:space="preserve">t, with which </w:t>
      </w:r>
      <w:r w:rsidR="00B843A9">
        <w:rPr>
          <w:rFonts w:ascii="Garamond" w:hAnsi="Garamond"/>
        </w:rPr>
        <w:t>all members of the Court</w:t>
      </w:r>
      <w:r w:rsidR="00874550">
        <w:rPr>
          <w:rFonts w:ascii="Garamond" w:hAnsi="Garamond"/>
        </w:rPr>
        <w:t xml:space="preserve"> agree.</w:t>
      </w:r>
    </w:p>
    <w:p w14:paraId="4A8C2F0B" w14:textId="78B8AB1F" w:rsidR="00FA3D1D" w:rsidRDefault="00FA3D1D" w:rsidP="00712A0A">
      <w:pPr>
        <w:jc w:val="both"/>
        <w:rPr>
          <w:rFonts w:ascii="Garamond" w:hAnsi="Garamond"/>
          <w:b/>
        </w:rPr>
      </w:pPr>
    </w:p>
    <w:p w14:paraId="7EF58E09" w14:textId="6CEBD6DB" w:rsidR="00A16C02" w:rsidRPr="00C30E3C" w:rsidRDefault="00A16C02" w:rsidP="00AE201D">
      <w:pPr>
        <w:rPr>
          <w:rFonts w:ascii="Garamond" w:hAnsi="Garamond"/>
          <w:b/>
        </w:rPr>
      </w:pPr>
      <w:r w:rsidRPr="00C30E3C">
        <w:rPr>
          <w:rFonts w:ascii="Garamond" w:hAnsi="Garamond"/>
          <w:b/>
        </w:rPr>
        <w:t>REASONS FOR THE JUDGMENT</w:t>
      </w:r>
    </w:p>
    <w:p w14:paraId="398F68E5" w14:textId="4DB7F368" w:rsidR="00DD5FE0" w:rsidRDefault="00DD5FE0" w:rsidP="001C775B">
      <w:pPr>
        <w:keepNext/>
        <w:jc w:val="both"/>
        <w:rPr>
          <w:rFonts w:ascii="Garamond" w:hAnsi="Garamond"/>
          <w:bCs/>
        </w:rPr>
      </w:pPr>
    </w:p>
    <w:p w14:paraId="2B8D8282" w14:textId="68A04CDD" w:rsidR="00D2228B" w:rsidRPr="00782B2B" w:rsidRDefault="00F832EC" w:rsidP="00D91855">
      <w:pPr>
        <w:jc w:val="both"/>
        <w:rPr>
          <w:rFonts w:ascii="Garamond" w:hAnsi="Garamond"/>
          <w:bCs/>
        </w:rPr>
      </w:pPr>
      <w:r>
        <w:rPr>
          <w:rFonts w:ascii="Garamond" w:hAnsi="Garamond"/>
          <w:bCs/>
        </w:rPr>
        <w:t>The</w:t>
      </w:r>
      <w:r w:rsidR="00E4133C">
        <w:rPr>
          <w:rFonts w:ascii="Garamond" w:hAnsi="Garamond"/>
          <w:bCs/>
        </w:rPr>
        <w:t xml:space="preserve"> issue on the appeal is whether the Court of Appeal’s criticisms</w:t>
      </w:r>
      <w:r w:rsidR="0066168E">
        <w:rPr>
          <w:rFonts w:ascii="Garamond" w:hAnsi="Garamond"/>
          <w:bCs/>
        </w:rPr>
        <w:t xml:space="preserve"> were justified and warranted remitting the case for fresh determination. The four main criticisms were that</w:t>
      </w:r>
      <w:r w:rsidR="00D91855">
        <w:rPr>
          <w:rFonts w:ascii="Garamond" w:hAnsi="Garamond"/>
          <w:bCs/>
        </w:rPr>
        <w:t xml:space="preserve"> the judge: (</w:t>
      </w:r>
      <w:proofErr w:type="spellStart"/>
      <w:r w:rsidR="00D91855">
        <w:rPr>
          <w:rFonts w:ascii="Garamond" w:hAnsi="Garamond"/>
          <w:bCs/>
        </w:rPr>
        <w:t>i</w:t>
      </w:r>
      <w:proofErr w:type="spellEnd"/>
      <w:r w:rsidR="00D91855">
        <w:rPr>
          <w:rFonts w:ascii="Garamond" w:hAnsi="Garamond"/>
          <w:bCs/>
        </w:rPr>
        <w:t xml:space="preserve">) </w:t>
      </w:r>
      <w:r w:rsidR="00D91855" w:rsidRPr="00D91855">
        <w:rPr>
          <w:rFonts w:ascii="Garamond" w:hAnsi="Garamond"/>
          <w:bCs/>
        </w:rPr>
        <w:t xml:space="preserve">failed to follow the </w:t>
      </w:r>
      <w:r w:rsidR="00D91855" w:rsidRPr="00D91855">
        <w:rPr>
          <w:rFonts w:ascii="Garamond" w:hAnsi="Garamond"/>
          <w:bCs/>
        </w:rPr>
        <w:lastRenderedPageBreak/>
        <w:t>logical steps necessary to reach a proper evaluation of the admissible evidence</w:t>
      </w:r>
      <w:r w:rsidR="00D91855">
        <w:rPr>
          <w:rFonts w:ascii="Garamond" w:hAnsi="Garamond"/>
          <w:bCs/>
        </w:rPr>
        <w:t xml:space="preserve">; (ii) </w:t>
      </w:r>
      <w:r w:rsidR="00D91855" w:rsidRPr="00D91855">
        <w:rPr>
          <w:rFonts w:ascii="Garamond" w:hAnsi="Garamond"/>
          <w:bCs/>
        </w:rPr>
        <w:t>failed to ask and answer the correct legal question as to what weight should be accorded to the confession evidence</w:t>
      </w:r>
      <w:r w:rsidR="00E22E52">
        <w:rPr>
          <w:rFonts w:ascii="Garamond" w:hAnsi="Garamond"/>
          <w:bCs/>
        </w:rPr>
        <w:t xml:space="preserve">; (iii) </w:t>
      </w:r>
      <w:r w:rsidR="00D91855" w:rsidRPr="00D91855">
        <w:rPr>
          <w:rFonts w:ascii="Garamond" w:hAnsi="Garamond"/>
          <w:bCs/>
        </w:rPr>
        <w:t>fell into legal error in failing to take all the appropriate matters into account in deciding the bribery issu</w:t>
      </w:r>
      <w:r w:rsidR="00E22E52">
        <w:rPr>
          <w:rFonts w:ascii="Garamond" w:hAnsi="Garamond"/>
          <w:bCs/>
        </w:rPr>
        <w:t xml:space="preserve">e; </w:t>
      </w:r>
      <w:r w:rsidR="00DF258F">
        <w:rPr>
          <w:rFonts w:ascii="Garamond" w:hAnsi="Garamond"/>
          <w:bCs/>
        </w:rPr>
        <w:t xml:space="preserve">and </w:t>
      </w:r>
      <w:r w:rsidR="00E22E52">
        <w:rPr>
          <w:rFonts w:ascii="Garamond" w:hAnsi="Garamond"/>
          <w:bCs/>
        </w:rPr>
        <w:t xml:space="preserve">(iv) </w:t>
      </w:r>
      <w:r w:rsidR="00D91855" w:rsidRPr="00D91855">
        <w:rPr>
          <w:rFonts w:ascii="Garamond" w:hAnsi="Garamond"/>
          <w:bCs/>
        </w:rPr>
        <w:t xml:space="preserve">fell into legal error in failing to exclude irrelevant matters, including </w:t>
      </w:r>
      <w:r w:rsidR="00C71D4D">
        <w:rPr>
          <w:rFonts w:ascii="Garamond" w:hAnsi="Garamond"/>
          <w:bCs/>
        </w:rPr>
        <w:t xml:space="preserve">what the Court of Appeal described as </w:t>
      </w:r>
      <w:r w:rsidR="00D91855" w:rsidRPr="00D91855">
        <w:rPr>
          <w:rFonts w:ascii="Garamond" w:hAnsi="Garamond"/>
          <w:bCs/>
        </w:rPr>
        <w:t>his “lingering doubt” as to whether the confessions were procured by torture, in considering whether the alleged bribe was paid</w:t>
      </w:r>
      <w:r w:rsidR="00782B2B">
        <w:rPr>
          <w:rFonts w:ascii="Garamond" w:hAnsi="Garamond"/>
          <w:bCs/>
        </w:rPr>
        <w:t xml:space="preserve"> </w:t>
      </w:r>
      <w:r w:rsidR="00782B2B">
        <w:rPr>
          <w:rFonts w:ascii="Garamond" w:hAnsi="Garamond"/>
          <w:b/>
        </w:rPr>
        <w:t>[51]-[52]</w:t>
      </w:r>
      <w:r w:rsidR="00782B2B">
        <w:rPr>
          <w:rFonts w:ascii="Garamond" w:hAnsi="Garamond"/>
          <w:bCs/>
        </w:rPr>
        <w:t>.</w:t>
      </w:r>
    </w:p>
    <w:p w14:paraId="4CD46C2B" w14:textId="4F0A2E31" w:rsidR="001C45B2" w:rsidRDefault="001C45B2" w:rsidP="00FF3C27">
      <w:pPr>
        <w:jc w:val="both"/>
        <w:rPr>
          <w:rFonts w:ascii="Garamond" w:hAnsi="Garamond"/>
          <w:bCs/>
        </w:rPr>
      </w:pPr>
    </w:p>
    <w:p w14:paraId="549ADA9A" w14:textId="5B135C20" w:rsidR="00E22E52" w:rsidRDefault="008E7CF3" w:rsidP="00FF3C27">
      <w:pPr>
        <w:jc w:val="both"/>
        <w:rPr>
          <w:rFonts w:ascii="Garamond" w:hAnsi="Garamond"/>
          <w:bCs/>
        </w:rPr>
      </w:pPr>
      <w:r>
        <w:rPr>
          <w:rFonts w:ascii="Garamond" w:hAnsi="Garamond"/>
          <w:bCs/>
        </w:rPr>
        <w:t xml:space="preserve">On the first </w:t>
      </w:r>
      <w:r w:rsidR="0086767E">
        <w:rPr>
          <w:rFonts w:ascii="Garamond" w:hAnsi="Garamond"/>
          <w:bCs/>
        </w:rPr>
        <w:t>criticism</w:t>
      </w:r>
      <w:r>
        <w:rPr>
          <w:rFonts w:ascii="Garamond" w:hAnsi="Garamond"/>
          <w:bCs/>
        </w:rPr>
        <w:t xml:space="preserve">, the judge had </w:t>
      </w:r>
      <w:r w:rsidR="00217C8D">
        <w:rPr>
          <w:rFonts w:ascii="Garamond" w:hAnsi="Garamond"/>
          <w:bCs/>
        </w:rPr>
        <w:t xml:space="preserve">considered the bribery </w:t>
      </w:r>
      <w:r w:rsidR="000120E3">
        <w:rPr>
          <w:rFonts w:ascii="Garamond" w:hAnsi="Garamond"/>
          <w:bCs/>
        </w:rPr>
        <w:t>issue</w:t>
      </w:r>
      <w:r w:rsidR="00217C8D">
        <w:rPr>
          <w:rFonts w:ascii="Garamond" w:hAnsi="Garamond"/>
          <w:bCs/>
        </w:rPr>
        <w:t xml:space="preserve"> before the torture allegations</w:t>
      </w:r>
      <w:r w:rsidR="00091F1C">
        <w:rPr>
          <w:rFonts w:ascii="Garamond" w:hAnsi="Garamond"/>
          <w:bCs/>
        </w:rPr>
        <w:t xml:space="preserve"> </w:t>
      </w:r>
      <w:r w:rsidR="00091F1C">
        <w:rPr>
          <w:rFonts w:ascii="Garamond" w:hAnsi="Garamond"/>
          <w:b/>
        </w:rPr>
        <w:t>[41]-</w:t>
      </w:r>
      <w:r w:rsidR="0087790A">
        <w:rPr>
          <w:rFonts w:ascii="Garamond" w:hAnsi="Garamond"/>
          <w:b/>
        </w:rPr>
        <w:t>[44]</w:t>
      </w:r>
      <w:r w:rsidR="00217C8D">
        <w:rPr>
          <w:rFonts w:ascii="Garamond" w:hAnsi="Garamond"/>
          <w:bCs/>
        </w:rPr>
        <w:t>.</w:t>
      </w:r>
      <w:r w:rsidR="000120E3">
        <w:rPr>
          <w:rFonts w:ascii="Garamond" w:hAnsi="Garamond"/>
          <w:bCs/>
        </w:rPr>
        <w:t xml:space="preserve"> The Court of Appeal took the view that the judge should have decided the torture allegations first</w:t>
      </w:r>
      <w:r w:rsidR="001D2453">
        <w:rPr>
          <w:rFonts w:ascii="Garamond" w:hAnsi="Garamond"/>
          <w:bCs/>
        </w:rPr>
        <w:t xml:space="preserve"> and, having concluded the confession evidence was admissible, proceeded to </w:t>
      </w:r>
      <w:r w:rsidR="008A1758">
        <w:rPr>
          <w:rFonts w:ascii="Garamond" w:hAnsi="Garamond"/>
          <w:bCs/>
        </w:rPr>
        <w:t>determine the weight to be given to th</w:t>
      </w:r>
      <w:r w:rsidR="002D0E6A">
        <w:rPr>
          <w:rFonts w:ascii="Garamond" w:hAnsi="Garamond"/>
          <w:bCs/>
        </w:rPr>
        <w:t>at</w:t>
      </w:r>
      <w:r w:rsidR="008A1758">
        <w:rPr>
          <w:rFonts w:ascii="Garamond" w:hAnsi="Garamond"/>
          <w:bCs/>
        </w:rPr>
        <w:t xml:space="preserve"> evidence, </w:t>
      </w:r>
      <w:r w:rsidR="00B3509E">
        <w:rPr>
          <w:rFonts w:ascii="Garamond" w:hAnsi="Garamond"/>
          <w:bCs/>
        </w:rPr>
        <w:t>then</w:t>
      </w:r>
      <w:r w:rsidR="008A1758">
        <w:rPr>
          <w:rFonts w:ascii="Garamond" w:hAnsi="Garamond"/>
          <w:bCs/>
        </w:rPr>
        <w:t xml:space="preserve"> subsequently </w:t>
      </w:r>
      <w:r w:rsidR="00B3509E">
        <w:rPr>
          <w:rFonts w:ascii="Garamond" w:hAnsi="Garamond"/>
          <w:bCs/>
        </w:rPr>
        <w:t>have considered</w:t>
      </w:r>
      <w:r w:rsidR="008A1758">
        <w:rPr>
          <w:rFonts w:ascii="Garamond" w:hAnsi="Garamond"/>
          <w:bCs/>
        </w:rPr>
        <w:t xml:space="preserve"> whether </w:t>
      </w:r>
      <w:r w:rsidR="0080420C">
        <w:rPr>
          <w:rFonts w:ascii="Garamond" w:hAnsi="Garamond"/>
          <w:bCs/>
        </w:rPr>
        <w:t xml:space="preserve">bribery had taken place </w:t>
      </w:r>
      <w:r w:rsidR="0080420C">
        <w:rPr>
          <w:rFonts w:ascii="Garamond" w:hAnsi="Garamond"/>
          <w:b/>
        </w:rPr>
        <w:t>[55]-[56]</w:t>
      </w:r>
      <w:r w:rsidR="0080420C">
        <w:rPr>
          <w:rFonts w:ascii="Garamond" w:hAnsi="Garamond"/>
          <w:bCs/>
        </w:rPr>
        <w:t>.</w:t>
      </w:r>
      <w:r w:rsidR="000647BC">
        <w:rPr>
          <w:rFonts w:ascii="Garamond" w:hAnsi="Garamond"/>
          <w:bCs/>
        </w:rPr>
        <w:t xml:space="preserve"> The Supreme Court </w:t>
      </w:r>
      <w:r w:rsidR="00743A5B">
        <w:rPr>
          <w:rFonts w:ascii="Garamond" w:hAnsi="Garamond"/>
          <w:bCs/>
        </w:rPr>
        <w:t>accepts that the Court of Appeal’s approach is logical</w:t>
      </w:r>
      <w:r w:rsidR="004A6923">
        <w:rPr>
          <w:rFonts w:ascii="Garamond" w:hAnsi="Garamond"/>
          <w:bCs/>
        </w:rPr>
        <w:t>,</w:t>
      </w:r>
      <w:r w:rsidR="00743A5B">
        <w:rPr>
          <w:rFonts w:ascii="Garamond" w:hAnsi="Garamond"/>
          <w:bCs/>
        </w:rPr>
        <w:t xml:space="preserve"> but </w:t>
      </w:r>
      <w:r w:rsidR="004A6923">
        <w:rPr>
          <w:rFonts w:ascii="Garamond" w:hAnsi="Garamond"/>
          <w:bCs/>
        </w:rPr>
        <w:t xml:space="preserve">it is </w:t>
      </w:r>
      <w:r w:rsidR="00743A5B">
        <w:rPr>
          <w:rFonts w:ascii="Garamond" w:hAnsi="Garamond"/>
          <w:bCs/>
        </w:rPr>
        <w:t xml:space="preserve">not mandatory. The manner and order of </w:t>
      </w:r>
      <w:r w:rsidR="00877CE8">
        <w:rPr>
          <w:rFonts w:ascii="Garamond" w:hAnsi="Garamond"/>
          <w:bCs/>
        </w:rPr>
        <w:t xml:space="preserve">the </w:t>
      </w:r>
      <w:r w:rsidR="00743A5B">
        <w:rPr>
          <w:rFonts w:ascii="Garamond" w:hAnsi="Garamond"/>
          <w:bCs/>
        </w:rPr>
        <w:t>consideration</w:t>
      </w:r>
      <w:r w:rsidR="00B93141">
        <w:rPr>
          <w:rFonts w:ascii="Garamond" w:hAnsi="Garamond"/>
          <w:bCs/>
        </w:rPr>
        <w:t xml:space="preserve"> of admissibility and weight of evidence</w:t>
      </w:r>
      <w:r w:rsidR="00743A5B">
        <w:rPr>
          <w:rFonts w:ascii="Garamond" w:hAnsi="Garamond"/>
          <w:bCs/>
        </w:rPr>
        <w:t xml:space="preserve"> </w:t>
      </w:r>
      <w:r w:rsidR="00441133">
        <w:rPr>
          <w:rFonts w:ascii="Garamond" w:hAnsi="Garamond"/>
          <w:bCs/>
        </w:rPr>
        <w:t>are</w:t>
      </w:r>
      <w:r w:rsidR="00743A5B">
        <w:rPr>
          <w:rFonts w:ascii="Garamond" w:hAnsi="Garamond"/>
          <w:bCs/>
        </w:rPr>
        <w:t xml:space="preserve"> matter</w:t>
      </w:r>
      <w:r w:rsidR="00441133">
        <w:rPr>
          <w:rFonts w:ascii="Garamond" w:hAnsi="Garamond"/>
          <w:bCs/>
        </w:rPr>
        <w:t>s</w:t>
      </w:r>
      <w:r w:rsidR="00743A5B">
        <w:rPr>
          <w:rFonts w:ascii="Garamond" w:hAnsi="Garamond"/>
          <w:bCs/>
        </w:rPr>
        <w:t xml:space="preserve"> for the trial judge and there will usually be more than one legitimate approach</w:t>
      </w:r>
      <w:r w:rsidR="00034842">
        <w:rPr>
          <w:rFonts w:ascii="Garamond" w:hAnsi="Garamond"/>
          <w:bCs/>
        </w:rPr>
        <w:t xml:space="preserve"> </w:t>
      </w:r>
      <w:r w:rsidR="00034842">
        <w:rPr>
          <w:rFonts w:ascii="Garamond" w:hAnsi="Garamond"/>
          <w:b/>
        </w:rPr>
        <w:t>[57]-[58]</w:t>
      </w:r>
      <w:r w:rsidR="0006565C">
        <w:rPr>
          <w:rFonts w:ascii="Garamond" w:hAnsi="Garamond"/>
          <w:bCs/>
        </w:rPr>
        <w:t>.</w:t>
      </w:r>
      <w:r w:rsidR="00393520">
        <w:rPr>
          <w:rFonts w:ascii="Garamond" w:hAnsi="Garamond"/>
          <w:bCs/>
        </w:rPr>
        <w:t xml:space="preserve"> </w:t>
      </w:r>
      <w:r w:rsidR="007E233D">
        <w:rPr>
          <w:rFonts w:ascii="Garamond" w:hAnsi="Garamond"/>
          <w:bCs/>
        </w:rPr>
        <w:t xml:space="preserve">The judge took the confession evidence into account on the assumption, without deciding, that the evidence was admissible. That was a permissible approach </w:t>
      </w:r>
      <w:r w:rsidR="007E233D" w:rsidRPr="00AE201D">
        <w:rPr>
          <w:rFonts w:ascii="Garamond" w:hAnsi="Garamond"/>
          <w:b/>
        </w:rPr>
        <w:t>[59]</w:t>
      </w:r>
      <w:r w:rsidR="007E233D">
        <w:rPr>
          <w:rFonts w:ascii="Garamond" w:hAnsi="Garamond"/>
          <w:bCs/>
        </w:rPr>
        <w:t>. Having done so, t</w:t>
      </w:r>
      <w:r w:rsidR="00393520">
        <w:rPr>
          <w:rFonts w:ascii="Garamond" w:hAnsi="Garamond"/>
          <w:bCs/>
        </w:rPr>
        <w:t xml:space="preserve">he judge </w:t>
      </w:r>
      <w:r w:rsidR="006918D0">
        <w:rPr>
          <w:rFonts w:ascii="Garamond" w:hAnsi="Garamond"/>
          <w:bCs/>
        </w:rPr>
        <w:t>considered it unnecessary to make a finding on the torture issues because he was in any event satisfied there was no bribery</w:t>
      </w:r>
      <w:r w:rsidR="007E233D">
        <w:rPr>
          <w:rFonts w:ascii="Garamond" w:hAnsi="Garamond"/>
          <w:bCs/>
        </w:rPr>
        <w:t xml:space="preserve">. The approach taken was both </w:t>
      </w:r>
      <w:r w:rsidR="005D38CF">
        <w:rPr>
          <w:rFonts w:ascii="Garamond" w:hAnsi="Garamond"/>
          <w:bCs/>
        </w:rPr>
        <w:t xml:space="preserve">legitimate and consistent </w:t>
      </w:r>
      <w:r w:rsidR="007E233D">
        <w:rPr>
          <w:rFonts w:ascii="Garamond" w:hAnsi="Garamond"/>
          <w:bCs/>
        </w:rPr>
        <w:t>with the way the case was put before him</w:t>
      </w:r>
      <w:r w:rsidR="006918D0">
        <w:rPr>
          <w:rFonts w:ascii="Garamond" w:hAnsi="Garamond"/>
          <w:bCs/>
        </w:rPr>
        <w:t xml:space="preserve"> </w:t>
      </w:r>
      <w:r w:rsidR="006918D0">
        <w:rPr>
          <w:rFonts w:ascii="Garamond" w:hAnsi="Garamond"/>
          <w:b/>
        </w:rPr>
        <w:t>[62]</w:t>
      </w:r>
      <w:r w:rsidR="005D38CF">
        <w:rPr>
          <w:rFonts w:ascii="Garamond" w:hAnsi="Garamond"/>
          <w:b/>
        </w:rPr>
        <w:t>, [65]</w:t>
      </w:r>
      <w:r w:rsidR="006918D0">
        <w:rPr>
          <w:rFonts w:ascii="Garamond" w:hAnsi="Garamond"/>
          <w:bCs/>
        </w:rPr>
        <w:t>.</w:t>
      </w:r>
      <w:r w:rsidR="00167F77">
        <w:rPr>
          <w:rFonts w:ascii="Garamond" w:hAnsi="Garamond"/>
          <w:bCs/>
        </w:rPr>
        <w:t xml:space="preserve"> </w:t>
      </w:r>
    </w:p>
    <w:p w14:paraId="2E11BE4D" w14:textId="79BE5F8B" w:rsidR="008D7263" w:rsidRDefault="008D7263" w:rsidP="00FF3C27">
      <w:pPr>
        <w:jc w:val="both"/>
        <w:rPr>
          <w:rFonts w:ascii="Garamond" w:hAnsi="Garamond"/>
          <w:bCs/>
        </w:rPr>
      </w:pPr>
    </w:p>
    <w:p w14:paraId="176453F4" w14:textId="10C2161D" w:rsidR="008D7263" w:rsidRDefault="008D7263" w:rsidP="00FF3C27">
      <w:pPr>
        <w:jc w:val="both"/>
        <w:rPr>
          <w:rFonts w:ascii="Garamond" w:hAnsi="Garamond"/>
          <w:bCs/>
        </w:rPr>
      </w:pPr>
      <w:r>
        <w:rPr>
          <w:rFonts w:ascii="Garamond" w:hAnsi="Garamond"/>
          <w:bCs/>
        </w:rPr>
        <w:t xml:space="preserve">On the second </w:t>
      </w:r>
      <w:r w:rsidR="0086767E">
        <w:rPr>
          <w:rFonts w:ascii="Garamond" w:hAnsi="Garamond"/>
          <w:bCs/>
        </w:rPr>
        <w:t>criticism</w:t>
      </w:r>
      <w:r>
        <w:rPr>
          <w:rFonts w:ascii="Garamond" w:hAnsi="Garamond"/>
          <w:bCs/>
        </w:rPr>
        <w:t xml:space="preserve">, </w:t>
      </w:r>
      <w:r w:rsidR="00321FC8">
        <w:rPr>
          <w:rFonts w:ascii="Garamond" w:hAnsi="Garamond"/>
          <w:bCs/>
        </w:rPr>
        <w:t xml:space="preserve">the Court of Appeal considered that the judge had not adequately addressed the weight to be given to the confession evidence </w:t>
      </w:r>
      <w:r w:rsidR="00321FC8">
        <w:rPr>
          <w:rFonts w:ascii="Garamond" w:hAnsi="Garamond"/>
          <w:b/>
        </w:rPr>
        <w:t>[66]</w:t>
      </w:r>
      <w:r w:rsidR="00CA0FB4">
        <w:t>.</w:t>
      </w:r>
      <w:r w:rsidR="00C95D9D">
        <w:t xml:space="preserve"> </w:t>
      </w:r>
      <w:r w:rsidR="00C95D9D" w:rsidRPr="00C95D9D">
        <w:rPr>
          <w:rFonts w:ascii="Garamond" w:hAnsi="Garamond"/>
          <w:bCs/>
        </w:rPr>
        <w:t xml:space="preserve">Though not </w:t>
      </w:r>
      <w:r w:rsidR="00C95D9D">
        <w:rPr>
          <w:rFonts w:ascii="Garamond" w:hAnsi="Garamond"/>
          <w:bCs/>
        </w:rPr>
        <w:t xml:space="preserve">separately set out, the Supreme Court </w:t>
      </w:r>
      <w:r w:rsidR="00B20201">
        <w:rPr>
          <w:rFonts w:ascii="Garamond" w:hAnsi="Garamond"/>
          <w:bCs/>
        </w:rPr>
        <w:t xml:space="preserve">considers that the judge did address the weight of the evidence in the </w:t>
      </w:r>
      <w:r w:rsidR="007B0065">
        <w:rPr>
          <w:rFonts w:ascii="Garamond" w:hAnsi="Garamond"/>
          <w:bCs/>
        </w:rPr>
        <w:t>factors relied upon in his conclusion on bribery</w:t>
      </w:r>
      <w:r w:rsidR="007E233D">
        <w:rPr>
          <w:rFonts w:ascii="Garamond" w:hAnsi="Garamond"/>
          <w:bCs/>
        </w:rPr>
        <w:t xml:space="preserve">. </w:t>
      </w:r>
      <w:r w:rsidR="007E233D" w:rsidRPr="00AE201D">
        <w:rPr>
          <w:rFonts w:ascii="Garamond" w:hAnsi="Garamond"/>
        </w:rPr>
        <w:t>In circumstances where that evidence was the only evidence of bribery, in finding that there was no bribery the judge was necessarily finding that the confession evidence was of little or no weight</w:t>
      </w:r>
      <w:r w:rsidR="007E233D">
        <w:rPr>
          <w:rFonts w:ascii="Garamond" w:hAnsi="Garamond"/>
        </w:rPr>
        <w:t>.  It cannot be said that his conclusion on bribery was unreasonable or unsustainable</w:t>
      </w:r>
      <w:r w:rsidR="007B0065">
        <w:rPr>
          <w:rFonts w:ascii="Garamond" w:hAnsi="Garamond"/>
          <w:bCs/>
        </w:rPr>
        <w:t xml:space="preserve"> </w:t>
      </w:r>
      <w:r w:rsidR="00480EF5">
        <w:rPr>
          <w:rFonts w:ascii="Garamond" w:hAnsi="Garamond"/>
          <w:bCs/>
        </w:rPr>
        <w:t xml:space="preserve">and there were ample grounds to support </w:t>
      </w:r>
      <w:r w:rsidR="007E233D">
        <w:rPr>
          <w:rFonts w:ascii="Garamond" w:hAnsi="Garamond"/>
          <w:bCs/>
        </w:rPr>
        <w:t xml:space="preserve">it </w:t>
      </w:r>
      <w:r w:rsidR="007B0065">
        <w:rPr>
          <w:rFonts w:ascii="Garamond" w:hAnsi="Garamond"/>
          <w:b/>
        </w:rPr>
        <w:t>[67]-[</w:t>
      </w:r>
      <w:r w:rsidR="00FF299A">
        <w:rPr>
          <w:rFonts w:ascii="Garamond" w:hAnsi="Garamond"/>
          <w:b/>
        </w:rPr>
        <w:t>84</w:t>
      </w:r>
      <w:r w:rsidR="00A26005">
        <w:rPr>
          <w:rFonts w:ascii="Garamond" w:hAnsi="Garamond"/>
          <w:b/>
        </w:rPr>
        <w:t>]</w:t>
      </w:r>
      <w:r w:rsidR="00A26005">
        <w:rPr>
          <w:rFonts w:ascii="Garamond" w:hAnsi="Garamond"/>
          <w:bCs/>
        </w:rPr>
        <w:t>.</w:t>
      </w:r>
    </w:p>
    <w:p w14:paraId="72CB450E" w14:textId="7B252FD4" w:rsidR="00A26005" w:rsidRDefault="00A26005" w:rsidP="00FF3C27">
      <w:pPr>
        <w:jc w:val="both"/>
        <w:rPr>
          <w:rFonts w:ascii="Garamond" w:hAnsi="Garamond"/>
          <w:bCs/>
        </w:rPr>
      </w:pPr>
    </w:p>
    <w:p w14:paraId="5CA8E10F" w14:textId="5981F396" w:rsidR="00A26005" w:rsidRDefault="00480EF5" w:rsidP="00FF3C27">
      <w:pPr>
        <w:jc w:val="both"/>
        <w:rPr>
          <w:rFonts w:ascii="Garamond" w:hAnsi="Garamond"/>
          <w:bCs/>
        </w:rPr>
      </w:pPr>
      <w:r>
        <w:rPr>
          <w:rFonts w:ascii="Garamond" w:hAnsi="Garamond"/>
          <w:bCs/>
        </w:rPr>
        <w:t xml:space="preserve">On the third </w:t>
      </w:r>
      <w:r w:rsidR="0086767E">
        <w:rPr>
          <w:rFonts w:ascii="Garamond" w:hAnsi="Garamond"/>
          <w:bCs/>
        </w:rPr>
        <w:t>criticism</w:t>
      </w:r>
      <w:r>
        <w:rPr>
          <w:rFonts w:ascii="Garamond" w:hAnsi="Garamond"/>
          <w:bCs/>
        </w:rPr>
        <w:t xml:space="preserve">, </w:t>
      </w:r>
      <w:r w:rsidR="00D54C53">
        <w:rPr>
          <w:rFonts w:ascii="Garamond" w:hAnsi="Garamond"/>
          <w:bCs/>
        </w:rPr>
        <w:t xml:space="preserve">the Court of Appeal considered that the </w:t>
      </w:r>
      <w:r w:rsidR="001A460C">
        <w:rPr>
          <w:rFonts w:ascii="Garamond" w:hAnsi="Garamond"/>
          <w:bCs/>
        </w:rPr>
        <w:t xml:space="preserve">judge </w:t>
      </w:r>
      <w:r w:rsidR="00445CF0">
        <w:rPr>
          <w:rFonts w:ascii="Garamond" w:hAnsi="Garamond"/>
          <w:bCs/>
        </w:rPr>
        <w:t xml:space="preserve">failed to take into account the details of the confessions made and should have addressed each confession made by each individual rather than dealing with them compendiously </w:t>
      </w:r>
      <w:r w:rsidR="001A460C">
        <w:rPr>
          <w:rFonts w:ascii="Garamond" w:hAnsi="Garamond"/>
          <w:b/>
        </w:rPr>
        <w:t>[85]</w:t>
      </w:r>
      <w:r w:rsidR="001A460C">
        <w:rPr>
          <w:rFonts w:ascii="Garamond" w:hAnsi="Garamond"/>
          <w:bCs/>
        </w:rPr>
        <w:t>.</w:t>
      </w:r>
      <w:r w:rsidR="00DD206F">
        <w:rPr>
          <w:rFonts w:ascii="Garamond" w:hAnsi="Garamond"/>
          <w:bCs/>
        </w:rPr>
        <w:t xml:space="preserve"> </w:t>
      </w:r>
      <w:r w:rsidR="008F6328">
        <w:rPr>
          <w:rFonts w:ascii="Garamond" w:hAnsi="Garamond"/>
          <w:bCs/>
        </w:rPr>
        <w:t xml:space="preserve">Though the </w:t>
      </w:r>
      <w:r w:rsidR="003C5941">
        <w:rPr>
          <w:rFonts w:ascii="Garamond" w:hAnsi="Garamond"/>
          <w:bCs/>
        </w:rPr>
        <w:t xml:space="preserve">Supreme Court agrees that it would have been more satisfactory for the judge to have addressed the confession evidence in greater detail, it is clear that </w:t>
      </w:r>
      <w:r w:rsidR="00020591">
        <w:rPr>
          <w:rFonts w:ascii="Garamond" w:hAnsi="Garamond"/>
          <w:bCs/>
        </w:rPr>
        <w:t>he did consider the confession evidence of all three individuals</w:t>
      </w:r>
      <w:r w:rsidR="00E45ADE">
        <w:rPr>
          <w:rFonts w:ascii="Garamond" w:hAnsi="Garamond"/>
          <w:bCs/>
        </w:rPr>
        <w:t>. The failure to consider it systematically is not an error of law</w:t>
      </w:r>
      <w:r w:rsidR="00D731CE">
        <w:rPr>
          <w:rFonts w:ascii="Garamond" w:hAnsi="Garamond"/>
          <w:bCs/>
        </w:rPr>
        <w:t xml:space="preserve"> </w:t>
      </w:r>
      <w:r w:rsidR="00D731CE">
        <w:rPr>
          <w:rFonts w:ascii="Garamond" w:hAnsi="Garamond"/>
          <w:b/>
        </w:rPr>
        <w:t>[85]-[87]</w:t>
      </w:r>
      <w:r w:rsidR="00D731CE">
        <w:rPr>
          <w:rFonts w:ascii="Garamond" w:hAnsi="Garamond"/>
          <w:bCs/>
        </w:rPr>
        <w:t>.</w:t>
      </w:r>
    </w:p>
    <w:p w14:paraId="1ADDAAF0" w14:textId="44F37009" w:rsidR="00D74D50" w:rsidRDefault="00D74D50" w:rsidP="00FF3C27">
      <w:pPr>
        <w:jc w:val="both"/>
        <w:rPr>
          <w:rFonts w:ascii="Garamond" w:hAnsi="Garamond"/>
          <w:bCs/>
        </w:rPr>
      </w:pPr>
    </w:p>
    <w:p w14:paraId="055F3F66" w14:textId="00D70BE3" w:rsidR="00DA178C" w:rsidRPr="00AF660E" w:rsidRDefault="004D360C" w:rsidP="00FF3C27">
      <w:pPr>
        <w:jc w:val="both"/>
        <w:rPr>
          <w:rFonts w:ascii="Garamond" w:hAnsi="Garamond"/>
          <w:bCs/>
        </w:rPr>
      </w:pPr>
      <w:r>
        <w:rPr>
          <w:rFonts w:ascii="Garamond" w:hAnsi="Garamond"/>
          <w:bCs/>
        </w:rPr>
        <w:t xml:space="preserve">On the fourth </w:t>
      </w:r>
      <w:r w:rsidR="0086767E">
        <w:rPr>
          <w:rFonts w:ascii="Garamond" w:hAnsi="Garamond"/>
          <w:bCs/>
        </w:rPr>
        <w:t>criticism</w:t>
      </w:r>
      <w:r>
        <w:rPr>
          <w:rFonts w:ascii="Garamond" w:hAnsi="Garamond"/>
          <w:bCs/>
        </w:rPr>
        <w:t xml:space="preserve">, </w:t>
      </w:r>
      <w:r w:rsidR="00DE3482">
        <w:rPr>
          <w:rFonts w:ascii="Garamond" w:hAnsi="Garamond"/>
          <w:bCs/>
        </w:rPr>
        <w:t xml:space="preserve">the Court of Appeal </w:t>
      </w:r>
      <w:r w:rsidR="00C172D5">
        <w:rPr>
          <w:rFonts w:ascii="Garamond" w:hAnsi="Garamond"/>
          <w:bCs/>
        </w:rPr>
        <w:t>considered that</w:t>
      </w:r>
      <w:r w:rsidR="00E81625">
        <w:rPr>
          <w:rFonts w:ascii="Garamond" w:hAnsi="Garamond"/>
          <w:bCs/>
        </w:rPr>
        <w:t>,</w:t>
      </w:r>
      <w:r w:rsidR="00152CA5">
        <w:rPr>
          <w:rFonts w:ascii="Garamond" w:hAnsi="Garamond"/>
          <w:bCs/>
        </w:rPr>
        <w:t xml:space="preserve"> </w:t>
      </w:r>
      <w:r w:rsidR="00E81625">
        <w:rPr>
          <w:rFonts w:ascii="Garamond" w:hAnsi="Garamond"/>
          <w:bCs/>
        </w:rPr>
        <w:t>as</w:t>
      </w:r>
      <w:r w:rsidR="00032CC5">
        <w:rPr>
          <w:rFonts w:ascii="Garamond" w:hAnsi="Garamond"/>
          <w:bCs/>
        </w:rPr>
        <w:t xml:space="preserve"> </w:t>
      </w:r>
      <w:r w:rsidR="00152CA5">
        <w:rPr>
          <w:rFonts w:ascii="Garamond" w:hAnsi="Garamond"/>
          <w:bCs/>
        </w:rPr>
        <w:t>the judge</w:t>
      </w:r>
      <w:r w:rsidR="00032CC5">
        <w:rPr>
          <w:rFonts w:ascii="Garamond" w:hAnsi="Garamond"/>
          <w:bCs/>
        </w:rPr>
        <w:t xml:space="preserve"> did not find </w:t>
      </w:r>
      <w:r w:rsidR="00E81625">
        <w:rPr>
          <w:rFonts w:ascii="Garamond" w:hAnsi="Garamond"/>
          <w:bCs/>
        </w:rPr>
        <w:t>the allegation of torture proved on a balance of probabilities, he should have disregarded it entirely</w:t>
      </w:r>
      <w:r w:rsidR="003C4AC4">
        <w:rPr>
          <w:rFonts w:ascii="Garamond" w:hAnsi="Garamond"/>
          <w:bCs/>
        </w:rPr>
        <w:t xml:space="preserve"> </w:t>
      </w:r>
      <w:r w:rsidR="00152CA5">
        <w:rPr>
          <w:rFonts w:ascii="Garamond" w:hAnsi="Garamond"/>
          <w:b/>
        </w:rPr>
        <w:t>[9</w:t>
      </w:r>
      <w:r w:rsidR="00E81625">
        <w:rPr>
          <w:rFonts w:ascii="Garamond" w:hAnsi="Garamond"/>
          <w:b/>
        </w:rPr>
        <w:t>3</w:t>
      </w:r>
      <w:r w:rsidR="00152CA5">
        <w:rPr>
          <w:rFonts w:ascii="Garamond" w:hAnsi="Garamond"/>
          <w:b/>
        </w:rPr>
        <w:t>]</w:t>
      </w:r>
      <w:r w:rsidR="00152CA5">
        <w:rPr>
          <w:rFonts w:ascii="Garamond" w:hAnsi="Garamond"/>
          <w:bCs/>
        </w:rPr>
        <w:t>.</w:t>
      </w:r>
      <w:r w:rsidR="00FE4174">
        <w:rPr>
          <w:rFonts w:ascii="Garamond" w:hAnsi="Garamond"/>
          <w:bCs/>
        </w:rPr>
        <w:t xml:space="preserve"> However, the judge did not </w:t>
      </w:r>
      <w:r w:rsidR="00E81625">
        <w:rPr>
          <w:rFonts w:ascii="Garamond" w:hAnsi="Garamond"/>
          <w:bCs/>
        </w:rPr>
        <w:t xml:space="preserve">need to and did not </w:t>
      </w:r>
      <w:r w:rsidR="00FE4174">
        <w:rPr>
          <w:rFonts w:ascii="Garamond" w:hAnsi="Garamond"/>
          <w:bCs/>
        </w:rPr>
        <w:t xml:space="preserve">reach any conclusion </w:t>
      </w:r>
      <w:r w:rsidR="0063629E">
        <w:rPr>
          <w:rFonts w:ascii="Garamond" w:hAnsi="Garamond"/>
          <w:bCs/>
        </w:rPr>
        <w:t xml:space="preserve">that </w:t>
      </w:r>
      <w:r w:rsidR="002B6147">
        <w:rPr>
          <w:rFonts w:ascii="Garamond" w:hAnsi="Garamond"/>
          <w:bCs/>
        </w:rPr>
        <w:t>torture</w:t>
      </w:r>
      <w:r w:rsidR="0063629E">
        <w:rPr>
          <w:rFonts w:ascii="Garamond" w:hAnsi="Garamond"/>
          <w:bCs/>
        </w:rPr>
        <w:t xml:space="preserve"> had or had not been proved</w:t>
      </w:r>
      <w:r w:rsidR="002B6147">
        <w:rPr>
          <w:rFonts w:ascii="Garamond" w:hAnsi="Garamond"/>
          <w:bCs/>
        </w:rPr>
        <w:t xml:space="preserve"> </w:t>
      </w:r>
      <w:r w:rsidR="002B6147">
        <w:rPr>
          <w:rFonts w:ascii="Garamond" w:hAnsi="Garamond"/>
          <w:b/>
        </w:rPr>
        <w:t>[94]</w:t>
      </w:r>
      <w:r w:rsidR="002B6147">
        <w:rPr>
          <w:rFonts w:ascii="Garamond" w:hAnsi="Garamond"/>
          <w:bCs/>
        </w:rPr>
        <w:t>.</w:t>
      </w:r>
      <w:r w:rsidR="001B4CB7">
        <w:rPr>
          <w:rFonts w:ascii="Garamond" w:hAnsi="Garamond"/>
          <w:bCs/>
        </w:rPr>
        <w:t xml:space="preserve"> Even if the judge had </w:t>
      </w:r>
      <w:r w:rsidR="002751C8">
        <w:rPr>
          <w:rFonts w:ascii="Garamond" w:hAnsi="Garamond"/>
          <w:bCs/>
        </w:rPr>
        <w:t xml:space="preserve">reached a </w:t>
      </w:r>
      <w:r w:rsidR="001B4CB7">
        <w:rPr>
          <w:rFonts w:ascii="Garamond" w:hAnsi="Garamond"/>
          <w:bCs/>
        </w:rPr>
        <w:t>definite conclu</w:t>
      </w:r>
      <w:r w:rsidR="002751C8">
        <w:rPr>
          <w:rFonts w:ascii="Garamond" w:hAnsi="Garamond"/>
          <w:bCs/>
        </w:rPr>
        <w:t>sion</w:t>
      </w:r>
      <w:r w:rsidR="001B4CB7">
        <w:rPr>
          <w:rFonts w:ascii="Garamond" w:hAnsi="Garamond"/>
          <w:bCs/>
        </w:rPr>
        <w:t xml:space="preserve"> that torture had not been proved</w:t>
      </w:r>
      <w:r w:rsidR="002751C8">
        <w:rPr>
          <w:rFonts w:ascii="Garamond" w:hAnsi="Garamond"/>
          <w:bCs/>
        </w:rPr>
        <w:t xml:space="preserve"> on a balance of probabilities</w:t>
      </w:r>
      <w:r w:rsidR="001B4CB7">
        <w:rPr>
          <w:rFonts w:ascii="Garamond" w:hAnsi="Garamond"/>
          <w:bCs/>
        </w:rPr>
        <w:t xml:space="preserve">, there would have been no inconsistency between such a conclusion and the finding that torture was a real possibility that affected the reliance that should be placed on the confessions </w:t>
      </w:r>
      <w:r w:rsidR="001B4CB7">
        <w:rPr>
          <w:rFonts w:ascii="Garamond" w:hAnsi="Garamond"/>
          <w:b/>
        </w:rPr>
        <w:t>[95]</w:t>
      </w:r>
      <w:r w:rsidR="001B4CB7">
        <w:rPr>
          <w:rFonts w:ascii="Garamond" w:hAnsi="Garamond"/>
          <w:bCs/>
        </w:rPr>
        <w:t>.</w:t>
      </w:r>
      <w:r w:rsidR="009F39A2">
        <w:rPr>
          <w:rFonts w:ascii="Garamond" w:hAnsi="Garamond"/>
          <w:bCs/>
        </w:rPr>
        <w:t xml:space="preserve"> The </w:t>
      </w:r>
      <w:r w:rsidR="007D26D8">
        <w:rPr>
          <w:rFonts w:ascii="Garamond" w:hAnsi="Garamond"/>
          <w:bCs/>
        </w:rPr>
        <w:t xml:space="preserve">facts that </w:t>
      </w:r>
      <w:r w:rsidR="00A76171">
        <w:rPr>
          <w:rFonts w:ascii="Garamond" w:hAnsi="Garamond"/>
          <w:bCs/>
        </w:rPr>
        <w:t xml:space="preserve">the court can take </w:t>
      </w:r>
      <w:r w:rsidR="007D26D8">
        <w:rPr>
          <w:rFonts w:ascii="Garamond" w:hAnsi="Garamond"/>
          <w:bCs/>
        </w:rPr>
        <w:t xml:space="preserve">into account </w:t>
      </w:r>
      <w:r w:rsidR="00A76171">
        <w:rPr>
          <w:rFonts w:ascii="Garamond" w:hAnsi="Garamond"/>
          <w:bCs/>
        </w:rPr>
        <w:t xml:space="preserve">in assessing </w:t>
      </w:r>
      <w:r w:rsidR="009F39A2">
        <w:rPr>
          <w:rFonts w:ascii="Garamond" w:hAnsi="Garamond"/>
          <w:bCs/>
        </w:rPr>
        <w:t xml:space="preserve">the weight to be given to hearsay evidence in civil proceedings </w:t>
      </w:r>
      <w:r w:rsidR="007D26D8">
        <w:rPr>
          <w:rFonts w:ascii="Garamond" w:hAnsi="Garamond"/>
          <w:bCs/>
        </w:rPr>
        <w:t>are not limited to facts proved to the civil standard of proof</w:t>
      </w:r>
      <w:r w:rsidR="00A76171">
        <w:rPr>
          <w:rFonts w:ascii="Garamond" w:hAnsi="Garamond"/>
          <w:bCs/>
        </w:rPr>
        <w:t xml:space="preserve"> </w:t>
      </w:r>
      <w:r w:rsidR="00A76171">
        <w:rPr>
          <w:rFonts w:ascii="Garamond" w:hAnsi="Garamond"/>
          <w:b/>
        </w:rPr>
        <w:t>[96]</w:t>
      </w:r>
      <w:r w:rsidR="00A76171">
        <w:rPr>
          <w:rFonts w:ascii="Garamond" w:hAnsi="Garamond"/>
          <w:bCs/>
        </w:rPr>
        <w:t>.</w:t>
      </w:r>
      <w:r w:rsidR="008E67F1">
        <w:rPr>
          <w:rFonts w:ascii="Garamond" w:hAnsi="Garamond"/>
          <w:bCs/>
        </w:rPr>
        <w:t xml:space="preserve"> W</w:t>
      </w:r>
      <w:r w:rsidR="00E25996">
        <w:rPr>
          <w:rFonts w:ascii="Garamond" w:hAnsi="Garamond"/>
          <w:bCs/>
        </w:rPr>
        <w:t xml:space="preserve">hile it is settled law that </w:t>
      </w:r>
      <w:r w:rsidR="009D18A8">
        <w:rPr>
          <w:rFonts w:ascii="Garamond" w:hAnsi="Garamond"/>
          <w:bCs/>
        </w:rPr>
        <w:t>evidence</w:t>
      </w:r>
      <w:r w:rsidR="00800CBE">
        <w:rPr>
          <w:rFonts w:ascii="Garamond" w:hAnsi="Garamond"/>
          <w:bCs/>
        </w:rPr>
        <w:t xml:space="preserve"> proved </w:t>
      </w:r>
      <w:r w:rsidR="00E25996">
        <w:rPr>
          <w:rFonts w:ascii="Garamond" w:hAnsi="Garamond"/>
          <w:bCs/>
        </w:rPr>
        <w:t xml:space="preserve">on a balance of probabilities </w:t>
      </w:r>
      <w:r w:rsidR="00032CC5">
        <w:rPr>
          <w:rFonts w:ascii="Garamond" w:hAnsi="Garamond"/>
          <w:bCs/>
        </w:rPr>
        <w:t xml:space="preserve">to have been obtained by torture </w:t>
      </w:r>
      <w:r w:rsidR="00800CBE">
        <w:rPr>
          <w:rFonts w:ascii="Garamond" w:hAnsi="Garamond"/>
          <w:bCs/>
        </w:rPr>
        <w:t xml:space="preserve">is </w:t>
      </w:r>
      <w:r w:rsidR="007C68AC">
        <w:rPr>
          <w:rFonts w:ascii="Garamond" w:hAnsi="Garamond"/>
          <w:bCs/>
        </w:rPr>
        <w:t>inadmissible, there is no rule that</w:t>
      </w:r>
      <w:r w:rsidR="007B44E9">
        <w:rPr>
          <w:rFonts w:ascii="Garamond" w:hAnsi="Garamond"/>
          <w:bCs/>
        </w:rPr>
        <w:t xml:space="preserve"> – if </w:t>
      </w:r>
      <w:r w:rsidR="00032CC5">
        <w:rPr>
          <w:rFonts w:ascii="Garamond" w:hAnsi="Garamond"/>
          <w:bCs/>
        </w:rPr>
        <w:t xml:space="preserve">an allegation that torture was used </w:t>
      </w:r>
      <w:r w:rsidR="007C68AC">
        <w:rPr>
          <w:rFonts w:ascii="Garamond" w:hAnsi="Garamond"/>
          <w:bCs/>
        </w:rPr>
        <w:t xml:space="preserve">is not </w:t>
      </w:r>
      <w:r w:rsidR="00AF660E">
        <w:rPr>
          <w:rFonts w:ascii="Garamond" w:hAnsi="Garamond"/>
          <w:bCs/>
        </w:rPr>
        <w:t>proved</w:t>
      </w:r>
      <w:r w:rsidR="007B44E9">
        <w:rPr>
          <w:rFonts w:ascii="Garamond" w:hAnsi="Garamond"/>
          <w:bCs/>
        </w:rPr>
        <w:t xml:space="preserve"> </w:t>
      </w:r>
      <w:r w:rsidR="00032CC5">
        <w:rPr>
          <w:rFonts w:ascii="Garamond" w:hAnsi="Garamond"/>
          <w:bCs/>
        </w:rPr>
        <w:t xml:space="preserve">to that standard </w:t>
      </w:r>
      <w:r w:rsidR="007B44E9">
        <w:rPr>
          <w:rFonts w:ascii="Garamond" w:hAnsi="Garamond"/>
          <w:bCs/>
        </w:rPr>
        <w:t>–</w:t>
      </w:r>
      <w:r w:rsidR="00AF660E">
        <w:rPr>
          <w:rFonts w:ascii="Garamond" w:hAnsi="Garamond"/>
          <w:bCs/>
        </w:rPr>
        <w:t xml:space="preserve"> </w:t>
      </w:r>
      <w:r w:rsidR="00032CC5">
        <w:rPr>
          <w:rFonts w:ascii="Garamond" w:hAnsi="Garamond"/>
          <w:bCs/>
        </w:rPr>
        <w:t xml:space="preserve">a possibility that </w:t>
      </w:r>
      <w:r w:rsidR="00AF660E">
        <w:rPr>
          <w:rFonts w:ascii="Garamond" w:hAnsi="Garamond"/>
          <w:bCs/>
        </w:rPr>
        <w:t xml:space="preserve">evidence </w:t>
      </w:r>
      <w:r w:rsidR="00032CC5">
        <w:rPr>
          <w:rFonts w:ascii="Garamond" w:hAnsi="Garamond"/>
          <w:bCs/>
        </w:rPr>
        <w:t xml:space="preserve">was obtained by </w:t>
      </w:r>
      <w:r w:rsidR="00AF660E">
        <w:rPr>
          <w:rFonts w:ascii="Garamond" w:hAnsi="Garamond"/>
          <w:bCs/>
        </w:rPr>
        <w:t xml:space="preserve">torture must be ignored when deciding the facts in issue </w:t>
      </w:r>
      <w:r w:rsidR="00AF660E">
        <w:rPr>
          <w:rFonts w:ascii="Garamond" w:hAnsi="Garamond"/>
          <w:b/>
        </w:rPr>
        <w:t>[106]-[108]</w:t>
      </w:r>
      <w:r w:rsidR="00AF660E">
        <w:rPr>
          <w:rFonts w:ascii="Garamond" w:hAnsi="Garamond"/>
          <w:bCs/>
        </w:rPr>
        <w:t>.</w:t>
      </w:r>
    </w:p>
    <w:p w14:paraId="7C1C5C0B" w14:textId="77777777" w:rsidR="009621B7" w:rsidRPr="00C30E3C" w:rsidRDefault="009621B7" w:rsidP="00647FCA">
      <w:pPr>
        <w:ind w:left="360"/>
        <w:rPr>
          <w:rFonts w:ascii="Garamond" w:hAnsi="Garamond"/>
          <w:b/>
          <w:u w:val="single"/>
        </w:rPr>
      </w:pPr>
    </w:p>
    <w:p w14:paraId="6703FC8B" w14:textId="77777777" w:rsidR="009621B7" w:rsidRPr="00C30E3C" w:rsidRDefault="00566BC2" w:rsidP="009621B7">
      <w:pPr>
        <w:rPr>
          <w:rFonts w:ascii="Garamond" w:hAnsi="Garamond"/>
          <w:i/>
        </w:rPr>
      </w:pPr>
      <w:r w:rsidRPr="00C30E3C">
        <w:rPr>
          <w:rFonts w:ascii="Garamond" w:hAnsi="Garamond"/>
          <w:i/>
        </w:rPr>
        <w:t>References in square brackets are to paragraphs in the judgment</w:t>
      </w:r>
    </w:p>
    <w:p w14:paraId="4F0BB342" w14:textId="046B64A0" w:rsidR="00FA3D1D" w:rsidRDefault="00FA3D1D" w:rsidP="009621B7">
      <w:pPr>
        <w:rPr>
          <w:rFonts w:ascii="Garamond" w:hAnsi="Garamond"/>
        </w:rPr>
      </w:pPr>
    </w:p>
    <w:p w14:paraId="27000653" w14:textId="46FF5A78" w:rsidR="0079610D" w:rsidRDefault="0079610D" w:rsidP="009621B7">
      <w:pPr>
        <w:rPr>
          <w:rFonts w:ascii="Garamond" w:hAnsi="Garamond"/>
        </w:rPr>
      </w:pPr>
    </w:p>
    <w:p w14:paraId="4D3E8FE6" w14:textId="77777777" w:rsidR="0079610D" w:rsidRPr="00C30E3C" w:rsidRDefault="0079610D" w:rsidP="009621B7">
      <w:pPr>
        <w:rPr>
          <w:rFonts w:ascii="Garamond" w:hAnsi="Garamond"/>
        </w:rPr>
      </w:pPr>
    </w:p>
    <w:p w14:paraId="0EE8B7C8" w14:textId="77777777" w:rsidR="00A16C02" w:rsidRPr="00C30E3C" w:rsidRDefault="00A16C02" w:rsidP="009621B7">
      <w:pPr>
        <w:rPr>
          <w:rFonts w:ascii="Garamond" w:hAnsi="Garamond"/>
          <w:b/>
          <w:u w:val="single"/>
        </w:rPr>
      </w:pPr>
      <w:r w:rsidRPr="00C30E3C">
        <w:rPr>
          <w:rFonts w:ascii="Garamond" w:hAnsi="Garamond"/>
          <w:b/>
          <w:u w:val="single"/>
        </w:rPr>
        <w:t>NOTE</w:t>
      </w:r>
    </w:p>
    <w:p w14:paraId="10DF2E1B" w14:textId="44EEA979" w:rsidR="00A16C02" w:rsidRPr="00C30E3C" w:rsidRDefault="00A16C02" w:rsidP="000C2004">
      <w:pPr>
        <w:jc w:val="both"/>
        <w:rPr>
          <w:rFonts w:ascii="Garamond" w:hAnsi="Garamond"/>
          <w:b/>
        </w:rPr>
      </w:pPr>
      <w:r w:rsidRPr="00C30E3C">
        <w:rPr>
          <w:rFonts w:ascii="Garamond" w:hAnsi="Garamond"/>
          <w:b/>
        </w:rPr>
        <w:t>This summary is provided to assist in understanding the Court’s decision.  It does not form part of the reasons for the decision. The full judgment of the Court is the only</w:t>
      </w:r>
      <w:r w:rsidR="004B0054" w:rsidRPr="00C30E3C">
        <w:rPr>
          <w:rFonts w:ascii="Garamond" w:hAnsi="Garamond"/>
          <w:b/>
        </w:rPr>
        <w:t xml:space="preserve"> authoritative document.  Judg</w:t>
      </w:r>
      <w:r w:rsidRPr="00C30E3C">
        <w:rPr>
          <w:rFonts w:ascii="Garamond" w:hAnsi="Garamond"/>
          <w:b/>
        </w:rPr>
        <w:t>ments are public documents and are available at:</w:t>
      </w:r>
    </w:p>
    <w:p w14:paraId="5CF868FF" w14:textId="77777777" w:rsidR="006D6D23" w:rsidRPr="00D067C5" w:rsidRDefault="008D4408" w:rsidP="000C2004">
      <w:pPr>
        <w:jc w:val="both"/>
        <w:rPr>
          <w:rFonts w:ascii="Garamond" w:hAnsi="Garamond"/>
        </w:rPr>
      </w:pPr>
      <w:hyperlink r:id="rId12" w:history="1">
        <w:r w:rsidR="00677EF9" w:rsidRPr="00C30E3C">
          <w:rPr>
            <w:rStyle w:val="Hyperlink"/>
            <w:rFonts w:ascii="Garamond" w:hAnsi="Garamond"/>
          </w:rPr>
          <w:t>http://supre</w:t>
        </w:r>
        <w:r w:rsidR="00305E6A" w:rsidRPr="00C30E3C">
          <w:rPr>
            <w:rStyle w:val="Hyperlink"/>
            <w:rFonts w:ascii="Garamond" w:hAnsi="Garamond"/>
          </w:rPr>
          <w:t>mecourt.uk/decided-cases/index.</w:t>
        </w:r>
        <w:r w:rsidR="00677EF9" w:rsidRPr="00C30E3C">
          <w:rPr>
            <w:rStyle w:val="Hyperlink"/>
            <w:rFonts w:ascii="Garamond" w:hAnsi="Garamond"/>
          </w:rPr>
          <w:t>html</w:t>
        </w:r>
      </w:hyperlink>
      <w:r w:rsidR="00677EF9" w:rsidRPr="00C30E3C">
        <w:rPr>
          <w:rFonts w:ascii="Garamond" w:hAnsi="Garamond"/>
        </w:rPr>
        <w:t xml:space="preserve"> </w:t>
      </w:r>
      <w:r w:rsidR="00B73D9F" w:rsidRPr="00B84FAA">
        <w:rPr>
          <w:rFonts w:ascii="Garamond" w:hAnsi="Garamond"/>
        </w:rPr>
        <w:t xml:space="preserve"> </w:t>
      </w:r>
      <w:r w:rsidR="004F156B" w:rsidRPr="00D067C5">
        <w:rPr>
          <w:rFonts w:ascii="Garamond" w:hAnsi="Garamond"/>
        </w:rPr>
        <w:t xml:space="preserve">  </w:t>
      </w:r>
    </w:p>
    <w:sectPr w:rsidR="006D6D23" w:rsidRPr="00D067C5" w:rsidSect="00437284">
      <w:footerReference w:type="default" r:id="rId13"/>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3CF98" w14:textId="77777777" w:rsidR="003A113A" w:rsidRDefault="003A113A">
      <w:r>
        <w:separator/>
      </w:r>
    </w:p>
  </w:endnote>
  <w:endnote w:type="continuationSeparator" w:id="0">
    <w:p w14:paraId="5908B5C4" w14:textId="77777777" w:rsidR="003A113A" w:rsidRDefault="003A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89DE" w14:textId="77777777" w:rsidR="00762D19" w:rsidRDefault="00762D19"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14:paraId="4679F9AB" w14:textId="77777777" w:rsidR="00762D19" w:rsidRPr="00821EB9" w:rsidRDefault="00762D19"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506BDDE0" w14:textId="77777777" w:rsidR="00762D19" w:rsidRDefault="0076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C2A7E" w14:textId="77777777" w:rsidR="003A113A" w:rsidRDefault="003A113A">
      <w:r>
        <w:separator/>
      </w:r>
    </w:p>
  </w:footnote>
  <w:footnote w:type="continuationSeparator" w:id="0">
    <w:p w14:paraId="7E131B4F" w14:textId="77777777" w:rsidR="003A113A" w:rsidRDefault="003A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9055E2"/>
    <w:multiLevelType w:val="hybridMultilevel"/>
    <w:tmpl w:val="004841A2"/>
    <w:lvl w:ilvl="0" w:tplc="26226A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5D70B9F"/>
    <w:multiLevelType w:val="multilevel"/>
    <w:tmpl w:val="36F0104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8"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1"/>
  </w:num>
  <w:num w:numId="8">
    <w:abstractNumId w:val="2"/>
  </w:num>
  <w:num w:numId="9">
    <w:abstractNumId w:val="7"/>
  </w:num>
  <w:num w:numId="10">
    <w:abstractNumId w:val="7"/>
    <w:lvlOverride w:ilvl="0">
      <w:lvl w:ilvl="0">
        <w:start w:val="1"/>
        <w:numFmt w:val="decimal"/>
        <w:pStyle w:val="ParaLevel1"/>
        <w:lvlText w:val="%1."/>
        <w:lvlJc w:val="left"/>
        <w:pPr>
          <w:tabs>
            <w:tab w:val="num" w:pos="720"/>
          </w:tabs>
          <w:ind w:left="720" w:hanging="720"/>
        </w:pPr>
        <w:rPr>
          <w:rFonts w:hint="default"/>
          <w:b w:val="0"/>
          <w:i w:val="0"/>
          <w:u w:val="none"/>
        </w:rPr>
      </w:lvl>
    </w:lvlOverride>
    <w:lvlOverride w:ilvl="1">
      <w:lvl w:ilvl="1">
        <w:start w:val="1"/>
        <w:numFmt w:val="lowerRoman"/>
        <w:pStyle w:val="ParaLevel2"/>
        <w:lvlText w:val="(%2)"/>
        <w:lvlJc w:val="left"/>
        <w:pPr>
          <w:tabs>
            <w:tab w:val="num" w:pos="1418"/>
          </w:tabs>
          <w:ind w:left="1418" w:hanging="709"/>
        </w:pPr>
        <w:rPr>
          <w:rFonts w:hint="default"/>
          <w:b w:val="0"/>
          <w:i w:val="0"/>
        </w:rPr>
      </w:lvl>
    </w:lvlOverride>
    <w:lvlOverride w:ilvl="2">
      <w:lvl w:ilvl="2">
        <w:start w:val="1"/>
        <w:numFmt w:val="lowerLetter"/>
        <w:pStyle w:val="ParaLevel3"/>
        <w:lvlText w:val="%3)"/>
        <w:lvlJc w:val="left"/>
        <w:pPr>
          <w:tabs>
            <w:tab w:val="num" w:pos="2127"/>
          </w:tabs>
          <w:ind w:left="2127" w:hanging="709"/>
        </w:pPr>
        <w:rPr>
          <w:rFonts w:hint="default"/>
        </w:rPr>
      </w:lvl>
    </w:lvlOverride>
    <w:lvlOverride w:ilvl="3">
      <w:lvl w:ilvl="3">
        <w:start w:val="1"/>
        <w:numFmt w:val="lowerRoman"/>
        <w:pStyle w:val="ParaLevel4"/>
        <w:lvlText w:val="%4)"/>
        <w:lvlJc w:val="left"/>
        <w:pPr>
          <w:tabs>
            <w:tab w:val="num" w:pos="2836"/>
          </w:tabs>
          <w:ind w:left="2836" w:hanging="709"/>
        </w:pPr>
        <w:rPr>
          <w:rFonts w:hint="default"/>
        </w:rPr>
      </w:lvl>
    </w:lvlOverride>
    <w:lvlOverride w:ilvl="4">
      <w:lvl w:ilvl="4">
        <w:start w:val="1"/>
        <w:numFmt w:val="lowerLetter"/>
        <w:pStyle w:val="ParaLevel5"/>
        <w:lvlText w:val="(%5)"/>
        <w:lvlJc w:val="left"/>
        <w:pPr>
          <w:tabs>
            <w:tab w:val="num" w:pos="3545"/>
          </w:tabs>
          <w:ind w:left="3545" w:hanging="709"/>
        </w:pPr>
        <w:rPr>
          <w:rFonts w:hint="default"/>
        </w:rPr>
      </w:lvl>
    </w:lvlOverride>
    <w:lvlOverride w:ilvl="5">
      <w:lvl w:ilvl="5">
        <w:start w:val="1"/>
        <w:numFmt w:val="lowerRoman"/>
        <w:pStyle w:val="ParaLevel6"/>
        <w:lvlText w:val="(%6)"/>
        <w:lvlJc w:val="left"/>
        <w:pPr>
          <w:tabs>
            <w:tab w:val="num" w:pos="4254"/>
          </w:tabs>
          <w:ind w:left="4254" w:hanging="709"/>
        </w:pPr>
        <w:rPr>
          <w:rFonts w:hint="default"/>
        </w:rPr>
      </w:lvl>
    </w:lvlOverride>
    <w:lvlOverride w:ilvl="6">
      <w:lvl w:ilvl="6">
        <w:start w:val="1"/>
        <w:numFmt w:val="lowerLetter"/>
        <w:pStyle w:val="ParaLevel7"/>
        <w:lvlText w:val="(%7)"/>
        <w:lvlJc w:val="left"/>
        <w:pPr>
          <w:tabs>
            <w:tab w:val="num" w:pos="4963"/>
          </w:tabs>
          <w:ind w:left="4963" w:hanging="709"/>
        </w:pPr>
        <w:rPr>
          <w:rFonts w:hint="default"/>
        </w:rPr>
      </w:lvl>
    </w:lvlOverride>
    <w:lvlOverride w:ilvl="7">
      <w:lvl w:ilvl="7">
        <w:start w:val="1"/>
        <w:numFmt w:val="lowerRoman"/>
        <w:pStyle w:val="ParaLevel8"/>
        <w:lvlText w:val="(%8)"/>
        <w:lvlJc w:val="left"/>
        <w:pPr>
          <w:tabs>
            <w:tab w:val="num" w:pos="5672"/>
          </w:tabs>
          <w:ind w:left="5672" w:hanging="709"/>
        </w:pPr>
        <w:rPr>
          <w:rFonts w:hint="default"/>
        </w:rPr>
      </w:lvl>
    </w:lvlOverride>
    <w:lvlOverride w:ilvl="8">
      <w:lvl w:ilvl="8">
        <w:start w:val="1"/>
        <w:numFmt w:val="lowerLetter"/>
        <w:pStyle w:val="ParaLevel9"/>
        <w:lvlText w:val="(%9)"/>
        <w:lvlJc w:val="left"/>
        <w:pPr>
          <w:tabs>
            <w:tab w:val="num" w:pos="6381"/>
          </w:tabs>
          <w:ind w:left="6381" w:hanging="709"/>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C2"/>
    <w:rsid w:val="000005FE"/>
    <w:rsid w:val="00001502"/>
    <w:rsid w:val="00003879"/>
    <w:rsid w:val="00004452"/>
    <w:rsid w:val="00007DFC"/>
    <w:rsid w:val="00010562"/>
    <w:rsid w:val="00011575"/>
    <w:rsid w:val="00011C68"/>
    <w:rsid w:val="000120E3"/>
    <w:rsid w:val="00016C3A"/>
    <w:rsid w:val="00017AE3"/>
    <w:rsid w:val="00020591"/>
    <w:rsid w:val="00021866"/>
    <w:rsid w:val="00027162"/>
    <w:rsid w:val="000318D0"/>
    <w:rsid w:val="00032CC5"/>
    <w:rsid w:val="000343D4"/>
    <w:rsid w:val="00034842"/>
    <w:rsid w:val="0003756C"/>
    <w:rsid w:val="00037C0A"/>
    <w:rsid w:val="00040376"/>
    <w:rsid w:val="00042282"/>
    <w:rsid w:val="00045350"/>
    <w:rsid w:val="00053BDE"/>
    <w:rsid w:val="000575DB"/>
    <w:rsid w:val="00060922"/>
    <w:rsid w:val="0006381B"/>
    <w:rsid w:val="00064056"/>
    <w:rsid w:val="000647BC"/>
    <w:rsid w:val="000649DA"/>
    <w:rsid w:val="00064BB7"/>
    <w:rsid w:val="0006565C"/>
    <w:rsid w:val="00065E7F"/>
    <w:rsid w:val="00067E6B"/>
    <w:rsid w:val="00072EFF"/>
    <w:rsid w:val="000758F4"/>
    <w:rsid w:val="000864D7"/>
    <w:rsid w:val="000869C7"/>
    <w:rsid w:val="00086F57"/>
    <w:rsid w:val="0008761E"/>
    <w:rsid w:val="00091F1C"/>
    <w:rsid w:val="000948B2"/>
    <w:rsid w:val="000A048F"/>
    <w:rsid w:val="000A3CEC"/>
    <w:rsid w:val="000A4814"/>
    <w:rsid w:val="000A5244"/>
    <w:rsid w:val="000A7ACA"/>
    <w:rsid w:val="000B0B3B"/>
    <w:rsid w:val="000B15B2"/>
    <w:rsid w:val="000B1C9D"/>
    <w:rsid w:val="000B2A8F"/>
    <w:rsid w:val="000B3E81"/>
    <w:rsid w:val="000B6970"/>
    <w:rsid w:val="000B737F"/>
    <w:rsid w:val="000B7A7F"/>
    <w:rsid w:val="000C1070"/>
    <w:rsid w:val="000C179F"/>
    <w:rsid w:val="000C17AC"/>
    <w:rsid w:val="000C2004"/>
    <w:rsid w:val="000C556B"/>
    <w:rsid w:val="000C60CE"/>
    <w:rsid w:val="000C72C8"/>
    <w:rsid w:val="000D1503"/>
    <w:rsid w:val="000D20A0"/>
    <w:rsid w:val="000D2CCE"/>
    <w:rsid w:val="000D3B08"/>
    <w:rsid w:val="000D3B55"/>
    <w:rsid w:val="000D5692"/>
    <w:rsid w:val="000D6187"/>
    <w:rsid w:val="000D7D4A"/>
    <w:rsid w:val="000E06EF"/>
    <w:rsid w:val="000E19D1"/>
    <w:rsid w:val="000E1E8F"/>
    <w:rsid w:val="000E2ABC"/>
    <w:rsid w:val="000E2E7A"/>
    <w:rsid w:val="000E383D"/>
    <w:rsid w:val="000E59A3"/>
    <w:rsid w:val="000E5BE7"/>
    <w:rsid w:val="000E6959"/>
    <w:rsid w:val="000F2EBE"/>
    <w:rsid w:val="000F4B66"/>
    <w:rsid w:val="00100124"/>
    <w:rsid w:val="00102AC7"/>
    <w:rsid w:val="00105EAC"/>
    <w:rsid w:val="0011375D"/>
    <w:rsid w:val="0011432B"/>
    <w:rsid w:val="001210D5"/>
    <w:rsid w:val="0012129A"/>
    <w:rsid w:val="001243AF"/>
    <w:rsid w:val="00125CC7"/>
    <w:rsid w:val="001328FD"/>
    <w:rsid w:val="00134213"/>
    <w:rsid w:val="001418CE"/>
    <w:rsid w:val="00141C10"/>
    <w:rsid w:val="0014399A"/>
    <w:rsid w:val="00143C53"/>
    <w:rsid w:val="00143C9C"/>
    <w:rsid w:val="00145E31"/>
    <w:rsid w:val="00146BF3"/>
    <w:rsid w:val="00146FA8"/>
    <w:rsid w:val="0015103F"/>
    <w:rsid w:val="00151644"/>
    <w:rsid w:val="00152CA5"/>
    <w:rsid w:val="00152F4F"/>
    <w:rsid w:val="0015363E"/>
    <w:rsid w:val="00154058"/>
    <w:rsid w:val="00156048"/>
    <w:rsid w:val="001561B2"/>
    <w:rsid w:val="001563E6"/>
    <w:rsid w:val="0016161A"/>
    <w:rsid w:val="00161DF1"/>
    <w:rsid w:val="001639A1"/>
    <w:rsid w:val="0016517B"/>
    <w:rsid w:val="001651EF"/>
    <w:rsid w:val="00165D22"/>
    <w:rsid w:val="00167F77"/>
    <w:rsid w:val="001703E4"/>
    <w:rsid w:val="0017345B"/>
    <w:rsid w:val="00173665"/>
    <w:rsid w:val="00181C72"/>
    <w:rsid w:val="00184EBD"/>
    <w:rsid w:val="00192DD4"/>
    <w:rsid w:val="0019381A"/>
    <w:rsid w:val="00195E24"/>
    <w:rsid w:val="001974C0"/>
    <w:rsid w:val="001A263E"/>
    <w:rsid w:val="001A3F95"/>
    <w:rsid w:val="001A460C"/>
    <w:rsid w:val="001A6C7E"/>
    <w:rsid w:val="001B1047"/>
    <w:rsid w:val="001B4CB7"/>
    <w:rsid w:val="001B5425"/>
    <w:rsid w:val="001B69AC"/>
    <w:rsid w:val="001B7F34"/>
    <w:rsid w:val="001C05D2"/>
    <w:rsid w:val="001C06D4"/>
    <w:rsid w:val="001C27D1"/>
    <w:rsid w:val="001C34B3"/>
    <w:rsid w:val="001C45B2"/>
    <w:rsid w:val="001C58E1"/>
    <w:rsid w:val="001C6491"/>
    <w:rsid w:val="001C775B"/>
    <w:rsid w:val="001C78CB"/>
    <w:rsid w:val="001D1DB1"/>
    <w:rsid w:val="001D2453"/>
    <w:rsid w:val="001D2544"/>
    <w:rsid w:val="001D28F1"/>
    <w:rsid w:val="001D4155"/>
    <w:rsid w:val="001D4B1E"/>
    <w:rsid w:val="001D6563"/>
    <w:rsid w:val="001E022A"/>
    <w:rsid w:val="001E39D3"/>
    <w:rsid w:val="001E687F"/>
    <w:rsid w:val="001E790B"/>
    <w:rsid w:val="001F0148"/>
    <w:rsid w:val="001F1F77"/>
    <w:rsid w:val="001F459E"/>
    <w:rsid w:val="001F4EF0"/>
    <w:rsid w:val="001F73E1"/>
    <w:rsid w:val="001F7A27"/>
    <w:rsid w:val="00210AAC"/>
    <w:rsid w:val="00211A75"/>
    <w:rsid w:val="002123E2"/>
    <w:rsid w:val="002125F9"/>
    <w:rsid w:val="00215FD1"/>
    <w:rsid w:val="00217C45"/>
    <w:rsid w:val="00217C8D"/>
    <w:rsid w:val="002269BF"/>
    <w:rsid w:val="00227560"/>
    <w:rsid w:val="0023112E"/>
    <w:rsid w:val="00231AD3"/>
    <w:rsid w:val="002327A5"/>
    <w:rsid w:val="00234E76"/>
    <w:rsid w:val="00235154"/>
    <w:rsid w:val="00235351"/>
    <w:rsid w:val="00237476"/>
    <w:rsid w:val="00237EE6"/>
    <w:rsid w:val="00241A1A"/>
    <w:rsid w:val="002449CD"/>
    <w:rsid w:val="00244DBA"/>
    <w:rsid w:val="00246830"/>
    <w:rsid w:val="002479F6"/>
    <w:rsid w:val="0025011D"/>
    <w:rsid w:val="0025349D"/>
    <w:rsid w:val="00255561"/>
    <w:rsid w:val="00255A6D"/>
    <w:rsid w:val="0026170B"/>
    <w:rsid w:val="00262C14"/>
    <w:rsid w:val="002647F2"/>
    <w:rsid w:val="00264C84"/>
    <w:rsid w:val="00265CF0"/>
    <w:rsid w:val="002669B8"/>
    <w:rsid w:val="0026786E"/>
    <w:rsid w:val="00267B49"/>
    <w:rsid w:val="002720EE"/>
    <w:rsid w:val="00274808"/>
    <w:rsid w:val="002751C8"/>
    <w:rsid w:val="0028094C"/>
    <w:rsid w:val="002812E1"/>
    <w:rsid w:val="00282201"/>
    <w:rsid w:val="00282AF2"/>
    <w:rsid w:val="0028528A"/>
    <w:rsid w:val="0028706F"/>
    <w:rsid w:val="00291554"/>
    <w:rsid w:val="00291A0D"/>
    <w:rsid w:val="00292935"/>
    <w:rsid w:val="00294F24"/>
    <w:rsid w:val="002A564B"/>
    <w:rsid w:val="002A73FF"/>
    <w:rsid w:val="002B0950"/>
    <w:rsid w:val="002B0F59"/>
    <w:rsid w:val="002B3E29"/>
    <w:rsid w:val="002B6147"/>
    <w:rsid w:val="002B631E"/>
    <w:rsid w:val="002C08D5"/>
    <w:rsid w:val="002C0B93"/>
    <w:rsid w:val="002C1475"/>
    <w:rsid w:val="002C3C46"/>
    <w:rsid w:val="002D0E6A"/>
    <w:rsid w:val="002D3DB5"/>
    <w:rsid w:val="002D4138"/>
    <w:rsid w:val="002D42B9"/>
    <w:rsid w:val="002D54E4"/>
    <w:rsid w:val="002D6325"/>
    <w:rsid w:val="002E30D8"/>
    <w:rsid w:val="002E340D"/>
    <w:rsid w:val="002E360C"/>
    <w:rsid w:val="002E4E95"/>
    <w:rsid w:val="002E5DDA"/>
    <w:rsid w:val="002E6D49"/>
    <w:rsid w:val="002E7A85"/>
    <w:rsid w:val="002F1D15"/>
    <w:rsid w:val="002F2A6F"/>
    <w:rsid w:val="002F33D8"/>
    <w:rsid w:val="002F344E"/>
    <w:rsid w:val="002F3BF8"/>
    <w:rsid w:val="002F3CB1"/>
    <w:rsid w:val="002F473F"/>
    <w:rsid w:val="002F5250"/>
    <w:rsid w:val="002F582D"/>
    <w:rsid w:val="002F5E4F"/>
    <w:rsid w:val="002F643C"/>
    <w:rsid w:val="002F6EA5"/>
    <w:rsid w:val="002F73D9"/>
    <w:rsid w:val="002F7AFD"/>
    <w:rsid w:val="003021C5"/>
    <w:rsid w:val="00304096"/>
    <w:rsid w:val="00305E6A"/>
    <w:rsid w:val="00307AC8"/>
    <w:rsid w:val="0031540A"/>
    <w:rsid w:val="00315A10"/>
    <w:rsid w:val="00320037"/>
    <w:rsid w:val="00321FC8"/>
    <w:rsid w:val="00324AD9"/>
    <w:rsid w:val="003271A1"/>
    <w:rsid w:val="00331680"/>
    <w:rsid w:val="00335010"/>
    <w:rsid w:val="0033696D"/>
    <w:rsid w:val="0033776B"/>
    <w:rsid w:val="00341EA9"/>
    <w:rsid w:val="00342264"/>
    <w:rsid w:val="00343075"/>
    <w:rsid w:val="003437ED"/>
    <w:rsid w:val="0034620D"/>
    <w:rsid w:val="00347AB2"/>
    <w:rsid w:val="0035046C"/>
    <w:rsid w:val="00350732"/>
    <w:rsid w:val="003545E5"/>
    <w:rsid w:val="00357132"/>
    <w:rsid w:val="00357437"/>
    <w:rsid w:val="0036466A"/>
    <w:rsid w:val="0036557E"/>
    <w:rsid w:val="00365BC7"/>
    <w:rsid w:val="00366DB5"/>
    <w:rsid w:val="00367AA0"/>
    <w:rsid w:val="00367D86"/>
    <w:rsid w:val="003733F6"/>
    <w:rsid w:val="0037345C"/>
    <w:rsid w:val="003735B0"/>
    <w:rsid w:val="003744E6"/>
    <w:rsid w:val="00376982"/>
    <w:rsid w:val="00376A98"/>
    <w:rsid w:val="00377EA0"/>
    <w:rsid w:val="00380480"/>
    <w:rsid w:val="003808B5"/>
    <w:rsid w:val="0038189A"/>
    <w:rsid w:val="00383864"/>
    <w:rsid w:val="003866D7"/>
    <w:rsid w:val="00390FF0"/>
    <w:rsid w:val="00393520"/>
    <w:rsid w:val="0039590C"/>
    <w:rsid w:val="00396318"/>
    <w:rsid w:val="003972F6"/>
    <w:rsid w:val="003A113A"/>
    <w:rsid w:val="003A1762"/>
    <w:rsid w:val="003A44D5"/>
    <w:rsid w:val="003A5502"/>
    <w:rsid w:val="003A6CDE"/>
    <w:rsid w:val="003B20A8"/>
    <w:rsid w:val="003B5728"/>
    <w:rsid w:val="003B59CE"/>
    <w:rsid w:val="003B7C5F"/>
    <w:rsid w:val="003C0DD2"/>
    <w:rsid w:val="003C242C"/>
    <w:rsid w:val="003C32FD"/>
    <w:rsid w:val="003C4AC4"/>
    <w:rsid w:val="003C4E50"/>
    <w:rsid w:val="003C5941"/>
    <w:rsid w:val="003D1915"/>
    <w:rsid w:val="003D372D"/>
    <w:rsid w:val="003D59DA"/>
    <w:rsid w:val="003D6038"/>
    <w:rsid w:val="003D7D7D"/>
    <w:rsid w:val="003E07E2"/>
    <w:rsid w:val="003E0A94"/>
    <w:rsid w:val="003E3CE3"/>
    <w:rsid w:val="003E695C"/>
    <w:rsid w:val="003E7AC8"/>
    <w:rsid w:val="003E7ED9"/>
    <w:rsid w:val="003F1C1E"/>
    <w:rsid w:val="003F28FC"/>
    <w:rsid w:val="003F305C"/>
    <w:rsid w:val="003F43E1"/>
    <w:rsid w:val="003F6D53"/>
    <w:rsid w:val="003F7152"/>
    <w:rsid w:val="004005F3"/>
    <w:rsid w:val="00402E75"/>
    <w:rsid w:val="00403F1E"/>
    <w:rsid w:val="004049AF"/>
    <w:rsid w:val="0040679F"/>
    <w:rsid w:val="00410B26"/>
    <w:rsid w:val="00411BEE"/>
    <w:rsid w:val="004139A2"/>
    <w:rsid w:val="00414D75"/>
    <w:rsid w:val="004156A7"/>
    <w:rsid w:val="00415F39"/>
    <w:rsid w:val="00417D2F"/>
    <w:rsid w:val="004202A4"/>
    <w:rsid w:val="004215BF"/>
    <w:rsid w:val="004236B2"/>
    <w:rsid w:val="00423FCF"/>
    <w:rsid w:val="00425CD3"/>
    <w:rsid w:val="0042797E"/>
    <w:rsid w:val="00430F89"/>
    <w:rsid w:val="004363D8"/>
    <w:rsid w:val="00437284"/>
    <w:rsid w:val="004374E2"/>
    <w:rsid w:val="00441133"/>
    <w:rsid w:val="00441219"/>
    <w:rsid w:val="00442A95"/>
    <w:rsid w:val="0044315A"/>
    <w:rsid w:val="00443E3A"/>
    <w:rsid w:val="00444E1D"/>
    <w:rsid w:val="00445CF0"/>
    <w:rsid w:val="004470C3"/>
    <w:rsid w:val="00447399"/>
    <w:rsid w:val="0044790A"/>
    <w:rsid w:val="00450B9A"/>
    <w:rsid w:val="004529B1"/>
    <w:rsid w:val="00453392"/>
    <w:rsid w:val="00456127"/>
    <w:rsid w:val="004566C2"/>
    <w:rsid w:val="00456DA9"/>
    <w:rsid w:val="00460E53"/>
    <w:rsid w:val="00461C3A"/>
    <w:rsid w:val="0046200C"/>
    <w:rsid w:val="00463213"/>
    <w:rsid w:val="0046346F"/>
    <w:rsid w:val="0046577E"/>
    <w:rsid w:val="00465BDE"/>
    <w:rsid w:val="004662A1"/>
    <w:rsid w:val="004666DD"/>
    <w:rsid w:val="004671A0"/>
    <w:rsid w:val="00470814"/>
    <w:rsid w:val="00470EE5"/>
    <w:rsid w:val="00474DE9"/>
    <w:rsid w:val="0047770B"/>
    <w:rsid w:val="00477A04"/>
    <w:rsid w:val="00477DDC"/>
    <w:rsid w:val="004805A6"/>
    <w:rsid w:val="00480EF5"/>
    <w:rsid w:val="004834BF"/>
    <w:rsid w:val="0048459C"/>
    <w:rsid w:val="00491969"/>
    <w:rsid w:val="004920B0"/>
    <w:rsid w:val="00493B5B"/>
    <w:rsid w:val="0049423E"/>
    <w:rsid w:val="00494BB6"/>
    <w:rsid w:val="00494FB3"/>
    <w:rsid w:val="00496941"/>
    <w:rsid w:val="00497E9E"/>
    <w:rsid w:val="004A2093"/>
    <w:rsid w:val="004A21E9"/>
    <w:rsid w:val="004A325F"/>
    <w:rsid w:val="004A399D"/>
    <w:rsid w:val="004A54C1"/>
    <w:rsid w:val="004A55CE"/>
    <w:rsid w:val="004A6923"/>
    <w:rsid w:val="004B0054"/>
    <w:rsid w:val="004B04E1"/>
    <w:rsid w:val="004B0E9D"/>
    <w:rsid w:val="004B2973"/>
    <w:rsid w:val="004B301E"/>
    <w:rsid w:val="004B58B8"/>
    <w:rsid w:val="004B5A0C"/>
    <w:rsid w:val="004B68D1"/>
    <w:rsid w:val="004C1717"/>
    <w:rsid w:val="004C4D49"/>
    <w:rsid w:val="004D05A7"/>
    <w:rsid w:val="004D327C"/>
    <w:rsid w:val="004D360C"/>
    <w:rsid w:val="004D591C"/>
    <w:rsid w:val="004E1CBE"/>
    <w:rsid w:val="004E2B4B"/>
    <w:rsid w:val="004E511A"/>
    <w:rsid w:val="004F0C57"/>
    <w:rsid w:val="004F1121"/>
    <w:rsid w:val="004F12B4"/>
    <w:rsid w:val="004F156B"/>
    <w:rsid w:val="004F2030"/>
    <w:rsid w:val="004F3C5A"/>
    <w:rsid w:val="004F433A"/>
    <w:rsid w:val="004F4C7B"/>
    <w:rsid w:val="004F4D57"/>
    <w:rsid w:val="004F56C7"/>
    <w:rsid w:val="004F7F4F"/>
    <w:rsid w:val="005000AB"/>
    <w:rsid w:val="00500993"/>
    <w:rsid w:val="005012BD"/>
    <w:rsid w:val="0050521D"/>
    <w:rsid w:val="0051197A"/>
    <w:rsid w:val="005121D7"/>
    <w:rsid w:val="0051344E"/>
    <w:rsid w:val="00513705"/>
    <w:rsid w:val="00513A9C"/>
    <w:rsid w:val="00517019"/>
    <w:rsid w:val="00517AB4"/>
    <w:rsid w:val="0052140E"/>
    <w:rsid w:val="00524792"/>
    <w:rsid w:val="0052590C"/>
    <w:rsid w:val="00527025"/>
    <w:rsid w:val="00531412"/>
    <w:rsid w:val="0053272B"/>
    <w:rsid w:val="00532B53"/>
    <w:rsid w:val="00533F90"/>
    <w:rsid w:val="0053423E"/>
    <w:rsid w:val="00535A88"/>
    <w:rsid w:val="0053638E"/>
    <w:rsid w:val="0053651B"/>
    <w:rsid w:val="005433D5"/>
    <w:rsid w:val="00545C3C"/>
    <w:rsid w:val="00547BFD"/>
    <w:rsid w:val="0055021D"/>
    <w:rsid w:val="005509E9"/>
    <w:rsid w:val="00552E3D"/>
    <w:rsid w:val="00552EB7"/>
    <w:rsid w:val="00553B5F"/>
    <w:rsid w:val="00560F83"/>
    <w:rsid w:val="00561C97"/>
    <w:rsid w:val="00561E6E"/>
    <w:rsid w:val="00563D44"/>
    <w:rsid w:val="005653DD"/>
    <w:rsid w:val="0056560B"/>
    <w:rsid w:val="00566BC2"/>
    <w:rsid w:val="00570219"/>
    <w:rsid w:val="005719B4"/>
    <w:rsid w:val="00572BB2"/>
    <w:rsid w:val="00572E9D"/>
    <w:rsid w:val="0057433E"/>
    <w:rsid w:val="00576BF8"/>
    <w:rsid w:val="00577258"/>
    <w:rsid w:val="00577C97"/>
    <w:rsid w:val="005805E5"/>
    <w:rsid w:val="005812CC"/>
    <w:rsid w:val="00582360"/>
    <w:rsid w:val="00582CFA"/>
    <w:rsid w:val="00582FF2"/>
    <w:rsid w:val="00583A80"/>
    <w:rsid w:val="00585EF9"/>
    <w:rsid w:val="0058608E"/>
    <w:rsid w:val="00586BB9"/>
    <w:rsid w:val="00587DCB"/>
    <w:rsid w:val="00591F3E"/>
    <w:rsid w:val="00593630"/>
    <w:rsid w:val="00594C6F"/>
    <w:rsid w:val="0059544C"/>
    <w:rsid w:val="005954D1"/>
    <w:rsid w:val="005A03D1"/>
    <w:rsid w:val="005A38A6"/>
    <w:rsid w:val="005A41BE"/>
    <w:rsid w:val="005A4B73"/>
    <w:rsid w:val="005A615C"/>
    <w:rsid w:val="005A72F0"/>
    <w:rsid w:val="005B01CE"/>
    <w:rsid w:val="005B29D6"/>
    <w:rsid w:val="005B3007"/>
    <w:rsid w:val="005B547F"/>
    <w:rsid w:val="005B58B6"/>
    <w:rsid w:val="005C2231"/>
    <w:rsid w:val="005C34FA"/>
    <w:rsid w:val="005C3D84"/>
    <w:rsid w:val="005C5E34"/>
    <w:rsid w:val="005D2061"/>
    <w:rsid w:val="005D22FA"/>
    <w:rsid w:val="005D38CF"/>
    <w:rsid w:val="005D3959"/>
    <w:rsid w:val="005D4719"/>
    <w:rsid w:val="005D4731"/>
    <w:rsid w:val="005D4ECF"/>
    <w:rsid w:val="005D6131"/>
    <w:rsid w:val="005E20B7"/>
    <w:rsid w:val="005E4EF5"/>
    <w:rsid w:val="005F0D4D"/>
    <w:rsid w:val="005F0EF7"/>
    <w:rsid w:val="005F0FA2"/>
    <w:rsid w:val="005F1BA8"/>
    <w:rsid w:val="005F33DA"/>
    <w:rsid w:val="005F4424"/>
    <w:rsid w:val="005F5258"/>
    <w:rsid w:val="005F7407"/>
    <w:rsid w:val="0060661F"/>
    <w:rsid w:val="00607842"/>
    <w:rsid w:val="0061025E"/>
    <w:rsid w:val="0061147D"/>
    <w:rsid w:val="00615789"/>
    <w:rsid w:val="00616BEC"/>
    <w:rsid w:val="00617959"/>
    <w:rsid w:val="00621A5B"/>
    <w:rsid w:val="00622DDC"/>
    <w:rsid w:val="00624EE0"/>
    <w:rsid w:val="00630836"/>
    <w:rsid w:val="00632706"/>
    <w:rsid w:val="00632971"/>
    <w:rsid w:val="0063332D"/>
    <w:rsid w:val="006353F3"/>
    <w:rsid w:val="0063629E"/>
    <w:rsid w:val="00643604"/>
    <w:rsid w:val="00647FCA"/>
    <w:rsid w:val="006526BE"/>
    <w:rsid w:val="00652CC0"/>
    <w:rsid w:val="00654971"/>
    <w:rsid w:val="006553C0"/>
    <w:rsid w:val="0065543D"/>
    <w:rsid w:val="00655BD8"/>
    <w:rsid w:val="0066018D"/>
    <w:rsid w:val="0066168E"/>
    <w:rsid w:val="00661C90"/>
    <w:rsid w:val="00662486"/>
    <w:rsid w:val="00665BDF"/>
    <w:rsid w:val="006667A0"/>
    <w:rsid w:val="0067225A"/>
    <w:rsid w:val="00672D7C"/>
    <w:rsid w:val="006742EA"/>
    <w:rsid w:val="00675EF7"/>
    <w:rsid w:val="00677EAB"/>
    <w:rsid w:val="00677EF9"/>
    <w:rsid w:val="00680278"/>
    <w:rsid w:val="006820FA"/>
    <w:rsid w:val="006823DE"/>
    <w:rsid w:val="00682B5D"/>
    <w:rsid w:val="0068365A"/>
    <w:rsid w:val="006836FC"/>
    <w:rsid w:val="006839C7"/>
    <w:rsid w:val="0068413A"/>
    <w:rsid w:val="006859FE"/>
    <w:rsid w:val="00685F0C"/>
    <w:rsid w:val="00685F96"/>
    <w:rsid w:val="00686FFE"/>
    <w:rsid w:val="006870F4"/>
    <w:rsid w:val="006873DF"/>
    <w:rsid w:val="006918D0"/>
    <w:rsid w:val="00692050"/>
    <w:rsid w:val="0069467B"/>
    <w:rsid w:val="00694E5B"/>
    <w:rsid w:val="00695F5D"/>
    <w:rsid w:val="0069681B"/>
    <w:rsid w:val="006976EE"/>
    <w:rsid w:val="006A25CE"/>
    <w:rsid w:val="006A3E91"/>
    <w:rsid w:val="006B1487"/>
    <w:rsid w:val="006B5F06"/>
    <w:rsid w:val="006C1883"/>
    <w:rsid w:val="006C2A0C"/>
    <w:rsid w:val="006C3102"/>
    <w:rsid w:val="006C402B"/>
    <w:rsid w:val="006D0156"/>
    <w:rsid w:val="006D28BD"/>
    <w:rsid w:val="006D3067"/>
    <w:rsid w:val="006D445C"/>
    <w:rsid w:val="006D5D7B"/>
    <w:rsid w:val="006D6D23"/>
    <w:rsid w:val="006E006A"/>
    <w:rsid w:val="006E129F"/>
    <w:rsid w:val="006E4743"/>
    <w:rsid w:val="006E4A26"/>
    <w:rsid w:val="006E746C"/>
    <w:rsid w:val="006F1F8B"/>
    <w:rsid w:val="006F3FFF"/>
    <w:rsid w:val="006F5995"/>
    <w:rsid w:val="006F5C37"/>
    <w:rsid w:val="0070274C"/>
    <w:rsid w:val="00702DDB"/>
    <w:rsid w:val="00705D9A"/>
    <w:rsid w:val="00706677"/>
    <w:rsid w:val="00706D66"/>
    <w:rsid w:val="00706F5A"/>
    <w:rsid w:val="0070728D"/>
    <w:rsid w:val="0071120A"/>
    <w:rsid w:val="00712A0A"/>
    <w:rsid w:val="007133B2"/>
    <w:rsid w:val="00713843"/>
    <w:rsid w:val="00714928"/>
    <w:rsid w:val="007220FA"/>
    <w:rsid w:val="00723903"/>
    <w:rsid w:val="00723E54"/>
    <w:rsid w:val="00724628"/>
    <w:rsid w:val="00725B27"/>
    <w:rsid w:val="00726188"/>
    <w:rsid w:val="00726A4B"/>
    <w:rsid w:val="00726B22"/>
    <w:rsid w:val="00727547"/>
    <w:rsid w:val="00731B5F"/>
    <w:rsid w:val="007366C1"/>
    <w:rsid w:val="00737314"/>
    <w:rsid w:val="007401B5"/>
    <w:rsid w:val="007419DA"/>
    <w:rsid w:val="00743A5B"/>
    <w:rsid w:val="00743D29"/>
    <w:rsid w:val="007461B1"/>
    <w:rsid w:val="007465C2"/>
    <w:rsid w:val="007476CC"/>
    <w:rsid w:val="00747714"/>
    <w:rsid w:val="0075257B"/>
    <w:rsid w:val="00756140"/>
    <w:rsid w:val="007568CC"/>
    <w:rsid w:val="0075710B"/>
    <w:rsid w:val="00762003"/>
    <w:rsid w:val="0076232F"/>
    <w:rsid w:val="00762D19"/>
    <w:rsid w:val="00765DB9"/>
    <w:rsid w:val="00767DDC"/>
    <w:rsid w:val="00772295"/>
    <w:rsid w:val="00775AF9"/>
    <w:rsid w:val="00775D56"/>
    <w:rsid w:val="00776357"/>
    <w:rsid w:val="007772F5"/>
    <w:rsid w:val="007827C7"/>
    <w:rsid w:val="00782B2B"/>
    <w:rsid w:val="00783C5F"/>
    <w:rsid w:val="00786C4E"/>
    <w:rsid w:val="00790410"/>
    <w:rsid w:val="00790CA8"/>
    <w:rsid w:val="00793A7F"/>
    <w:rsid w:val="007958AD"/>
    <w:rsid w:val="00795E45"/>
    <w:rsid w:val="0079610D"/>
    <w:rsid w:val="00796CA9"/>
    <w:rsid w:val="007A4A1B"/>
    <w:rsid w:val="007A5E64"/>
    <w:rsid w:val="007A7781"/>
    <w:rsid w:val="007B0065"/>
    <w:rsid w:val="007B0B66"/>
    <w:rsid w:val="007B31EA"/>
    <w:rsid w:val="007B44E9"/>
    <w:rsid w:val="007B4C97"/>
    <w:rsid w:val="007B5513"/>
    <w:rsid w:val="007C1612"/>
    <w:rsid w:val="007C1B82"/>
    <w:rsid w:val="007C2393"/>
    <w:rsid w:val="007C2BEB"/>
    <w:rsid w:val="007C4C53"/>
    <w:rsid w:val="007C51FB"/>
    <w:rsid w:val="007C68AC"/>
    <w:rsid w:val="007C6AE7"/>
    <w:rsid w:val="007C6D69"/>
    <w:rsid w:val="007D26D8"/>
    <w:rsid w:val="007D5535"/>
    <w:rsid w:val="007D5CD0"/>
    <w:rsid w:val="007D67A9"/>
    <w:rsid w:val="007D70CA"/>
    <w:rsid w:val="007D7C95"/>
    <w:rsid w:val="007E233D"/>
    <w:rsid w:val="007E6A6D"/>
    <w:rsid w:val="007E6D1E"/>
    <w:rsid w:val="007E6D60"/>
    <w:rsid w:val="007F2435"/>
    <w:rsid w:val="007F4431"/>
    <w:rsid w:val="007F513E"/>
    <w:rsid w:val="00800002"/>
    <w:rsid w:val="00800CBE"/>
    <w:rsid w:val="0080100C"/>
    <w:rsid w:val="008011EB"/>
    <w:rsid w:val="0080420C"/>
    <w:rsid w:val="008070ED"/>
    <w:rsid w:val="00807EC3"/>
    <w:rsid w:val="00814591"/>
    <w:rsid w:val="00816F35"/>
    <w:rsid w:val="00817444"/>
    <w:rsid w:val="00821D91"/>
    <w:rsid w:val="00821F8E"/>
    <w:rsid w:val="00822625"/>
    <w:rsid w:val="00825B9D"/>
    <w:rsid w:val="00835F34"/>
    <w:rsid w:val="00836F85"/>
    <w:rsid w:val="008372E6"/>
    <w:rsid w:val="00841D32"/>
    <w:rsid w:val="00841FFC"/>
    <w:rsid w:val="008420F7"/>
    <w:rsid w:val="00845383"/>
    <w:rsid w:val="008510E2"/>
    <w:rsid w:val="00852B83"/>
    <w:rsid w:val="00853B31"/>
    <w:rsid w:val="0085738F"/>
    <w:rsid w:val="008601A3"/>
    <w:rsid w:val="008607AC"/>
    <w:rsid w:val="00861265"/>
    <w:rsid w:val="00861662"/>
    <w:rsid w:val="008647E4"/>
    <w:rsid w:val="00864E04"/>
    <w:rsid w:val="00864FE0"/>
    <w:rsid w:val="0086767E"/>
    <w:rsid w:val="00874550"/>
    <w:rsid w:val="00877849"/>
    <w:rsid w:val="0087790A"/>
    <w:rsid w:val="00877CE8"/>
    <w:rsid w:val="0088293B"/>
    <w:rsid w:val="00887FD7"/>
    <w:rsid w:val="00891FDA"/>
    <w:rsid w:val="00892B12"/>
    <w:rsid w:val="00896A83"/>
    <w:rsid w:val="008A0A80"/>
    <w:rsid w:val="008A1758"/>
    <w:rsid w:val="008A2538"/>
    <w:rsid w:val="008A3253"/>
    <w:rsid w:val="008A3990"/>
    <w:rsid w:val="008A6F5C"/>
    <w:rsid w:val="008A773D"/>
    <w:rsid w:val="008B0584"/>
    <w:rsid w:val="008B0B57"/>
    <w:rsid w:val="008B56FC"/>
    <w:rsid w:val="008B6E2B"/>
    <w:rsid w:val="008B7362"/>
    <w:rsid w:val="008C10A5"/>
    <w:rsid w:val="008C21BC"/>
    <w:rsid w:val="008C3400"/>
    <w:rsid w:val="008C484E"/>
    <w:rsid w:val="008C51B4"/>
    <w:rsid w:val="008D2045"/>
    <w:rsid w:val="008D2543"/>
    <w:rsid w:val="008D40A5"/>
    <w:rsid w:val="008D5F89"/>
    <w:rsid w:val="008D64CD"/>
    <w:rsid w:val="008D7263"/>
    <w:rsid w:val="008E122F"/>
    <w:rsid w:val="008E243C"/>
    <w:rsid w:val="008E2CE7"/>
    <w:rsid w:val="008E5BA8"/>
    <w:rsid w:val="008E67F1"/>
    <w:rsid w:val="008E7422"/>
    <w:rsid w:val="008E7CF3"/>
    <w:rsid w:val="008F2544"/>
    <w:rsid w:val="008F398F"/>
    <w:rsid w:val="008F6328"/>
    <w:rsid w:val="008F7AD4"/>
    <w:rsid w:val="009021B0"/>
    <w:rsid w:val="00902FC6"/>
    <w:rsid w:val="00903E5A"/>
    <w:rsid w:val="00903FBB"/>
    <w:rsid w:val="00904B67"/>
    <w:rsid w:val="00906BFE"/>
    <w:rsid w:val="00907205"/>
    <w:rsid w:val="00907419"/>
    <w:rsid w:val="009103C7"/>
    <w:rsid w:val="00911DDA"/>
    <w:rsid w:val="00911F07"/>
    <w:rsid w:val="009139CC"/>
    <w:rsid w:val="0091496F"/>
    <w:rsid w:val="00915158"/>
    <w:rsid w:val="00916900"/>
    <w:rsid w:val="00917FB1"/>
    <w:rsid w:val="009205B6"/>
    <w:rsid w:val="00921DCD"/>
    <w:rsid w:val="00923E57"/>
    <w:rsid w:val="00931C57"/>
    <w:rsid w:val="00934B0C"/>
    <w:rsid w:val="00937F9E"/>
    <w:rsid w:val="00940710"/>
    <w:rsid w:val="00941AB9"/>
    <w:rsid w:val="00944C22"/>
    <w:rsid w:val="00944D23"/>
    <w:rsid w:val="00945C2E"/>
    <w:rsid w:val="009478FC"/>
    <w:rsid w:val="00947CAA"/>
    <w:rsid w:val="00947E58"/>
    <w:rsid w:val="0095048D"/>
    <w:rsid w:val="00950ADC"/>
    <w:rsid w:val="00950F43"/>
    <w:rsid w:val="00953679"/>
    <w:rsid w:val="009551C1"/>
    <w:rsid w:val="009566BA"/>
    <w:rsid w:val="00960D68"/>
    <w:rsid w:val="009621B7"/>
    <w:rsid w:val="00962C9C"/>
    <w:rsid w:val="00962D2C"/>
    <w:rsid w:val="00966B42"/>
    <w:rsid w:val="00967718"/>
    <w:rsid w:val="009703AA"/>
    <w:rsid w:val="00971312"/>
    <w:rsid w:val="00973F99"/>
    <w:rsid w:val="009754D6"/>
    <w:rsid w:val="009817E0"/>
    <w:rsid w:val="009819AC"/>
    <w:rsid w:val="00981BFB"/>
    <w:rsid w:val="00981F3A"/>
    <w:rsid w:val="00987C66"/>
    <w:rsid w:val="0099095B"/>
    <w:rsid w:val="00990F19"/>
    <w:rsid w:val="009912EF"/>
    <w:rsid w:val="00991EAB"/>
    <w:rsid w:val="009920C5"/>
    <w:rsid w:val="0099253E"/>
    <w:rsid w:val="00993953"/>
    <w:rsid w:val="00994C31"/>
    <w:rsid w:val="00997241"/>
    <w:rsid w:val="00997D84"/>
    <w:rsid w:val="009A0F19"/>
    <w:rsid w:val="009A1100"/>
    <w:rsid w:val="009A26E4"/>
    <w:rsid w:val="009A59BD"/>
    <w:rsid w:val="009A6B7E"/>
    <w:rsid w:val="009B021B"/>
    <w:rsid w:val="009B0FC3"/>
    <w:rsid w:val="009B13E8"/>
    <w:rsid w:val="009B4791"/>
    <w:rsid w:val="009B7301"/>
    <w:rsid w:val="009C3284"/>
    <w:rsid w:val="009D0F0F"/>
    <w:rsid w:val="009D18A8"/>
    <w:rsid w:val="009D3B45"/>
    <w:rsid w:val="009D4147"/>
    <w:rsid w:val="009D71A1"/>
    <w:rsid w:val="009E0904"/>
    <w:rsid w:val="009E0C83"/>
    <w:rsid w:val="009E340D"/>
    <w:rsid w:val="009E5175"/>
    <w:rsid w:val="009F0C75"/>
    <w:rsid w:val="009F0E71"/>
    <w:rsid w:val="009F0F5C"/>
    <w:rsid w:val="009F39A2"/>
    <w:rsid w:val="009F6C6E"/>
    <w:rsid w:val="00A005E9"/>
    <w:rsid w:val="00A01D86"/>
    <w:rsid w:val="00A03C54"/>
    <w:rsid w:val="00A04514"/>
    <w:rsid w:val="00A048C4"/>
    <w:rsid w:val="00A05A06"/>
    <w:rsid w:val="00A11EB9"/>
    <w:rsid w:val="00A13032"/>
    <w:rsid w:val="00A150B6"/>
    <w:rsid w:val="00A16C02"/>
    <w:rsid w:val="00A209CB"/>
    <w:rsid w:val="00A20C01"/>
    <w:rsid w:val="00A21BB0"/>
    <w:rsid w:val="00A223A0"/>
    <w:rsid w:val="00A23DA5"/>
    <w:rsid w:val="00A24542"/>
    <w:rsid w:val="00A24BD0"/>
    <w:rsid w:val="00A25ED6"/>
    <w:rsid w:val="00A26005"/>
    <w:rsid w:val="00A27319"/>
    <w:rsid w:val="00A323F8"/>
    <w:rsid w:val="00A33577"/>
    <w:rsid w:val="00A33A7D"/>
    <w:rsid w:val="00A34A22"/>
    <w:rsid w:val="00A37225"/>
    <w:rsid w:val="00A374C0"/>
    <w:rsid w:val="00A376ED"/>
    <w:rsid w:val="00A406EA"/>
    <w:rsid w:val="00A40988"/>
    <w:rsid w:val="00A40B1B"/>
    <w:rsid w:val="00A40BE5"/>
    <w:rsid w:val="00A411FC"/>
    <w:rsid w:val="00A420F9"/>
    <w:rsid w:val="00A428A6"/>
    <w:rsid w:val="00A43942"/>
    <w:rsid w:val="00A457F6"/>
    <w:rsid w:val="00A571C1"/>
    <w:rsid w:val="00A615EE"/>
    <w:rsid w:val="00A6195A"/>
    <w:rsid w:val="00A641CE"/>
    <w:rsid w:val="00A6715B"/>
    <w:rsid w:val="00A70C5E"/>
    <w:rsid w:val="00A739C5"/>
    <w:rsid w:val="00A73E6F"/>
    <w:rsid w:val="00A754A1"/>
    <w:rsid w:val="00A75E22"/>
    <w:rsid w:val="00A76171"/>
    <w:rsid w:val="00A767B6"/>
    <w:rsid w:val="00A80EDC"/>
    <w:rsid w:val="00A811D0"/>
    <w:rsid w:val="00A825BE"/>
    <w:rsid w:val="00A82CB4"/>
    <w:rsid w:val="00A82D3E"/>
    <w:rsid w:val="00A842CB"/>
    <w:rsid w:val="00A8505A"/>
    <w:rsid w:val="00A93E2C"/>
    <w:rsid w:val="00AA00E6"/>
    <w:rsid w:val="00AA55A7"/>
    <w:rsid w:val="00AB073C"/>
    <w:rsid w:val="00AB131D"/>
    <w:rsid w:val="00AB48FE"/>
    <w:rsid w:val="00AB4A67"/>
    <w:rsid w:val="00AB4E17"/>
    <w:rsid w:val="00AB69C4"/>
    <w:rsid w:val="00AB7971"/>
    <w:rsid w:val="00AC09D0"/>
    <w:rsid w:val="00AC0AB4"/>
    <w:rsid w:val="00AC1571"/>
    <w:rsid w:val="00AC30BA"/>
    <w:rsid w:val="00AC6429"/>
    <w:rsid w:val="00AC7F69"/>
    <w:rsid w:val="00AD4BA2"/>
    <w:rsid w:val="00AD7444"/>
    <w:rsid w:val="00AE201D"/>
    <w:rsid w:val="00AE3873"/>
    <w:rsid w:val="00AE5676"/>
    <w:rsid w:val="00AF3363"/>
    <w:rsid w:val="00AF3C18"/>
    <w:rsid w:val="00AF660E"/>
    <w:rsid w:val="00B0193F"/>
    <w:rsid w:val="00B0430D"/>
    <w:rsid w:val="00B05CBB"/>
    <w:rsid w:val="00B05DF0"/>
    <w:rsid w:val="00B123B0"/>
    <w:rsid w:val="00B1411A"/>
    <w:rsid w:val="00B14355"/>
    <w:rsid w:val="00B1765F"/>
    <w:rsid w:val="00B20201"/>
    <w:rsid w:val="00B236A2"/>
    <w:rsid w:val="00B23DE2"/>
    <w:rsid w:val="00B2421D"/>
    <w:rsid w:val="00B24A03"/>
    <w:rsid w:val="00B26B22"/>
    <w:rsid w:val="00B30ABB"/>
    <w:rsid w:val="00B33D36"/>
    <w:rsid w:val="00B33E4F"/>
    <w:rsid w:val="00B3509E"/>
    <w:rsid w:val="00B357E1"/>
    <w:rsid w:val="00B418BE"/>
    <w:rsid w:val="00B459BD"/>
    <w:rsid w:val="00B45FA6"/>
    <w:rsid w:val="00B520AA"/>
    <w:rsid w:val="00B54F4A"/>
    <w:rsid w:val="00B551A8"/>
    <w:rsid w:val="00B57604"/>
    <w:rsid w:val="00B578FA"/>
    <w:rsid w:val="00B60364"/>
    <w:rsid w:val="00B61052"/>
    <w:rsid w:val="00B63922"/>
    <w:rsid w:val="00B644A4"/>
    <w:rsid w:val="00B646D4"/>
    <w:rsid w:val="00B668F1"/>
    <w:rsid w:val="00B66EC0"/>
    <w:rsid w:val="00B674E5"/>
    <w:rsid w:val="00B70513"/>
    <w:rsid w:val="00B72AF0"/>
    <w:rsid w:val="00B72E0B"/>
    <w:rsid w:val="00B73C7B"/>
    <w:rsid w:val="00B73D9F"/>
    <w:rsid w:val="00B82AA0"/>
    <w:rsid w:val="00B843A9"/>
    <w:rsid w:val="00B84C16"/>
    <w:rsid w:val="00B84FAA"/>
    <w:rsid w:val="00B85028"/>
    <w:rsid w:val="00B859B9"/>
    <w:rsid w:val="00B911E6"/>
    <w:rsid w:val="00B91D30"/>
    <w:rsid w:val="00B93141"/>
    <w:rsid w:val="00B935A8"/>
    <w:rsid w:val="00B942E1"/>
    <w:rsid w:val="00BA4126"/>
    <w:rsid w:val="00BA601D"/>
    <w:rsid w:val="00BB383F"/>
    <w:rsid w:val="00BB407D"/>
    <w:rsid w:val="00BB43BC"/>
    <w:rsid w:val="00BC02C7"/>
    <w:rsid w:val="00BC101A"/>
    <w:rsid w:val="00BC4188"/>
    <w:rsid w:val="00BC43E5"/>
    <w:rsid w:val="00BD081F"/>
    <w:rsid w:val="00BD0EAD"/>
    <w:rsid w:val="00BD5724"/>
    <w:rsid w:val="00BD65AD"/>
    <w:rsid w:val="00BD7708"/>
    <w:rsid w:val="00BE069C"/>
    <w:rsid w:val="00BE1DC7"/>
    <w:rsid w:val="00BE2E2D"/>
    <w:rsid w:val="00BE3517"/>
    <w:rsid w:val="00BE4557"/>
    <w:rsid w:val="00BE5936"/>
    <w:rsid w:val="00BF0C5A"/>
    <w:rsid w:val="00BF1818"/>
    <w:rsid w:val="00BF3DBA"/>
    <w:rsid w:val="00BF3ED1"/>
    <w:rsid w:val="00BF4594"/>
    <w:rsid w:val="00BF64A9"/>
    <w:rsid w:val="00BF691C"/>
    <w:rsid w:val="00C00C1C"/>
    <w:rsid w:val="00C02123"/>
    <w:rsid w:val="00C0454B"/>
    <w:rsid w:val="00C05929"/>
    <w:rsid w:val="00C06339"/>
    <w:rsid w:val="00C07D89"/>
    <w:rsid w:val="00C07D8B"/>
    <w:rsid w:val="00C11152"/>
    <w:rsid w:val="00C1195C"/>
    <w:rsid w:val="00C16EC1"/>
    <w:rsid w:val="00C172D5"/>
    <w:rsid w:val="00C2472B"/>
    <w:rsid w:val="00C257C1"/>
    <w:rsid w:val="00C30E3C"/>
    <w:rsid w:val="00C3296C"/>
    <w:rsid w:val="00C3573B"/>
    <w:rsid w:val="00C4076A"/>
    <w:rsid w:val="00C44913"/>
    <w:rsid w:val="00C4779A"/>
    <w:rsid w:val="00C5087B"/>
    <w:rsid w:val="00C54BBA"/>
    <w:rsid w:val="00C558C3"/>
    <w:rsid w:val="00C57071"/>
    <w:rsid w:val="00C60383"/>
    <w:rsid w:val="00C629D8"/>
    <w:rsid w:val="00C63D9D"/>
    <w:rsid w:val="00C64AC6"/>
    <w:rsid w:val="00C66C1C"/>
    <w:rsid w:val="00C679DD"/>
    <w:rsid w:val="00C71D4D"/>
    <w:rsid w:val="00C7235E"/>
    <w:rsid w:val="00C74703"/>
    <w:rsid w:val="00C74995"/>
    <w:rsid w:val="00C76E94"/>
    <w:rsid w:val="00C77830"/>
    <w:rsid w:val="00C80EC3"/>
    <w:rsid w:val="00C82E85"/>
    <w:rsid w:val="00C82EDA"/>
    <w:rsid w:val="00C83E29"/>
    <w:rsid w:val="00C87581"/>
    <w:rsid w:val="00C87D6B"/>
    <w:rsid w:val="00C9123F"/>
    <w:rsid w:val="00C917D7"/>
    <w:rsid w:val="00C91A6A"/>
    <w:rsid w:val="00C91C9F"/>
    <w:rsid w:val="00C9322F"/>
    <w:rsid w:val="00C94C58"/>
    <w:rsid w:val="00C95D9D"/>
    <w:rsid w:val="00C97A13"/>
    <w:rsid w:val="00CA0FB4"/>
    <w:rsid w:val="00CA2FFA"/>
    <w:rsid w:val="00CA43FC"/>
    <w:rsid w:val="00CB3908"/>
    <w:rsid w:val="00CB52EC"/>
    <w:rsid w:val="00CB78F6"/>
    <w:rsid w:val="00CC0C46"/>
    <w:rsid w:val="00CC0E89"/>
    <w:rsid w:val="00CC1028"/>
    <w:rsid w:val="00CC16EF"/>
    <w:rsid w:val="00CC2D35"/>
    <w:rsid w:val="00CC4CCA"/>
    <w:rsid w:val="00CC6D7F"/>
    <w:rsid w:val="00CD0FA2"/>
    <w:rsid w:val="00CD1016"/>
    <w:rsid w:val="00CD42DE"/>
    <w:rsid w:val="00CD595A"/>
    <w:rsid w:val="00CD6710"/>
    <w:rsid w:val="00CD74C1"/>
    <w:rsid w:val="00CE1E8B"/>
    <w:rsid w:val="00CE5764"/>
    <w:rsid w:val="00CE6663"/>
    <w:rsid w:val="00CE72D1"/>
    <w:rsid w:val="00CE7303"/>
    <w:rsid w:val="00CE7E37"/>
    <w:rsid w:val="00CF301B"/>
    <w:rsid w:val="00CF38C9"/>
    <w:rsid w:val="00CF6482"/>
    <w:rsid w:val="00D00291"/>
    <w:rsid w:val="00D01FDE"/>
    <w:rsid w:val="00D03FEE"/>
    <w:rsid w:val="00D05106"/>
    <w:rsid w:val="00D067C5"/>
    <w:rsid w:val="00D109D3"/>
    <w:rsid w:val="00D11106"/>
    <w:rsid w:val="00D13DD7"/>
    <w:rsid w:val="00D14143"/>
    <w:rsid w:val="00D2228B"/>
    <w:rsid w:val="00D23271"/>
    <w:rsid w:val="00D2343F"/>
    <w:rsid w:val="00D23A46"/>
    <w:rsid w:val="00D23BD3"/>
    <w:rsid w:val="00D248D5"/>
    <w:rsid w:val="00D266DC"/>
    <w:rsid w:val="00D26C41"/>
    <w:rsid w:val="00D30AAE"/>
    <w:rsid w:val="00D35702"/>
    <w:rsid w:val="00D3733A"/>
    <w:rsid w:val="00D37CD6"/>
    <w:rsid w:val="00D37F91"/>
    <w:rsid w:val="00D43CEA"/>
    <w:rsid w:val="00D50509"/>
    <w:rsid w:val="00D512D2"/>
    <w:rsid w:val="00D53494"/>
    <w:rsid w:val="00D53EAB"/>
    <w:rsid w:val="00D545CD"/>
    <w:rsid w:val="00D54C53"/>
    <w:rsid w:val="00D56BFF"/>
    <w:rsid w:val="00D613AA"/>
    <w:rsid w:val="00D615A8"/>
    <w:rsid w:val="00D64DAE"/>
    <w:rsid w:val="00D651DA"/>
    <w:rsid w:val="00D6607D"/>
    <w:rsid w:val="00D731CE"/>
    <w:rsid w:val="00D7478F"/>
    <w:rsid w:val="00D74D50"/>
    <w:rsid w:val="00D75D57"/>
    <w:rsid w:val="00D804CA"/>
    <w:rsid w:val="00D820BC"/>
    <w:rsid w:val="00D8298C"/>
    <w:rsid w:val="00D833EC"/>
    <w:rsid w:val="00D87267"/>
    <w:rsid w:val="00D91855"/>
    <w:rsid w:val="00D93397"/>
    <w:rsid w:val="00D9381B"/>
    <w:rsid w:val="00D9414C"/>
    <w:rsid w:val="00D9494D"/>
    <w:rsid w:val="00D96B73"/>
    <w:rsid w:val="00DA178C"/>
    <w:rsid w:val="00DA2DE0"/>
    <w:rsid w:val="00DA4C36"/>
    <w:rsid w:val="00DA53BF"/>
    <w:rsid w:val="00DA5A6A"/>
    <w:rsid w:val="00DA676E"/>
    <w:rsid w:val="00DA7B77"/>
    <w:rsid w:val="00DB1D55"/>
    <w:rsid w:val="00DB33C8"/>
    <w:rsid w:val="00DB50BA"/>
    <w:rsid w:val="00DC036E"/>
    <w:rsid w:val="00DC0B86"/>
    <w:rsid w:val="00DC236A"/>
    <w:rsid w:val="00DC259A"/>
    <w:rsid w:val="00DC6C01"/>
    <w:rsid w:val="00DD1BC9"/>
    <w:rsid w:val="00DD206F"/>
    <w:rsid w:val="00DD57B5"/>
    <w:rsid w:val="00DD5D31"/>
    <w:rsid w:val="00DD5FE0"/>
    <w:rsid w:val="00DD632C"/>
    <w:rsid w:val="00DD775A"/>
    <w:rsid w:val="00DE2739"/>
    <w:rsid w:val="00DE3482"/>
    <w:rsid w:val="00DE4B48"/>
    <w:rsid w:val="00DE50E7"/>
    <w:rsid w:val="00DF07AB"/>
    <w:rsid w:val="00DF0AE2"/>
    <w:rsid w:val="00DF11FE"/>
    <w:rsid w:val="00DF258F"/>
    <w:rsid w:val="00DF2FEB"/>
    <w:rsid w:val="00DF5C22"/>
    <w:rsid w:val="00DF5F88"/>
    <w:rsid w:val="00E0022C"/>
    <w:rsid w:val="00E00B52"/>
    <w:rsid w:val="00E0183F"/>
    <w:rsid w:val="00E02927"/>
    <w:rsid w:val="00E165FF"/>
    <w:rsid w:val="00E21AC3"/>
    <w:rsid w:val="00E22C24"/>
    <w:rsid w:val="00E22E52"/>
    <w:rsid w:val="00E256C3"/>
    <w:rsid w:val="00E25996"/>
    <w:rsid w:val="00E25A08"/>
    <w:rsid w:val="00E276C3"/>
    <w:rsid w:val="00E27DCB"/>
    <w:rsid w:val="00E30C6E"/>
    <w:rsid w:val="00E32107"/>
    <w:rsid w:val="00E32D7E"/>
    <w:rsid w:val="00E3474E"/>
    <w:rsid w:val="00E402CF"/>
    <w:rsid w:val="00E4133C"/>
    <w:rsid w:val="00E4135F"/>
    <w:rsid w:val="00E422C0"/>
    <w:rsid w:val="00E42AA1"/>
    <w:rsid w:val="00E45ADE"/>
    <w:rsid w:val="00E461E2"/>
    <w:rsid w:val="00E50432"/>
    <w:rsid w:val="00E51A78"/>
    <w:rsid w:val="00E5534A"/>
    <w:rsid w:val="00E5608E"/>
    <w:rsid w:val="00E5627A"/>
    <w:rsid w:val="00E5650E"/>
    <w:rsid w:val="00E60AF2"/>
    <w:rsid w:val="00E60F52"/>
    <w:rsid w:val="00E63ED4"/>
    <w:rsid w:val="00E651B5"/>
    <w:rsid w:val="00E6523A"/>
    <w:rsid w:val="00E70857"/>
    <w:rsid w:val="00E751BE"/>
    <w:rsid w:val="00E81625"/>
    <w:rsid w:val="00E81AA7"/>
    <w:rsid w:val="00E8271D"/>
    <w:rsid w:val="00E857C7"/>
    <w:rsid w:val="00E87EF6"/>
    <w:rsid w:val="00E90178"/>
    <w:rsid w:val="00E92C41"/>
    <w:rsid w:val="00EA1A17"/>
    <w:rsid w:val="00EA3148"/>
    <w:rsid w:val="00EA463F"/>
    <w:rsid w:val="00EA51D1"/>
    <w:rsid w:val="00EA66A5"/>
    <w:rsid w:val="00EA693A"/>
    <w:rsid w:val="00EB1FAD"/>
    <w:rsid w:val="00EB279C"/>
    <w:rsid w:val="00EB3F17"/>
    <w:rsid w:val="00EB4610"/>
    <w:rsid w:val="00EB606A"/>
    <w:rsid w:val="00EB6B3C"/>
    <w:rsid w:val="00EC2E29"/>
    <w:rsid w:val="00EC2F18"/>
    <w:rsid w:val="00EC3244"/>
    <w:rsid w:val="00EC4209"/>
    <w:rsid w:val="00EC4A67"/>
    <w:rsid w:val="00EC4B44"/>
    <w:rsid w:val="00EC4D07"/>
    <w:rsid w:val="00EC59A7"/>
    <w:rsid w:val="00ED036D"/>
    <w:rsid w:val="00ED05C2"/>
    <w:rsid w:val="00ED3C95"/>
    <w:rsid w:val="00ED5DFA"/>
    <w:rsid w:val="00ED7999"/>
    <w:rsid w:val="00EE6241"/>
    <w:rsid w:val="00EE624C"/>
    <w:rsid w:val="00EE6B74"/>
    <w:rsid w:val="00EE7E02"/>
    <w:rsid w:val="00EF1192"/>
    <w:rsid w:val="00EF77D8"/>
    <w:rsid w:val="00EF7BC5"/>
    <w:rsid w:val="00F01FFF"/>
    <w:rsid w:val="00F02F58"/>
    <w:rsid w:val="00F10633"/>
    <w:rsid w:val="00F1236E"/>
    <w:rsid w:val="00F12CAF"/>
    <w:rsid w:val="00F12F89"/>
    <w:rsid w:val="00F13255"/>
    <w:rsid w:val="00F20B34"/>
    <w:rsid w:val="00F21813"/>
    <w:rsid w:val="00F22C75"/>
    <w:rsid w:val="00F256DF"/>
    <w:rsid w:val="00F25C79"/>
    <w:rsid w:val="00F26FEF"/>
    <w:rsid w:val="00F3021A"/>
    <w:rsid w:val="00F315B0"/>
    <w:rsid w:val="00F32DBB"/>
    <w:rsid w:val="00F34CCA"/>
    <w:rsid w:val="00F41914"/>
    <w:rsid w:val="00F42011"/>
    <w:rsid w:val="00F4541E"/>
    <w:rsid w:val="00F458C6"/>
    <w:rsid w:val="00F47B17"/>
    <w:rsid w:val="00F518E1"/>
    <w:rsid w:val="00F51F60"/>
    <w:rsid w:val="00F529E3"/>
    <w:rsid w:val="00F52B4E"/>
    <w:rsid w:val="00F53613"/>
    <w:rsid w:val="00F536FD"/>
    <w:rsid w:val="00F53E27"/>
    <w:rsid w:val="00F57F5A"/>
    <w:rsid w:val="00F6120E"/>
    <w:rsid w:val="00F6162C"/>
    <w:rsid w:val="00F676C1"/>
    <w:rsid w:val="00F70B0D"/>
    <w:rsid w:val="00F719D0"/>
    <w:rsid w:val="00F722B5"/>
    <w:rsid w:val="00F72BA0"/>
    <w:rsid w:val="00F72DD2"/>
    <w:rsid w:val="00F74507"/>
    <w:rsid w:val="00F75AEE"/>
    <w:rsid w:val="00F77712"/>
    <w:rsid w:val="00F77FF3"/>
    <w:rsid w:val="00F805C7"/>
    <w:rsid w:val="00F81A2B"/>
    <w:rsid w:val="00F81FDC"/>
    <w:rsid w:val="00F820DA"/>
    <w:rsid w:val="00F825ED"/>
    <w:rsid w:val="00F832EC"/>
    <w:rsid w:val="00F85A11"/>
    <w:rsid w:val="00F87748"/>
    <w:rsid w:val="00F90003"/>
    <w:rsid w:val="00F90D1C"/>
    <w:rsid w:val="00F92973"/>
    <w:rsid w:val="00F92A63"/>
    <w:rsid w:val="00F966A2"/>
    <w:rsid w:val="00FA13B7"/>
    <w:rsid w:val="00FA1F1C"/>
    <w:rsid w:val="00FA2387"/>
    <w:rsid w:val="00FA3D1D"/>
    <w:rsid w:val="00FA5B8F"/>
    <w:rsid w:val="00FA6EDA"/>
    <w:rsid w:val="00FA7F41"/>
    <w:rsid w:val="00FB0DCF"/>
    <w:rsid w:val="00FB2084"/>
    <w:rsid w:val="00FB2923"/>
    <w:rsid w:val="00FB2A45"/>
    <w:rsid w:val="00FB4797"/>
    <w:rsid w:val="00FB56D2"/>
    <w:rsid w:val="00FB66DD"/>
    <w:rsid w:val="00FB68C9"/>
    <w:rsid w:val="00FB6A3D"/>
    <w:rsid w:val="00FB75A0"/>
    <w:rsid w:val="00FC1065"/>
    <w:rsid w:val="00FC329D"/>
    <w:rsid w:val="00FC38B1"/>
    <w:rsid w:val="00FC436D"/>
    <w:rsid w:val="00FC4711"/>
    <w:rsid w:val="00FC5E99"/>
    <w:rsid w:val="00FD11B1"/>
    <w:rsid w:val="00FD2F99"/>
    <w:rsid w:val="00FD32D9"/>
    <w:rsid w:val="00FD3DE5"/>
    <w:rsid w:val="00FD4F26"/>
    <w:rsid w:val="00FD62F2"/>
    <w:rsid w:val="00FD6534"/>
    <w:rsid w:val="00FD765F"/>
    <w:rsid w:val="00FE1FEF"/>
    <w:rsid w:val="00FE22D2"/>
    <w:rsid w:val="00FE3833"/>
    <w:rsid w:val="00FE4174"/>
    <w:rsid w:val="00FE768C"/>
    <w:rsid w:val="00FE78A7"/>
    <w:rsid w:val="00FF0831"/>
    <w:rsid w:val="00FF2067"/>
    <w:rsid w:val="00FF2481"/>
    <w:rsid w:val="00FF2866"/>
    <w:rsid w:val="00FF299A"/>
    <w:rsid w:val="00FF329A"/>
    <w:rsid w:val="00FF3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178F67"/>
  <w14:defaultImageDpi w14:val="300"/>
  <w15:chartTrackingRefBased/>
  <w15:docId w15:val="{9898053B-8CCB-43EB-9074-88E682FF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character" w:styleId="CommentReference">
    <w:name w:val="annotation reference"/>
    <w:basedOn w:val="DefaultParagraphFont"/>
    <w:rsid w:val="00662486"/>
    <w:rPr>
      <w:sz w:val="16"/>
      <w:szCs w:val="16"/>
    </w:rPr>
  </w:style>
  <w:style w:type="paragraph" w:styleId="CommentText">
    <w:name w:val="annotation text"/>
    <w:basedOn w:val="Normal"/>
    <w:link w:val="CommentTextChar"/>
    <w:rsid w:val="00662486"/>
    <w:rPr>
      <w:sz w:val="20"/>
      <w:szCs w:val="20"/>
    </w:rPr>
  </w:style>
  <w:style w:type="character" w:customStyle="1" w:styleId="CommentTextChar">
    <w:name w:val="Comment Text Char"/>
    <w:basedOn w:val="DefaultParagraphFont"/>
    <w:link w:val="CommentText"/>
    <w:rsid w:val="00662486"/>
  </w:style>
  <w:style w:type="paragraph" w:styleId="CommentSubject">
    <w:name w:val="annotation subject"/>
    <w:basedOn w:val="CommentText"/>
    <w:next w:val="CommentText"/>
    <w:link w:val="CommentSubjectChar"/>
    <w:rsid w:val="00662486"/>
    <w:rPr>
      <w:b/>
      <w:bCs/>
    </w:rPr>
  </w:style>
  <w:style w:type="character" w:customStyle="1" w:styleId="CommentSubjectChar">
    <w:name w:val="Comment Subject Char"/>
    <w:basedOn w:val="CommentTextChar"/>
    <w:link w:val="CommentSubject"/>
    <w:rsid w:val="00662486"/>
    <w:rPr>
      <w:b/>
      <w:bCs/>
    </w:rPr>
  </w:style>
  <w:style w:type="paragraph" w:styleId="ListParagraph">
    <w:name w:val="List Paragraph"/>
    <w:basedOn w:val="Normal"/>
    <w:uiPriority w:val="72"/>
    <w:qFormat/>
    <w:rsid w:val="00662486"/>
    <w:pPr>
      <w:ind w:left="720"/>
      <w:contextualSpacing/>
    </w:pPr>
  </w:style>
  <w:style w:type="paragraph" w:customStyle="1" w:styleId="ParaLevel1">
    <w:name w:val="ParaLevel1"/>
    <w:basedOn w:val="Normal"/>
    <w:rsid w:val="00A376ED"/>
    <w:pPr>
      <w:numPr>
        <w:numId w:val="9"/>
      </w:numPr>
      <w:suppressAutoHyphens/>
      <w:spacing w:after="520" w:line="480" w:lineRule="auto"/>
      <w:ind w:left="0" w:firstLine="0"/>
      <w:jc w:val="both"/>
      <w:outlineLvl w:val="0"/>
    </w:pPr>
    <w:rPr>
      <w:sz w:val="26"/>
      <w:szCs w:val="20"/>
      <w:lang w:eastAsia="en-US"/>
    </w:rPr>
  </w:style>
  <w:style w:type="paragraph" w:customStyle="1" w:styleId="ParaLevel2">
    <w:name w:val="ParaLevel2"/>
    <w:basedOn w:val="Normal"/>
    <w:rsid w:val="00A376ED"/>
    <w:pPr>
      <w:numPr>
        <w:ilvl w:val="1"/>
        <w:numId w:val="9"/>
      </w:numPr>
      <w:suppressAutoHyphens/>
      <w:spacing w:after="520" w:line="480" w:lineRule="auto"/>
      <w:ind w:left="709" w:firstLine="0"/>
      <w:jc w:val="both"/>
      <w:outlineLvl w:val="1"/>
    </w:pPr>
    <w:rPr>
      <w:sz w:val="26"/>
      <w:szCs w:val="20"/>
      <w:lang w:eastAsia="en-US"/>
    </w:rPr>
  </w:style>
  <w:style w:type="paragraph" w:customStyle="1" w:styleId="ParaLevel3">
    <w:name w:val="ParaLevel3"/>
    <w:basedOn w:val="Normal"/>
    <w:rsid w:val="00A376ED"/>
    <w:pPr>
      <w:numPr>
        <w:ilvl w:val="2"/>
        <w:numId w:val="9"/>
      </w:numPr>
      <w:suppressAutoHyphens/>
      <w:spacing w:after="520" w:line="480" w:lineRule="auto"/>
      <w:ind w:left="1418" w:firstLine="0"/>
      <w:jc w:val="both"/>
      <w:outlineLvl w:val="2"/>
    </w:pPr>
    <w:rPr>
      <w:sz w:val="26"/>
      <w:szCs w:val="20"/>
      <w:lang w:eastAsia="en-US"/>
    </w:rPr>
  </w:style>
  <w:style w:type="paragraph" w:customStyle="1" w:styleId="ParaLevel4">
    <w:name w:val="ParaLevel4"/>
    <w:basedOn w:val="Normal"/>
    <w:rsid w:val="00A376ED"/>
    <w:pPr>
      <w:numPr>
        <w:ilvl w:val="3"/>
        <w:numId w:val="9"/>
      </w:numPr>
      <w:suppressAutoHyphens/>
      <w:spacing w:after="520" w:line="480" w:lineRule="auto"/>
      <w:ind w:left="2127" w:firstLine="0"/>
      <w:jc w:val="both"/>
      <w:outlineLvl w:val="3"/>
    </w:pPr>
    <w:rPr>
      <w:sz w:val="26"/>
      <w:szCs w:val="20"/>
      <w:lang w:eastAsia="en-US"/>
    </w:rPr>
  </w:style>
  <w:style w:type="paragraph" w:customStyle="1" w:styleId="ParaLevel5">
    <w:name w:val="ParaLevel5"/>
    <w:basedOn w:val="Normal"/>
    <w:rsid w:val="00A376ED"/>
    <w:pPr>
      <w:numPr>
        <w:ilvl w:val="4"/>
        <w:numId w:val="9"/>
      </w:numPr>
      <w:suppressAutoHyphens/>
      <w:spacing w:after="520" w:line="480" w:lineRule="auto"/>
      <w:ind w:left="2836" w:firstLine="0"/>
      <w:jc w:val="both"/>
      <w:outlineLvl w:val="4"/>
    </w:pPr>
    <w:rPr>
      <w:sz w:val="26"/>
      <w:szCs w:val="20"/>
      <w:lang w:eastAsia="en-US"/>
    </w:rPr>
  </w:style>
  <w:style w:type="paragraph" w:customStyle="1" w:styleId="ParaLevel6">
    <w:name w:val="ParaLevel6"/>
    <w:basedOn w:val="Normal"/>
    <w:rsid w:val="00A376ED"/>
    <w:pPr>
      <w:numPr>
        <w:ilvl w:val="5"/>
        <w:numId w:val="9"/>
      </w:numPr>
      <w:suppressAutoHyphens/>
      <w:spacing w:after="520" w:line="480" w:lineRule="auto"/>
      <w:ind w:left="3545" w:firstLine="0"/>
      <w:jc w:val="both"/>
      <w:outlineLvl w:val="5"/>
    </w:pPr>
    <w:rPr>
      <w:sz w:val="26"/>
      <w:szCs w:val="20"/>
      <w:lang w:eastAsia="en-US"/>
    </w:rPr>
  </w:style>
  <w:style w:type="paragraph" w:customStyle="1" w:styleId="ParaLevel7">
    <w:name w:val="ParaLevel7"/>
    <w:basedOn w:val="Normal"/>
    <w:rsid w:val="00A376ED"/>
    <w:pPr>
      <w:numPr>
        <w:ilvl w:val="6"/>
        <w:numId w:val="9"/>
      </w:numPr>
      <w:suppressAutoHyphens/>
      <w:spacing w:after="520" w:line="480" w:lineRule="auto"/>
      <w:ind w:left="4254" w:firstLine="0"/>
      <w:jc w:val="both"/>
      <w:outlineLvl w:val="6"/>
    </w:pPr>
    <w:rPr>
      <w:sz w:val="26"/>
      <w:szCs w:val="20"/>
      <w:lang w:eastAsia="en-US"/>
    </w:rPr>
  </w:style>
  <w:style w:type="paragraph" w:customStyle="1" w:styleId="ParaLevel8">
    <w:name w:val="ParaLevel8"/>
    <w:basedOn w:val="Normal"/>
    <w:rsid w:val="00A376ED"/>
    <w:pPr>
      <w:numPr>
        <w:ilvl w:val="7"/>
        <w:numId w:val="9"/>
      </w:numPr>
      <w:suppressAutoHyphens/>
      <w:spacing w:after="520" w:line="480" w:lineRule="auto"/>
      <w:ind w:left="4963" w:firstLine="0"/>
      <w:jc w:val="both"/>
      <w:outlineLvl w:val="7"/>
    </w:pPr>
    <w:rPr>
      <w:sz w:val="26"/>
      <w:szCs w:val="20"/>
      <w:lang w:eastAsia="en-US"/>
    </w:rPr>
  </w:style>
  <w:style w:type="paragraph" w:customStyle="1" w:styleId="ParaLevel9">
    <w:name w:val="ParaLevel9"/>
    <w:basedOn w:val="Normal"/>
    <w:rsid w:val="00A376ED"/>
    <w:pPr>
      <w:numPr>
        <w:ilvl w:val="8"/>
        <w:numId w:val="9"/>
      </w:numPr>
      <w:suppressAutoHyphens/>
      <w:spacing w:after="520" w:line="480" w:lineRule="auto"/>
      <w:ind w:left="5672" w:firstLine="0"/>
      <w:jc w:val="both"/>
      <w:outlineLvl w:val="8"/>
    </w:pPr>
    <w:rPr>
      <w:sz w:val="2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premecourt.uk/decided-cases/index.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2187-0112-4DBD-855D-C61F54D33427}">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140032f5-d6ca-4b4b-bdc9-c30c318b5b30"/>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CD69346-141A-4537-BEBE-23D341E974B3}"/>
</file>

<file path=customXml/itemProps3.xml><?xml version="1.0" encoding="utf-8"?>
<ds:datastoreItem xmlns:ds="http://schemas.openxmlformats.org/officeDocument/2006/customXml" ds:itemID="{D1964D42-5E6A-4E0B-B37D-2D677AF93392}">
  <ds:schemaRefs>
    <ds:schemaRef ds:uri="http://schemas.microsoft.com/sharepoint/v3/contenttype/forms"/>
  </ds:schemaRefs>
</ds:datastoreItem>
</file>

<file path=customXml/itemProps4.xml><?xml version="1.0" encoding="utf-8"?>
<ds:datastoreItem xmlns:ds="http://schemas.openxmlformats.org/officeDocument/2006/customXml" ds:itemID="{195E0ABC-F90F-4E2E-8201-60517728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1182</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Shagang Shipping Company Ltd (in liquidation) (Appellant) v HNA Group Company Ltd (Respondent)</vt:lpstr>
    </vt:vector>
  </TitlesOfParts>
  <Company>The Supreme Court (UKSC)</Company>
  <LinksUpToDate>false</LinksUpToDate>
  <CharactersWithSpaces>7423</CharactersWithSpaces>
  <SharedDoc>false</SharedDoc>
  <HLinks>
    <vt:vector size="6" baseType="variant">
      <vt:variant>
        <vt:i4>655380</vt:i4>
      </vt:variant>
      <vt:variant>
        <vt:i4>0</vt:i4>
      </vt:variant>
      <vt:variant>
        <vt:i4>0</vt:i4>
      </vt:variant>
      <vt:variant>
        <vt:i4>5</vt:i4>
      </vt:variant>
      <vt:variant>
        <vt:lpwstr>http://supremecourt.uk/decided-cases/index.shtml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Shagang Shipping Company Ltd (in liquidation) (Appellant) v HNA Group Company Ltd (Respondent)</dc:title>
  <dc:subject>Judgment delivered on Wednesday 5 August 2020</dc:subject>
  <dc:creator>The Supreme Court (UKSC)</dc:creator>
  <cp:keywords>[2018] EWCA Civ 1732; UKSC 2018/0173; [2020] UKSC 34</cp:keywords>
  <dc:description/>
  <cp:lastModifiedBy>Anita Homji</cp:lastModifiedBy>
  <cp:revision>8</cp:revision>
  <cp:lastPrinted>2020-03-24T14:36:00Z</cp:lastPrinted>
  <dcterms:created xsi:type="dcterms:W3CDTF">2020-07-30T10:57:00Z</dcterms:created>
  <dcterms:modified xsi:type="dcterms:W3CDTF">2020-08-04T06:16:00Z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Shagang Shipping Company Ltd (in liquidation) (Appellant) v HNA Group Company Ltd (Respondent)</vt:lpwstr>
  </property>
  <property fmtid="{D5CDD505-2E9C-101B-9397-08002B2CF9AE}" pid="4" name="HandDownDate">
    <vt:lpwstr>5 August 2020</vt:lpwstr>
  </property>
  <property fmtid="{D5CDD505-2E9C-101B-9397-08002B2CF9AE}" pid="5" name="CaseID">
    <vt:lpwstr>UKSC 2018/0173</vt:lpwstr>
  </property>
  <property fmtid="{D5CDD505-2E9C-101B-9397-08002B2CF9AE}" pid="6" name="NeutralCitationNumber">
    <vt:lpwstr>[2020] UKSC 34</vt:lpwstr>
  </property>
</Properties>
</file>