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C18A4" w14:textId="3471E59B" w:rsidR="00ED05C2" w:rsidRDefault="00E01656" w:rsidP="00ED05C2">
      <w:pPr>
        <w:jc w:val="center"/>
        <w:rPr>
          <w:rFonts w:ascii="Garamond" w:hAnsi="Garamond"/>
        </w:rPr>
      </w:pPr>
      <w:r>
        <w:rPr>
          <w:rFonts w:ascii="Garamond" w:hAnsi="Garamond"/>
          <w:noProof/>
        </w:rPr>
        <w:drawing>
          <wp:inline distT="0" distB="0" distL="0" distR="0" wp14:anchorId="3C203806" wp14:editId="3B9CF7CA">
            <wp:extent cx="1238250" cy="1478280"/>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1478280"/>
                    </a:xfrm>
                    <a:prstGeom prst="rect">
                      <a:avLst/>
                    </a:prstGeom>
                    <a:noFill/>
                    <a:ln>
                      <a:noFill/>
                    </a:ln>
                  </pic:spPr>
                </pic:pic>
              </a:graphicData>
            </a:graphic>
          </wp:inline>
        </w:drawing>
      </w:r>
    </w:p>
    <w:p w14:paraId="4EEA12FC" w14:textId="77777777" w:rsidR="00A16C02" w:rsidRPr="00A97444" w:rsidRDefault="009E78F5" w:rsidP="00A16C02">
      <w:pPr>
        <w:tabs>
          <w:tab w:val="left" w:pos="8285"/>
        </w:tabs>
        <w:jc w:val="right"/>
        <w:rPr>
          <w:rFonts w:ascii="Garamond" w:hAnsi="Garamond"/>
          <w:b/>
        </w:rPr>
      </w:pPr>
      <w:r w:rsidRPr="00A75704">
        <w:rPr>
          <w:rFonts w:ascii="Garamond" w:hAnsi="Garamond"/>
          <w:b/>
        </w:rPr>
        <w:t>14</w:t>
      </w:r>
      <w:r w:rsidR="00D81318" w:rsidRPr="00A75704">
        <w:rPr>
          <w:rFonts w:ascii="Garamond" w:hAnsi="Garamond"/>
          <w:b/>
        </w:rPr>
        <w:t xml:space="preserve"> </w:t>
      </w:r>
      <w:r w:rsidR="00A75704" w:rsidRPr="00A75704">
        <w:rPr>
          <w:rFonts w:ascii="Garamond" w:hAnsi="Garamond"/>
          <w:b/>
        </w:rPr>
        <w:t>June</w:t>
      </w:r>
      <w:r w:rsidR="00D81318" w:rsidRPr="00A75704">
        <w:rPr>
          <w:rFonts w:ascii="Garamond" w:hAnsi="Garamond"/>
          <w:b/>
        </w:rPr>
        <w:t xml:space="preserve"> 202</w:t>
      </w:r>
      <w:r w:rsidR="00EA0F41" w:rsidRPr="00A75704">
        <w:rPr>
          <w:rFonts w:ascii="Garamond" w:hAnsi="Garamond"/>
          <w:b/>
        </w:rPr>
        <w:t>1</w:t>
      </w:r>
    </w:p>
    <w:p w14:paraId="04E72B5C" w14:textId="77777777" w:rsidR="00A16C02" w:rsidRPr="00A97444" w:rsidRDefault="00A16C02" w:rsidP="00A16C02">
      <w:pPr>
        <w:tabs>
          <w:tab w:val="left" w:pos="8285"/>
        </w:tabs>
        <w:jc w:val="center"/>
        <w:rPr>
          <w:rFonts w:ascii="Garamond" w:hAnsi="Garamond"/>
          <w:b/>
        </w:rPr>
      </w:pPr>
      <w:r w:rsidRPr="00A97444">
        <w:rPr>
          <w:rFonts w:ascii="Garamond" w:hAnsi="Garamond"/>
          <w:b/>
        </w:rPr>
        <w:t>PRESS SUMMARY</w:t>
      </w:r>
    </w:p>
    <w:p w14:paraId="33772BC9" w14:textId="77777777" w:rsidR="00A16C02" w:rsidRPr="00A97444" w:rsidRDefault="00A16C02" w:rsidP="00A16C02">
      <w:pPr>
        <w:tabs>
          <w:tab w:val="left" w:pos="8285"/>
        </w:tabs>
        <w:rPr>
          <w:rFonts w:ascii="Garamond" w:hAnsi="Garamond"/>
          <w:b/>
        </w:rPr>
      </w:pPr>
    </w:p>
    <w:p w14:paraId="7DD77CCE" w14:textId="77777777" w:rsidR="00A16C02" w:rsidRPr="00A97444" w:rsidRDefault="001F3BED" w:rsidP="00A16C02">
      <w:pPr>
        <w:tabs>
          <w:tab w:val="left" w:pos="8285"/>
        </w:tabs>
        <w:rPr>
          <w:rFonts w:ascii="Garamond" w:hAnsi="Garamond"/>
          <w:b/>
        </w:rPr>
      </w:pPr>
      <w:r>
        <w:rPr>
          <w:rFonts w:ascii="Garamond" w:hAnsi="Garamond"/>
          <w:b/>
        </w:rPr>
        <w:t>Betamax Ltd</w:t>
      </w:r>
      <w:r w:rsidR="0019538F" w:rsidRPr="0019538F">
        <w:rPr>
          <w:rFonts w:ascii="Garamond" w:hAnsi="Garamond"/>
          <w:b/>
        </w:rPr>
        <w:t xml:space="preserve"> (</w:t>
      </w:r>
      <w:r>
        <w:rPr>
          <w:rFonts w:ascii="Garamond" w:hAnsi="Garamond"/>
          <w:b/>
        </w:rPr>
        <w:t>Appellant</w:t>
      </w:r>
      <w:r w:rsidR="0019538F" w:rsidRPr="0019538F">
        <w:rPr>
          <w:rFonts w:ascii="Garamond" w:hAnsi="Garamond"/>
          <w:b/>
        </w:rPr>
        <w:t xml:space="preserve">) v </w:t>
      </w:r>
      <w:r>
        <w:rPr>
          <w:rFonts w:ascii="Garamond" w:hAnsi="Garamond"/>
          <w:b/>
        </w:rPr>
        <w:t>State Trading Corporation</w:t>
      </w:r>
      <w:r w:rsidR="0019538F" w:rsidRPr="0019538F">
        <w:rPr>
          <w:rFonts w:ascii="Garamond" w:hAnsi="Garamond"/>
          <w:b/>
        </w:rPr>
        <w:t xml:space="preserve"> (</w:t>
      </w:r>
      <w:r>
        <w:rPr>
          <w:rFonts w:ascii="Garamond" w:hAnsi="Garamond"/>
          <w:b/>
        </w:rPr>
        <w:t>Respondent</w:t>
      </w:r>
      <w:r w:rsidR="0019538F" w:rsidRPr="0019538F">
        <w:rPr>
          <w:rFonts w:ascii="Garamond" w:hAnsi="Garamond"/>
          <w:b/>
        </w:rPr>
        <w:t xml:space="preserve">) </w:t>
      </w:r>
      <w:r>
        <w:rPr>
          <w:rFonts w:ascii="Garamond" w:hAnsi="Garamond"/>
          <w:b/>
        </w:rPr>
        <w:t xml:space="preserve">(Mauritius) </w:t>
      </w:r>
      <w:r w:rsidR="00AB48FE" w:rsidRPr="00A75704">
        <w:rPr>
          <w:rFonts w:ascii="Garamond" w:hAnsi="Garamond"/>
          <w:b/>
        </w:rPr>
        <w:t>[20</w:t>
      </w:r>
      <w:r w:rsidR="00005177" w:rsidRPr="00A75704">
        <w:rPr>
          <w:rFonts w:ascii="Garamond" w:hAnsi="Garamond"/>
          <w:b/>
        </w:rPr>
        <w:t>2</w:t>
      </w:r>
      <w:r w:rsidR="00EA0F41" w:rsidRPr="00A75704">
        <w:rPr>
          <w:rFonts w:ascii="Garamond" w:hAnsi="Garamond"/>
          <w:b/>
        </w:rPr>
        <w:t>1</w:t>
      </w:r>
      <w:r w:rsidR="00A16C02" w:rsidRPr="00A75704">
        <w:rPr>
          <w:rFonts w:ascii="Garamond" w:hAnsi="Garamond"/>
          <w:b/>
        </w:rPr>
        <w:t>] UK</w:t>
      </w:r>
      <w:r w:rsidR="00F21447" w:rsidRPr="00A75704">
        <w:rPr>
          <w:rFonts w:ascii="Garamond" w:hAnsi="Garamond"/>
          <w:b/>
        </w:rPr>
        <w:t>PC</w:t>
      </w:r>
      <w:r w:rsidR="00A75704" w:rsidRPr="00A75704">
        <w:rPr>
          <w:rFonts w:ascii="Garamond" w:hAnsi="Garamond"/>
          <w:b/>
        </w:rPr>
        <w:t xml:space="preserve"> 14</w:t>
      </w:r>
    </w:p>
    <w:p w14:paraId="4EDBF348" w14:textId="77777777" w:rsidR="00A16C02" w:rsidRPr="00A97444" w:rsidRDefault="001C06D4" w:rsidP="00A16C02">
      <w:pPr>
        <w:tabs>
          <w:tab w:val="left" w:pos="8285"/>
        </w:tabs>
        <w:rPr>
          <w:rFonts w:ascii="Garamond" w:hAnsi="Garamond"/>
          <w:b/>
          <w:i/>
        </w:rPr>
      </w:pPr>
      <w:r>
        <w:rPr>
          <w:rFonts w:ascii="Garamond" w:hAnsi="Garamond"/>
          <w:b/>
          <w:i/>
        </w:rPr>
        <w:t xml:space="preserve">On appeal from </w:t>
      </w:r>
      <w:r w:rsidR="001F3BED">
        <w:rPr>
          <w:rFonts w:ascii="Garamond" w:hAnsi="Garamond"/>
          <w:b/>
          <w:i/>
        </w:rPr>
        <w:t>the Supreme Court of Mauritius</w:t>
      </w:r>
    </w:p>
    <w:p w14:paraId="6710E227" w14:textId="77777777" w:rsidR="00A16C02" w:rsidRDefault="00A16C02" w:rsidP="00A16C02">
      <w:pPr>
        <w:tabs>
          <w:tab w:val="left" w:pos="8285"/>
        </w:tabs>
        <w:rPr>
          <w:rFonts w:ascii="Garamond" w:hAnsi="Garamond"/>
        </w:rPr>
      </w:pPr>
    </w:p>
    <w:p w14:paraId="0DC0D993" w14:textId="77777777" w:rsidR="00A16C02" w:rsidRDefault="00A16C02" w:rsidP="00A16C02">
      <w:pPr>
        <w:tabs>
          <w:tab w:val="left" w:pos="8285"/>
        </w:tabs>
        <w:rPr>
          <w:rFonts w:ascii="Garamond" w:hAnsi="Garamond"/>
        </w:rPr>
      </w:pPr>
      <w:r w:rsidRPr="00A97444">
        <w:rPr>
          <w:rFonts w:ascii="Garamond" w:hAnsi="Garamond"/>
          <w:b/>
        </w:rPr>
        <w:t>JUSTICES</w:t>
      </w:r>
      <w:r>
        <w:rPr>
          <w:rFonts w:ascii="Garamond" w:hAnsi="Garamond"/>
        </w:rPr>
        <w:t xml:space="preserve">: </w:t>
      </w:r>
      <w:r w:rsidR="0019538F">
        <w:rPr>
          <w:rFonts w:ascii="Garamond" w:hAnsi="Garamond"/>
        </w:rPr>
        <w:t xml:space="preserve">Lord Hodge (Deputy President), </w:t>
      </w:r>
      <w:r w:rsidR="001F3BED">
        <w:rPr>
          <w:rFonts w:ascii="Garamond" w:hAnsi="Garamond"/>
        </w:rPr>
        <w:t>Lady Arden</w:t>
      </w:r>
      <w:r w:rsidR="00D81318">
        <w:rPr>
          <w:rFonts w:ascii="Garamond" w:hAnsi="Garamond"/>
        </w:rPr>
        <w:t xml:space="preserve">, </w:t>
      </w:r>
      <w:r w:rsidR="00583404">
        <w:rPr>
          <w:rFonts w:ascii="Garamond" w:hAnsi="Garamond"/>
        </w:rPr>
        <w:t>Lord Leggatt</w:t>
      </w:r>
      <w:r w:rsidR="001F3BED">
        <w:rPr>
          <w:rFonts w:ascii="Garamond" w:hAnsi="Garamond"/>
        </w:rPr>
        <w:t>, Lord Burrows, Lord Thomas</w:t>
      </w:r>
    </w:p>
    <w:p w14:paraId="3A6782FE" w14:textId="77777777" w:rsidR="00937F9E" w:rsidRDefault="00937F9E" w:rsidP="00A16C02">
      <w:pPr>
        <w:tabs>
          <w:tab w:val="left" w:pos="8285"/>
        </w:tabs>
        <w:rPr>
          <w:rFonts w:ascii="Garamond" w:hAnsi="Garamond"/>
          <w:b/>
        </w:rPr>
      </w:pPr>
    </w:p>
    <w:p w14:paraId="301912A8" w14:textId="77777777" w:rsidR="00A16C02" w:rsidRPr="00A97444" w:rsidRDefault="00A16C02" w:rsidP="00A16C02">
      <w:pPr>
        <w:tabs>
          <w:tab w:val="left" w:pos="8285"/>
        </w:tabs>
        <w:rPr>
          <w:rFonts w:ascii="Garamond" w:hAnsi="Garamond"/>
          <w:b/>
        </w:rPr>
      </w:pPr>
      <w:r w:rsidRPr="00A97444">
        <w:rPr>
          <w:rFonts w:ascii="Garamond" w:hAnsi="Garamond"/>
          <w:b/>
        </w:rPr>
        <w:t>BACKGROUND TO THE APPEAL</w:t>
      </w:r>
    </w:p>
    <w:p w14:paraId="4CED7C57" w14:textId="77777777" w:rsidR="00A16C02" w:rsidRDefault="00A16C02" w:rsidP="00A16C02">
      <w:pPr>
        <w:tabs>
          <w:tab w:val="left" w:pos="8285"/>
        </w:tabs>
        <w:rPr>
          <w:rFonts w:ascii="Garamond" w:hAnsi="Garamond"/>
        </w:rPr>
      </w:pPr>
    </w:p>
    <w:p w14:paraId="4DC7F01E" w14:textId="77777777" w:rsidR="00BB2407" w:rsidRDefault="004029C0" w:rsidP="00105D12">
      <w:pPr>
        <w:jc w:val="both"/>
        <w:rPr>
          <w:rFonts w:ascii="Garamond" w:hAnsi="Garamond"/>
        </w:rPr>
      </w:pPr>
      <w:r>
        <w:rPr>
          <w:rFonts w:ascii="Garamond" w:hAnsi="Garamond"/>
        </w:rPr>
        <w:t xml:space="preserve">This appeal concerns </w:t>
      </w:r>
      <w:r w:rsidR="008D2183">
        <w:rPr>
          <w:rFonts w:ascii="Garamond" w:hAnsi="Garamond"/>
        </w:rPr>
        <w:t xml:space="preserve">the extent to which a court can </w:t>
      </w:r>
      <w:r w:rsidR="00E0674C">
        <w:rPr>
          <w:rFonts w:ascii="Garamond" w:hAnsi="Garamond"/>
        </w:rPr>
        <w:t>set aside or refuse</w:t>
      </w:r>
      <w:r w:rsidR="008D2183">
        <w:rPr>
          <w:rFonts w:ascii="Garamond" w:hAnsi="Garamond"/>
        </w:rPr>
        <w:t xml:space="preserve"> to enforce an </w:t>
      </w:r>
      <w:r w:rsidR="00635F5D">
        <w:rPr>
          <w:rFonts w:ascii="Garamond" w:hAnsi="Garamond"/>
        </w:rPr>
        <w:t xml:space="preserve">international </w:t>
      </w:r>
      <w:r w:rsidR="008D2183">
        <w:rPr>
          <w:rFonts w:ascii="Garamond" w:hAnsi="Garamond"/>
        </w:rPr>
        <w:t xml:space="preserve">arbitration award on the basis that it conflicts with the country’s public policy. </w:t>
      </w:r>
      <w:r w:rsidR="00DD0E64">
        <w:rPr>
          <w:rFonts w:ascii="Garamond" w:hAnsi="Garamond"/>
        </w:rPr>
        <w:t xml:space="preserve">The appeal arises under section 39(2)(b)(ii) of Mauritius’ International Arbitration Act 2008, </w:t>
      </w:r>
      <w:r w:rsidR="00B02A20">
        <w:rPr>
          <w:rFonts w:ascii="Garamond" w:hAnsi="Garamond"/>
        </w:rPr>
        <w:t xml:space="preserve">which </w:t>
      </w:r>
      <w:r w:rsidR="00AE2527">
        <w:rPr>
          <w:rFonts w:ascii="Garamond" w:hAnsi="Garamond"/>
        </w:rPr>
        <w:t>is based on</w:t>
      </w:r>
      <w:r w:rsidR="00DD0E64">
        <w:rPr>
          <w:rFonts w:ascii="Garamond" w:hAnsi="Garamond"/>
        </w:rPr>
        <w:t xml:space="preserve"> article 34 of the UNCITRAL Model Arbitration Law. </w:t>
      </w:r>
    </w:p>
    <w:p w14:paraId="0A5398ED" w14:textId="77777777" w:rsidR="008D2183" w:rsidRDefault="008D2183" w:rsidP="00105D12">
      <w:pPr>
        <w:jc w:val="both"/>
        <w:rPr>
          <w:rFonts w:ascii="Garamond" w:hAnsi="Garamond"/>
        </w:rPr>
      </w:pPr>
    </w:p>
    <w:p w14:paraId="441E7066" w14:textId="77777777" w:rsidR="008D2183" w:rsidRDefault="008D2183" w:rsidP="00105D12">
      <w:pPr>
        <w:jc w:val="both"/>
        <w:rPr>
          <w:rFonts w:ascii="Garamond" w:hAnsi="Garamond"/>
        </w:rPr>
      </w:pPr>
      <w:r>
        <w:rPr>
          <w:rFonts w:ascii="Garamond" w:hAnsi="Garamond"/>
        </w:rPr>
        <w:t>The underlying dispute concerns a contract of affreightment (the “</w:t>
      </w:r>
      <w:r>
        <w:rPr>
          <w:rFonts w:ascii="Garamond" w:hAnsi="Garamond"/>
          <w:b/>
          <w:bCs/>
        </w:rPr>
        <w:t>COA</w:t>
      </w:r>
      <w:r>
        <w:rPr>
          <w:rFonts w:ascii="Garamond" w:hAnsi="Garamond"/>
        </w:rPr>
        <w:t xml:space="preserve">”) </w:t>
      </w:r>
      <w:proofErr w:type="gramStart"/>
      <w:r>
        <w:rPr>
          <w:rFonts w:ascii="Garamond" w:hAnsi="Garamond"/>
        </w:rPr>
        <w:t>entered into</w:t>
      </w:r>
      <w:proofErr w:type="gramEnd"/>
      <w:r>
        <w:rPr>
          <w:rFonts w:ascii="Garamond" w:hAnsi="Garamond"/>
        </w:rPr>
        <w:t xml:space="preserve"> on 27 November 2009 between Betamax Ltd (“</w:t>
      </w:r>
      <w:r>
        <w:rPr>
          <w:rFonts w:ascii="Garamond" w:hAnsi="Garamond"/>
          <w:b/>
          <w:bCs/>
        </w:rPr>
        <w:t>Betamax</w:t>
      </w:r>
      <w:r>
        <w:rPr>
          <w:rFonts w:ascii="Garamond" w:hAnsi="Garamond"/>
        </w:rPr>
        <w:t>”, a Mauritian company) and State Trading Corporation (“</w:t>
      </w:r>
      <w:r>
        <w:rPr>
          <w:rFonts w:ascii="Garamond" w:hAnsi="Garamond"/>
          <w:b/>
          <w:bCs/>
        </w:rPr>
        <w:t>STC</w:t>
      </w:r>
      <w:r>
        <w:rPr>
          <w:rFonts w:ascii="Garamond" w:hAnsi="Garamond"/>
        </w:rPr>
        <w:t>”, a public company responsible for the import of essential commodities in Mauritius</w:t>
      </w:r>
      <w:r w:rsidR="005A1122">
        <w:rPr>
          <w:rFonts w:ascii="Garamond" w:hAnsi="Garamond"/>
        </w:rPr>
        <w:t>)</w:t>
      </w:r>
      <w:r>
        <w:rPr>
          <w:rFonts w:ascii="Garamond" w:hAnsi="Garamond"/>
        </w:rPr>
        <w:t>. Under the COA, Betamax agreed to build and operate a tanker and use it to transport STC’s petroleum products from India to Mauritius. The COA was governed by the laws of the Republic of Mauritius</w:t>
      </w:r>
      <w:r w:rsidR="00DD4B7F">
        <w:rPr>
          <w:rFonts w:ascii="Garamond" w:hAnsi="Garamond"/>
        </w:rPr>
        <w:t xml:space="preserve"> and</w:t>
      </w:r>
      <w:r w:rsidR="00D61312">
        <w:rPr>
          <w:rFonts w:ascii="Garamond" w:hAnsi="Garamond"/>
        </w:rPr>
        <w:t xml:space="preserve"> provided for arbitration under the Singapore International Arbitration Centre Rules</w:t>
      </w:r>
      <w:r w:rsidR="00DD4B7F">
        <w:rPr>
          <w:rFonts w:ascii="Garamond" w:hAnsi="Garamond"/>
        </w:rPr>
        <w:t xml:space="preserve">. </w:t>
      </w:r>
      <w:r w:rsidR="001E38F1">
        <w:rPr>
          <w:rFonts w:ascii="Garamond" w:hAnsi="Garamond"/>
        </w:rPr>
        <w:t>On</w:t>
      </w:r>
      <w:r>
        <w:rPr>
          <w:rFonts w:ascii="Garamond" w:hAnsi="Garamond"/>
        </w:rPr>
        <w:t xml:space="preserve"> 30 January 2015, a new Government in Mauritius announced that it would terminate the COA on the basis that the award of the contract was in breach of </w:t>
      </w:r>
      <w:r w:rsidR="008C3192">
        <w:rPr>
          <w:rFonts w:ascii="Garamond" w:hAnsi="Garamond"/>
        </w:rPr>
        <w:t xml:space="preserve">the Public Procurement Act 2006 </w:t>
      </w:r>
      <w:r w:rsidR="00BE10F6">
        <w:rPr>
          <w:rFonts w:ascii="Garamond" w:hAnsi="Garamond"/>
        </w:rPr>
        <w:t>(the “</w:t>
      </w:r>
      <w:r w:rsidR="00BE10F6">
        <w:rPr>
          <w:rFonts w:ascii="Garamond" w:hAnsi="Garamond"/>
          <w:b/>
          <w:bCs/>
        </w:rPr>
        <w:t>PP Act</w:t>
      </w:r>
      <w:r w:rsidR="00BE10F6">
        <w:rPr>
          <w:rFonts w:ascii="Garamond" w:hAnsi="Garamond"/>
        </w:rPr>
        <w:t xml:space="preserve">”) </w:t>
      </w:r>
      <w:r w:rsidR="008C3192">
        <w:rPr>
          <w:rFonts w:ascii="Garamond" w:hAnsi="Garamond"/>
        </w:rPr>
        <w:t>and the Public Procurement Regulations 2008</w:t>
      </w:r>
      <w:r w:rsidR="00BE10F6">
        <w:rPr>
          <w:rFonts w:ascii="Garamond" w:hAnsi="Garamond"/>
        </w:rPr>
        <w:t xml:space="preserve"> (the “</w:t>
      </w:r>
      <w:r w:rsidR="00BE10F6">
        <w:rPr>
          <w:rFonts w:ascii="Garamond" w:hAnsi="Garamond"/>
          <w:b/>
          <w:bCs/>
        </w:rPr>
        <w:t>PP Regulations</w:t>
      </w:r>
      <w:r w:rsidR="00BE10F6">
        <w:rPr>
          <w:rFonts w:ascii="Garamond" w:hAnsi="Garamond"/>
        </w:rPr>
        <w:t>”)</w:t>
      </w:r>
      <w:r w:rsidR="008C3192">
        <w:rPr>
          <w:rFonts w:ascii="Garamond" w:hAnsi="Garamond"/>
        </w:rPr>
        <w:t xml:space="preserve">. </w:t>
      </w:r>
      <w:r>
        <w:rPr>
          <w:rFonts w:ascii="Garamond" w:hAnsi="Garamond"/>
        </w:rPr>
        <w:t xml:space="preserve"> </w:t>
      </w:r>
    </w:p>
    <w:p w14:paraId="5ECACAA6" w14:textId="77777777" w:rsidR="009D5ABB" w:rsidRDefault="009D5ABB" w:rsidP="00105D12">
      <w:pPr>
        <w:jc w:val="both"/>
        <w:rPr>
          <w:rFonts w:ascii="Garamond" w:hAnsi="Garamond"/>
        </w:rPr>
      </w:pPr>
    </w:p>
    <w:p w14:paraId="24CD3B17" w14:textId="77777777" w:rsidR="009D5ABB" w:rsidRDefault="009D5ABB" w:rsidP="00105D12">
      <w:pPr>
        <w:jc w:val="both"/>
        <w:rPr>
          <w:rFonts w:ascii="Garamond" w:hAnsi="Garamond"/>
        </w:rPr>
      </w:pPr>
      <w:r>
        <w:rPr>
          <w:rFonts w:ascii="Garamond" w:hAnsi="Garamond"/>
        </w:rPr>
        <w:t xml:space="preserve">On 15 May 2015, Betamax filed a notice of arbitration against STC, claiming damages for breach of the COA. STC objected </w:t>
      </w:r>
      <w:r w:rsidR="000F7176">
        <w:rPr>
          <w:rFonts w:ascii="Garamond" w:hAnsi="Garamond"/>
        </w:rPr>
        <w:t>on various grounds,</w:t>
      </w:r>
      <w:r>
        <w:rPr>
          <w:rFonts w:ascii="Garamond" w:hAnsi="Garamond"/>
        </w:rPr>
        <w:t xml:space="preserve"> including that the COA breached Mauritian public procurement laws and was therefore illegal and unenforceable. The arbitrator</w:t>
      </w:r>
      <w:r w:rsidR="00775C35">
        <w:rPr>
          <w:rFonts w:ascii="Garamond" w:hAnsi="Garamond"/>
        </w:rPr>
        <w:t xml:space="preserve"> </w:t>
      </w:r>
      <w:r>
        <w:rPr>
          <w:rFonts w:ascii="Garamond" w:hAnsi="Garamond"/>
        </w:rPr>
        <w:t xml:space="preserve">disagreed </w:t>
      </w:r>
      <w:r w:rsidR="00775C35">
        <w:rPr>
          <w:rFonts w:ascii="Garamond" w:hAnsi="Garamond"/>
        </w:rPr>
        <w:t xml:space="preserve">with STC </w:t>
      </w:r>
      <w:r>
        <w:rPr>
          <w:rFonts w:ascii="Garamond" w:hAnsi="Garamond"/>
        </w:rPr>
        <w:t>and made an award in favour of Betamax on 5 June 2017 (the “</w:t>
      </w:r>
      <w:r>
        <w:rPr>
          <w:rFonts w:ascii="Garamond" w:hAnsi="Garamond"/>
          <w:b/>
          <w:bCs/>
        </w:rPr>
        <w:t>Award</w:t>
      </w:r>
      <w:r>
        <w:rPr>
          <w:rFonts w:ascii="Garamond" w:hAnsi="Garamond"/>
        </w:rPr>
        <w:t>”), which determined</w:t>
      </w:r>
      <w:r w:rsidR="00B02A20">
        <w:rPr>
          <w:rFonts w:ascii="Garamond" w:hAnsi="Garamond"/>
        </w:rPr>
        <w:t xml:space="preserve"> that</w:t>
      </w:r>
      <w:r w:rsidR="00071664">
        <w:rPr>
          <w:rFonts w:ascii="Garamond" w:hAnsi="Garamond"/>
        </w:rPr>
        <w:t xml:space="preserve"> </w:t>
      </w:r>
      <w:r w:rsidR="00546335">
        <w:rPr>
          <w:rFonts w:ascii="Garamond" w:hAnsi="Garamond"/>
        </w:rPr>
        <w:t>the COA was not</w:t>
      </w:r>
      <w:r w:rsidR="00CD1274">
        <w:rPr>
          <w:rFonts w:ascii="Garamond" w:hAnsi="Garamond"/>
        </w:rPr>
        <w:t xml:space="preserve"> made</w:t>
      </w:r>
      <w:r w:rsidR="00546335">
        <w:rPr>
          <w:rFonts w:ascii="Garamond" w:hAnsi="Garamond"/>
        </w:rPr>
        <w:t xml:space="preserve"> in breach of the Mauritian public procurement laws</w:t>
      </w:r>
      <w:r w:rsidR="00B02A20">
        <w:rPr>
          <w:rFonts w:ascii="Garamond" w:hAnsi="Garamond"/>
        </w:rPr>
        <w:t xml:space="preserve"> and Betamax was entitled to USD 115.3m in damages.</w:t>
      </w:r>
    </w:p>
    <w:p w14:paraId="7060B3B3" w14:textId="77777777" w:rsidR="00546335" w:rsidRDefault="00546335" w:rsidP="00105D12">
      <w:pPr>
        <w:jc w:val="both"/>
        <w:rPr>
          <w:rFonts w:ascii="Garamond" w:hAnsi="Garamond"/>
        </w:rPr>
      </w:pPr>
    </w:p>
    <w:p w14:paraId="48DACBC5" w14:textId="77777777" w:rsidR="00667762" w:rsidRDefault="0010418F" w:rsidP="00105D12">
      <w:pPr>
        <w:jc w:val="both"/>
        <w:rPr>
          <w:rFonts w:ascii="Garamond" w:hAnsi="Garamond"/>
        </w:rPr>
      </w:pPr>
      <w:r>
        <w:rPr>
          <w:rFonts w:ascii="Garamond" w:hAnsi="Garamond"/>
        </w:rPr>
        <w:t xml:space="preserve">Following the Award, both parties applied </w:t>
      </w:r>
      <w:r w:rsidR="00546335">
        <w:rPr>
          <w:rFonts w:ascii="Garamond" w:hAnsi="Garamond"/>
        </w:rPr>
        <w:t>to the Supreme Court of Mauritius</w:t>
      </w:r>
      <w:r w:rsidR="00492E12">
        <w:rPr>
          <w:rFonts w:ascii="Garamond" w:hAnsi="Garamond"/>
        </w:rPr>
        <w:t xml:space="preserve"> (the “</w:t>
      </w:r>
      <w:r w:rsidR="00492E12">
        <w:rPr>
          <w:rFonts w:ascii="Garamond" w:hAnsi="Garamond"/>
          <w:b/>
          <w:bCs/>
        </w:rPr>
        <w:t>Supreme Court</w:t>
      </w:r>
      <w:r w:rsidR="00492E12">
        <w:rPr>
          <w:rFonts w:ascii="Garamond" w:hAnsi="Garamond"/>
        </w:rPr>
        <w:t>”)</w:t>
      </w:r>
      <w:r>
        <w:rPr>
          <w:rFonts w:ascii="Garamond" w:hAnsi="Garamond"/>
        </w:rPr>
        <w:t xml:space="preserve">: Betamax </w:t>
      </w:r>
      <w:r w:rsidR="00546335">
        <w:rPr>
          <w:rFonts w:ascii="Garamond" w:hAnsi="Garamond"/>
        </w:rPr>
        <w:t>to enforce the Award</w:t>
      </w:r>
      <w:r>
        <w:rPr>
          <w:rFonts w:ascii="Garamond" w:hAnsi="Garamond"/>
        </w:rPr>
        <w:t xml:space="preserve">; </w:t>
      </w:r>
      <w:r w:rsidR="00546335">
        <w:rPr>
          <w:rFonts w:ascii="Garamond" w:hAnsi="Garamond"/>
        </w:rPr>
        <w:t>STC to set aside the Award</w:t>
      </w:r>
      <w:r w:rsidR="000E15C7">
        <w:rPr>
          <w:rFonts w:ascii="Garamond" w:hAnsi="Garamond"/>
        </w:rPr>
        <w:t xml:space="preserve"> for </w:t>
      </w:r>
      <w:r w:rsidR="000F7176">
        <w:rPr>
          <w:rFonts w:ascii="Garamond" w:hAnsi="Garamond"/>
        </w:rPr>
        <w:t>several</w:t>
      </w:r>
      <w:r w:rsidR="000E15C7">
        <w:rPr>
          <w:rFonts w:ascii="Garamond" w:hAnsi="Garamond"/>
        </w:rPr>
        <w:t xml:space="preserve"> reasons,</w:t>
      </w:r>
      <w:r>
        <w:rPr>
          <w:rFonts w:ascii="Garamond" w:hAnsi="Garamond"/>
        </w:rPr>
        <w:t xml:space="preserve"> </w:t>
      </w:r>
      <w:r w:rsidR="000E15C7">
        <w:rPr>
          <w:rFonts w:ascii="Garamond" w:hAnsi="Garamond"/>
        </w:rPr>
        <w:t>including because</w:t>
      </w:r>
      <w:r>
        <w:rPr>
          <w:rFonts w:ascii="Garamond" w:hAnsi="Garamond"/>
        </w:rPr>
        <w:t xml:space="preserve"> </w:t>
      </w:r>
      <w:r w:rsidR="00546335">
        <w:rPr>
          <w:rFonts w:ascii="Garamond" w:hAnsi="Garamond"/>
        </w:rPr>
        <w:t xml:space="preserve">the Award </w:t>
      </w:r>
      <w:r w:rsidR="000E15C7">
        <w:rPr>
          <w:rFonts w:ascii="Garamond" w:hAnsi="Garamond"/>
        </w:rPr>
        <w:t xml:space="preserve">conflicted </w:t>
      </w:r>
      <w:r w:rsidR="00546335">
        <w:rPr>
          <w:rFonts w:ascii="Garamond" w:hAnsi="Garamond"/>
        </w:rPr>
        <w:t>with the public policy of Mauritius</w:t>
      </w:r>
      <w:r w:rsidR="000E15C7">
        <w:rPr>
          <w:rFonts w:ascii="Garamond" w:hAnsi="Garamond"/>
        </w:rPr>
        <w:t xml:space="preserve"> (applying section 39(2)(b)(ii) of the International Arbitration Act 2008)</w:t>
      </w:r>
      <w:r w:rsidR="00546335">
        <w:rPr>
          <w:rFonts w:ascii="Garamond" w:hAnsi="Garamond"/>
        </w:rPr>
        <w:t xml:space="preserve">. </w:t>
      </w:r>
      <w:r w:rsidR="00FB4CC9">
        <w:rPr>
          <w:rFonts w:ascii="Garamond" w:hAnsi="Garamond"/>
        </w:rPr>
        <w:t>The</w:t>
      </w:r>
      <w:r w:rsidR="00546335">
        <w:rPr>
          <w:rFonts w:ascii="Garamond" w:hAnsi="Garamond"/>
        </w:rPr>
        <w:t xml:space="preserve"> Supreme Court </w:t>
      </w:r>
      <w:r w:rsidR="00EE303E">
        <w:rPr>
          <w:rFonts w:ascii="Garamond" w:hAnsi="Garamond"/>
        </w:rPr>
        <w:t xml:space="preserve">agreed with STC </w:t>
      </w:r>
      <w:r w:rsidR="00546335">
        <w:rPr>
          <w:rFonts w:ascii="Garamond" w:hAnsi="Garamond"/>
        </w:rPr>
        <w:t xml:space="preserve">and set aside the Award. </w:t>
      </w:r>
      <w:r w:rsidR="006B734F">
        <w:rPr>
          <w:rFonts w:ascii="Garamond" w:hAnsi="Garamond"/>
        </w:rPr>
        <w:t>The Supreme Court focused on</w:t>
      </w:r>
      <w:r w:rsidR="00EE303E">
        <w:rPr>
          <w:rFonts w:ascii="Garamond" w:hAnsi="Garamond"/>
        </w:rPr>
        <w:t xml:space="preserve"> whether the</w:t>
      </w:r>
      <w:r w:rsidR="00E05D74">
        <w:rPr>
          <w:rFonts w:ascii="Garamond" w:hAnsi="Garamond"/>
        </w:rPr>
        <w:t xml:space="preserve"> COA was</w:t>
      </w:r>
      <w:r w:rsidR="00CD1274">
        <w:rPr>
          <w:rFonts w:ascii="Garamond" w:hAnsi="Garamond"/>
        </w:rPr>
        <w:t xml:space="preserve"> made</w:t>
      </w:r>
      <w:r w:rsidR="00E05D74">
        <w:rPr>
          <w:rFonts w:ascii="Garamond" w:hAnsi="Garamond"/>
        </w:rPr>
        <w:t xml:space="preserve"> in breach of </w:t>
      </w:r>
      <w:r w:rsidR="00E707B1">
        <w:rPr>
          <w:rFonts w:ascii="Garamond" w:hAnsi="Garamond"/>
        </w:rPr>
        <w:t>the PP Act</w:t>
      </w:r>
      <w:r w:rsidR="00EE303E">
        <w:rPr>
          <w:rFonts w:ascii="Garamond" w:hAnsi="Garamond"/>
        </w:rPr>
        <w:t xml:space="preserve">. It held that it was and therefore </w:t>
      </w:r>
      <w:r w:rsidR="00E05D74">
        <w:rPr>
          <w:rFonts w:ascii="Garamond" w:hAnsi="Garamond"/>
        </w:rPr>
        <w:t>the COA was illegal</w:t>
      </w:r>
      <w:r w:rsidR="00624E3B">
        <w:rPr>
          <w:rFonts w:ascii="Garamond" w:hAnsi="Garamond"/>
        </w:rPr>
        <w:t xml:space="preserve">; </w:t>
      </w:r>
      <w:r w:rsidR="00EE303E">
        <w:rPr>
          <w:rFonts w:ascii="Garamond" w:hAnsi="Garamond"/>
        </w:rPr>
        <w:t>the</w:t>
      </w:r>
      <w:r w:rsidR="00E05D74">
        <w:rPr>
          <w:rFonts w:ascii="Garamond" w:hAnsi="Garamond"/>
        </w:rPr>
        <w:t xml:space="preserve"> illegality was flagrant and so the Award should be set aside as </w:t>
      </w:r>
      <w:r w:rsidR="00EE303E">
        <w:rPr>
          <w:rFonts w:ascii="Garamond" w:hAnsi="Garamond"/>
        </w:rPr>
        <w:t>to enforce it would conflict with</w:t>
      </w:r>
      <w:r w:rsidR="00E05D74">
        <w:rPr>
          <w:rFonts w:ascii="Garamond" w:hAnsi="Garamond"/>
        </w:rPr>
        <w:t xml:space="preserve"> </w:t>
      </w:r>
      <w:r w:rsidR="00EE303E">
        <w:rPr>
          <w:rFonts w:ascii="Garamond" w:hAnsi="Garamond"/>
        </w:rPr>
        <w:t>Mauritian</w:t>
      </w:r>
      <w:r w:rsidR="00E05D74">
        <w:rPr>
          <w:rFonts w:ascii="Garamond" w:hAnsi="Garamond"/>
        </w:rPr>
        <w:t xml:space="preserve"> public policy. </w:t>
      </w:r>
    </w:p>
    <w:p w14:paraId="0CC81438" w14:textId="77777777" w:rsidR="00667762" w:rsidRDefault="00667762" w:rsidP="00105D12">
      <w:pPr>
        <w:jc w:val="both"/>
        <w:rPr>
          <w:rFonts w:ascii="Garamond" w:hAnsi="Garamond"/>
        </w:rPr>
      </w:pPr>
    </w:p>
    <w:p w14:paraId="72BC5F0A" w14:textId="77777777" w:rsidR="00546335" w:rsidRPr="00E05D74" w:rsidRDefault="00E05D74" w:rsidP="00105D12">
      <w:pPr>
        <w:jc w:val="both"/>
        <w:rPr>
          <w:rFonts w:ascii="Garamond" w:hAnsi="Garamond"/>
        </w:rPr>
      </w:pPr>
      <w:r>
        <w:rPr>
          <w:rFonts w:ascii="Garamond" w:hAnsi="Garamond"/>
        </w:rPr>
        <w:t xml:space="preserve">The </w:t>
      </w:r>
      <w:r w:rsidR="008204D4">
        <w:rPr>
          <w:rFonts w:ascii="Garamond" w:hAnsi="Garamond"/>
        </w:rPr>
        <w:t>Supreme</w:t>
      </w:r>
      <w:r>
        <w:rPr>
          <w:rFonts w:ascii="Garamond" w:hAnsi="Garamond"/>
        </w:rPr>
        <w:t xml:space="preserve"> Court </w:t>
      </w:r>
      <w:r w:rsidR="008204D4">
        <w:rPr>
          <w:rFonts w:ascii="Garamond" w:hAnsi="Garamond"/>
        </w:rPr>
        <w:t xml:space="preserve">granted </w:t>
      </w:r>
      <w:r w:rsidR="00A23A45">
        <w:rPr>
          <w:rFonts w:ascii="Garamond" w:hAnsi="Garamond"/>
        </w:rPr>
        <w:t xml:space="preserve">Betamax </w:t>
      </w:r>
      <w:r>
        <w:rPr>
          <w:rFonts w:ascii="Garamond" w:hAnsi="Garamond"/>
        </w:rPr>
        <w:t>permission to appeal to the Judicial Committee of the Privy Council</w:t>
      </w:r>
      <w:r w:rsidR="00230365">
        <w:rPr>
          <w:rFonts w:ascii="Garamond" w:hAnsi="Garamond"/>
        </w:rPr>
        <w:t xml:space="preserve"> (the “</w:t>
      </w:r>
      <w:r w:rsidR="00230365">
        <w:rPr>
          <w:rFonts w:ascii="Garamond" w:hAnsi="Garamond"/>
          <w:b/>
          <w:bCs/>
        </w:rPr>
        <w:t>Board</w:t>
      </w:r>
      <w:r w:rsidR="00230365">
        <w:rPr>
          <w:rFonts w:ascii="Garamond" w:hAnsi="Garamond"/>
        </w:rPr>
        <w:t>”)</w:t>
      </w:r>
      <w:r>
        <w:rPr>
          <w:rFonts w:ascii="Garamond" w:hAnsi="Garamond"/>
        </w:rPr>
        <w:t>.</w:t>
      </w:r>
      <w:r w:rsidR="00492E12">
        <w:rPr>
          <w:rFonts w:ascii="Garamond" w:hAnsi="Garamond"/>
        </w:rPr>
        <w:t xml:space="preserve"> The appeal raise</w:t>
      </w:r>
      <w:r w:rsidR="000F7176">
        <w:rPr>
          <w:rFonts w:ascii="Garamond" w:hAnsi="Garamond"/>
        </w:rPr>
        <w:t>s</w:t>
      </w:r>
      <w:r w:rsidR="00492E12">
        <w:rPr>
          <w:rFonts w:ascii="Garamond" w:hAnsi="Garamond"/>
        </w:rPr>
        <w:t xml:space="preserve"> three issues: (1) (the main issue) was the Supreme Court entitled to review the </w:t>
      </w:r>
      <w:r w:rsidR="00571F32">
        <w:rPr>
          <w:rFonts w:ascii="Garamond" w:hAnsi="Garamond"/>
        </w:rPr>
        <w:t>a</w:t>
      </w:r>
      <w:r w:rsidR="00492E12">
        <w:rPr>
          <w:rFonts w:ascii="Garamond" w:hAnsi="Garamond"/>
        </w:rPr>
        <w:t xml:space="preserve">rbitrator’s decision that the COA was not in breach of Mauritian public procurement laws; (2) if </w:t>
      </w:r>
      <w:r w:rsidR="00C73084">
        <w:rPr>
          <w:rFonts w:ascii="Garamond" w:hAnsi="Garamond"/>
        </w:rPr>
        <w:t>the Supreme Court was entitled</w:t>
      </w:r>
      <w:r w:rsidR="00492E12">
        <w:rPr>
          <w:rFonts w:ascii="Garamond" w:hAnsi="Garamond"/>
        </w:rPr>
        <w:t xml:space="preserve">, was the COA illegal; and (3) if the COA was illegal, was the Award in conflict with the public policy of Mauritius? </w:t>
      </w:r>
    </w:p>
    <w:p w14:paraId="3F96F366" w14:textId="77777777" w:rsidR="006A2CC3" w:rsidRPr="006A2CC3" w:rsidRDefault="006A2CC3" w:rsidP="00105D12">
      <w:pPr>
        <w:jc w:val="both"/>
        <w:rPr>
          <w:rFonts w:ascii="Garamond" w:hAnsi="Garamond"/>
          <w:i/>
          <w:iCs/>
        </w:rPr>
      </w:pPr>
    </w:p>
    <w:p w14:paraId="1D047822" w14:textId="77777777" w:rsidR="00A16C02" w:rsidRDefault="00A16C02" w:rsidP="003744DB">
      <w:pPr>
        <w:keepNext/>
        <w:jc w:val="both"/>
        <w:rPr>
          <w:rFonts w:ascii="Garamond" w:hAnsi="Garamond"/>
          <w:b/>
        </w:rPr>
      </w:pPr>
      <w:r>
        <w:rPr>
          <w:rFonts w:ascii="Garamond" w:hAnsi="Garamond"/>
          <w:b/>
        </w:rPr>
        <w:lastRenderedPageBreak/>
        <w:t>JUDGMENT</w:t>
      </w:r>
    </w:p>
    <w:p w14:paraId="4F816F4A" w14:textId="77777777" w:rsidR="00A16C02" w:rsidRDefault="00A16C02" w:rsidP="00105D12">
      <w:pPr>
        <w:jc w:val="both"/>
        <w:rPr>
          <w:rFonts w:ascii="Garamond" w:hAnsi="Garamond"/>
          <w:b/>
        </w:rPr>
      </w:pPr>
    </w:p>
    <w:p w14:paraId="339759E7" w14:textId="77777777" w:rsidR="00E845E2" w:rsidRPr="00E845E2" w:rsidRDefault="00230365" w:rsidP="00B80E4B">
      <w:pPr>
        <w:jc w:val="both"/>
        <w:rPr>
          <w:rFonts w:ascii="Garamond" w:hAnsi="Garamond"/>
        </w:rPr>
      </w:pPr>
      <w:r>
        <w:rPr>
          <w:rFonts w:ascii="Garamond" w:hAnsi="Garamond"/>
        </w:rPr>
        <w:t>The Board</w:t>
      </w:r>
      <w:r w:rsidR="00DD13C3">
        <w:rPr>
          <w:rFonts w:ascii="Garamond" w:hAnsi="Garamond"/>
        </w:rPr>
        <w:t xml:space="preserve"> allows Betamax’s appeal</w:t>
      </w:r>
      <w:r w:rsidR="00F77C34">
        <w:rPr>
          <w:rFonts w:ascii="Garamond" w:hAnsi="Garamond"/>
        </w:rPr>
        <w:t xml:space="preserve"> and enforces the Award</w:t>
      </w:r>
      <w:r w:rsidR="003C0415">
        <w:rPr>
          <w:rFonts w:ascii="Garamond" w:hAnsi="Garamond"/>
        </w:rPr>
        <w:t>.</w:t>
      </w:r>
      <w:r w:rsidR="00F77C34" w:rsidRPr="008C36FF">
        <w:rPr>
          <w:rFonts w:ascii="Garamond" w:hAnsi="Garamond"/>
        </w:rPr>
        <w:t xml:space="preserve"> Lord Thomas gives the judgment of the Board.</w:t>
      </w:r>
      <w:r w:rsidR="00F55432">
        <w:rPr>
          <w:rFonts w:ascii="Garamond" w:hAnsi="Garamond"/>
        </w:rPr>
        <w:t xml:space="preserve"> </w:t>
      </w:r>
      <w:r w:rsidR="00E10B55">
        <w:rPr>
          <w:rFonts w:ascii="Garamond" w:hAnsi="Garamond"/>
        </w:rPr>
        <w:t xml:space="preserve"> </w:t>
      </w:r>
    </w:p>
    <w:p w14:paraId="5060BB99" w14:textId="77777777" w:rsidR="00A7227F" w:rsidRDefault="00A7227F" w:rsidP="00105D12">
      <w:pPr>
        <w:jc w:val="both"/>
        <w:rPr>
          <w:rFonts w:ascii="Garamond" w:hAnsi="Garamond"/>
          <w:b/>
        </w:rPr>
      </w:pPr>
    </w:p>
    <w:p w14:paraId="2A09BDC4" w14:textId="77777777" w:rsidR="00A16C02" w:rsidRDefault="00A16C02" w:rsidP="00105D12">
      <w:pPr>
        <w:jc w:val="both"/>
        <w:rPr>
          <w:rFonts w:ascii="Garamond" w:hAnsi="Garamond"/>
          <w:b/>
        </w:rPr>
      </w:pPr>
      <w:r w:rsidRPr="00A30FCD">
        <w:rPr>
          <w:rFonts w:ascii="Garamond" w:hAnsi="Garamond"/>
          <w:b/>
        </w:rPr>
        <w:t>REASONS FOR THE JUDGMENT</w:t>
      </w:r>
    </w:p>
    <w:p w14:paraId="52C1D23B" w14:textId="77777777" w:rsidR="001C6CAC" w:rsidRDefault="001C6CAC" w:rsidP="00436C28">
      <w:pPr>
        <w:jc w:val="both"/>
        <w:rPr>
          <w:rFonts w:ascii="Garamond" w:hAnsi="Garamond"/>
          <w:bCs/>
          <w:i/>
          <w:iCs/>
        </w:rPr>
      </w:pPr>
    </w:p>
    <w:p w14:paraId="70AB0CF4" w14:textId="77777777" w:rsidR="00AD5364" w:rsidRDefault="00C73084" w:rsidP="00436C28">
      <w:pPr>
        <w:jc w:val="both"/>
        <w:rPr>
          <w:rFonts w:ascii="Garamond" w:hAnsi="Garamond"/>
          <w:bCs/>
          <w:i/>
          <w:iCs/>
        </w:rPr>
      </w:pPr>
      <w:r>
        <w:rPr>
          <w:rFonts w:ascii="Garamond" w:hAnsi="Garamond"/>
          <w:bCs/>
          <w:i/>
          <w:iCs/>
        </w:rPr>
        <w:t xml:space="preserve">The Supreme Court was not entitled to review the decision of the </w:t>
      </w:r>
      <w:r w:rsidR="00624E3B">
        <w:rPr>
          <w:rFonts w:ascii="Garamond" w:hAnsi="Garamond"/>
          <w:bCs/>
          <w:i/>
          <w:iCs/>
        </w:rPr>
        <w:t>a</w:t>
      </w:r>
      <w:r>
        <w:rPr>
          <w:rFonts w:ascii="Garamond" w:hAnsi="Garamond"/>
          <w:bCs/>
          <w:i/>
          <w:iCs/>
        </w:rPr>
        <w:t>rbitrator on the legality of the COA under Mauritian public procurement laws</w:t>
      </w:r>
      <w:r w:rsidR="00C55D3F">
        <w:rPr>
          <w:rFonts w:ascii="Garamond" w:hAnsi="Garamond"/>
          <w:bCs/>
          <w:i/>
          <w:iCs/>
        </w:rPr>
        <w:t xml:space="preserve"> (issue one)</w:t>
      </w:r>
    </w:p>
    <w:p w14:paraId="6D1CDF94" w14:textId="77777777" w:rsidR="00034C30" w:rsidRDefault="00034C30" w:rsidP="00EA3D9A">
      <w:pPr>
        <w:jc w:val="both"/>
        <w:rPr>
          <w:rFonts w:ascii="Garamond" w:hAnsi="Garamond"/>
          <w:bCs/>
        </w:rPr>
      </w:pPr>
    </w:p>
    <w:p w14:paraId="07BA232F" w14:textId="77777777" w:rsidR="00EA3D9A" w:rsidRPr="00EA3D9A" w:rsidRDefault="005C3423" w:rsidP="00EA3D9A">
      <w:pPr>
        <w:jc w:val="both"/>
        <w:rPr>
          <w:rFonts w:ascii="Garamond" w:hAnsi="Garamond"/>
          <w:bCs/>
        </w:rPr>
      </w:pPr>
      <w:r>
        <w:rPr>
          <w:rFonts w:ascii="Garamond" w:hAnsi="Garamond"/>
          <w:bCs/>
        </w:rPr>
        <w:t>Section 39 of the</w:t>
      </w:r>
      <w:r w:rsidR="004E7ED8">
        <w:rPr>
          <w:rFonts w:ascii="Garamond" w:hAnsi="Garamond"/>
          <w:bCs/>
        </w:rPr>
        <w:t xml:space="preserve"> International Arbitration Act</w:t>
      </w:r>
      <w:r>
        <w:rPr>
          <w:rFonts w:ascii="Garamond" w:hAnsi="Garamond"/>
          <w:bCs/>
        </w:rPr>
        <w:t xml:space="preserve">, </w:t>
      </w:r>
      <w:r w:rsidR="00E0674C">
        <w:rPr>
          <w:rFonts w:ascii="Garamond" w:hAnsi="Garamond"/>
          <w:bCs/>
        </w:rPr>
        <w:t>based on</w:t>
      </w:r>
      <w:r>
        <w:rPr>
          <w:rFonts w:ascii="Garamond" w:hAnsi="Garamond"/>
          <w:bCs/>
        </w:rPr>
        <w:t xml:space="preserve"> article 34 of the Model Law ([</w:t>
      </w:r>
      <w:r w:rsidRPr="00034C30">
        <w:rPr>
          <w:rFonts w:ascii="Garamond" w:hAnsi="Garamond"/>
          <w:b/>
        </w:rPr>
        <w:t>20-21</w:t>
      </w:r>
      <w:r>
        <w:rPr>
          <w:rFonts w:ascii="Garamond" w:hAnsi="Garamond"/>
          <w:bCs/>
        </w:rPr>
        <w:t>]), permits t</w:t>
      </w:r>
      <w:r w:rsidR="00496237">
        <w:rPr>
          <w:rFonts w:ascii="Garamond" w:hAnsi="Garamond"/>
          <w:bCs/>
        </w:rPr>
        <w:t>h</w:t>
      </w:r>
      <w:r>
        <w:rPr>
          <w:rFonts w:ascii="Garamond" w:hAnsi="Garamond"/>
          <w:bCs/>
        </w:rPr>
        <w:t xml:space="preserve">e </w:t>
      </w:r>
      <w:r w:rsidR="00496237">
        <w:rPr>
          <w:rFonts w:ascii="Garamond" w:hAnsi="Garamond"/>
          <w:bCs/>
        </w:rPr>
        <w:t>court</w:t>
      </w:r>
      <w:r>
        <w:rPr>
          <w:rFonts w:ascii="Garamond" w:hAnsi="Garamond"/>
          <w:bCs/>
        </w:rPr>
        <w:t xml:space="preserve"> </w:t>
      </w:r>
      <w:r w:rsidR="00496237">
        <w:rPr>
          <w:rFonts w:ascii="Garamond" w:hAnsi="Garamond"/>
          <w:bCs/>
        </w:rPr>
        <w:t xml:space="preserve">of the state before which proceedings are brought </w:t>
      </w:r>
      <w:r w:rsidR="004E7ED8" w:rsidRPr="005C3423">
        <w:rPr>
          <w:rFonts w:ascii="Garamond" w:hAnsi="Garamond"/>
          <w:bCs/>
        </w:rPr>
        <w:t>to</w:t>
      </w:r>
      <w:r w:rsidR="004E7ED8">
        <w:rPr>
          <w:rFonts w:ascii="Garamond" w:hAnsi="Garamond"/>
          <w:bCs/>
        </w:rPr>
        <w:t xml:space="preserve"> </w:t>
      </w:r>
      <w:r>
        <w:rPr>
          <w:rFonts w:ascii="Garamond" w:hAnsi="Garamond"/>
          <w:bCs/>
        </w:rPr>
        <w:t>set aside an award</w:t>
      </w:r>
      <w:r w:rsidR="004E7ED8">
        <w:rPr>
          <w:rFonts w:ascii="Garamond" w:hAnsi="Garamond"/>
          <w:bCs/>
        </w:rPr>
        <w:t xml:space="preserve"> </w:t>
      </w:r>
      <w:r>
        <w:rPr>
          <w:rFonts w:ascii="Garamond" w:hAnsi="Garamond"/>
          <w:bCs/>
        </w:rPr>
        <w:t>in certain limited circumstances, including if the award conflicts with the public policy of Mauritius [</w:t>
      </w:r>
      <w:r w:rsidRPr="005C3423">
        <w:rPr>
          <w:rFonts w:ascii="Garamond" w:hAnsi="Garamond"/>
          <w:b/>
        </w:rPr>
        <w:t>13</w:t>
      </w:r>
      <w:r>
        <w:rPr>
          <w:rFonts w:ascii="Garamond" w:hAnsi="Garamond"/>
          <w:bCs/>
        </w:rPr>
        <w:t>].</w:t>
      </w:r>
      <w:r w:rsidR="00496237">
        <w:rPr>
          <w:rFonts w:ascii="Garamond" w:hAnsi="Garamond"/>
          <w:bCs/>
        </w:rPr>
        <w:t xml:space="preserve"> </w:t>
      </w:r>
      <w:r w:rsidR="00757055">
        <w:rPr>
          <w:rFonts w:ascii="Garamond" w:hAnsi="Garamond"/>
          <w:bCs/>
        </w:rPr>
        <w:t xml:space="preserve">Betamax and STC </w:t>
      </w:r>
      <w:r w:rsidR="00EA3D9A">
        <w:rPr>
          <w:rFonts w:ascii="Garamond" w:hAnsi="Garamond"/>
          <w:bCs/>
        </w:rPr>
        <w:t xml:space="preserve">agreed </w:t>
      </w:r>
      <w:r w:rsidR="00DE4FBF" w:rsidRPr="00F01B04">
        <w:rPr>
          <w:rFonts w:ascii="Garamond" w:hAnsi="Garamond"/>
          <w:bCs/>
        </w:rPr>
        <w:t xml:space="preserve">that </w:t>
      </w:r>
      <w:r w:rsidR="00DE4FBF">
        <w:rPr>
          <w:rFonts w:ascii="Garamond" w:hAnsi="Garamond"/>
          <w:bCs/>
        </w:rPr>
        <w:t xml:space="preserve">it </w:t>
      </w:r>
      <w:r w:rsidR="004E7ED8">
        <w:rPr>
          <w:rFonts w:ascii="Garamond" w:hAnsi="Garamond"/>
          <w:bCs/>
        </w:rPr>
        <w:t>was</w:t>
      </w:r>
      <w:r w:rsidR="00DE4FBF">
        <w:rPr>
          <w:rFonts w:ascii="Garamond" w:hAnsi="Garamond"/>
          <w:bCs/>
        </w:rPr>
        <w:t xml:space="preserve"> for the </w:t>
      </w:r>
      <w:r w:rsidR="004E7ED8">
        <w:rPr>
          <w:rFonts w:ascii="Garamond" w:hAnsi="Garamond"/>
          <w:bCs/>
        </w:rPr>
        <w:t>Supreme Court</w:t>
      </w:r>
      <w:r w:rsidR="002C7B7D">
        <w:rPr>
          <w:rFonts w:ascii="Garamond" w:hAnsi="Garamond"/>
          <w:bCs/>
        </w:rPr>
        <w:t xml:space="preserve"> </w:t>
      </w:r>
      <w:r w:rsidR="00DE4FBF">
        <w:rPr>
          <w:rFonts w:ascii="Garamond" w:hAnsi="Garamond"/>
          <w:bCs/>
        </w:rPr>
        <w:t xml:space="preserve">to determine the nature and extent of the public policy of </w:t>
      </w:r>
      <w:r w:rsidR="00347001">
        <w:rPr>
          <w:rFonts w:ascii="Garamond" w:hAnsi="Garamond"/>
          <w:bCs/>
        </w:rPr>
        <w:t>Mauritius</w:t>
      </w:r>
      <w:r w:rsidR="00034C30">
        <w:rPr>
          <w:rFonts w:ascii="Garamond" w:hAnsi="Garamond"/>
          <w:bCs/>
        </w:rPr>
        <w:t xml:space="preserve"> [</w:t>
      </w:r>
      <w:r w:rsidR="00034C30">
        <w:rPr>
          <w:rFonts w:ascii="Garamond" w:hAnsi="Garamond"/>
          <w:b/>
        </w:rPr>
        <w:t>23</w:t>
      </w:r>
      <w:r w:rsidR="00034C30">
        <w:rPr>
          <w:rFonts w:ascii="Garamond" w:hAnsi="Garamond"/>
          <w:bCs/>
        </w:rPr>
        <w:t>]. They also agreed</w:t>
      </w:r>
      <w:r w:rsidR="00DE4FBF">
        <w:rPr>
          <w:rFonts w:ascii="Garamond" w:hAnsi="Garamond"/>
          <w:bCs/>
        </w:rPr>
        <w:t xml:space="preserve"> that </w:t>
      </w:r>
      <w:r w:rsidR="00DE4FBF" w:rsidRPr="00FC28CC">
        <w:rPr>
          <w:rFonts w:ascii="Garamond" w:hAnsi="Garamond"/>
          <w:bCs/>
        </w:rPr>
        <w:t>if an arbitral tribunal decides that an agreement is illegal</w:t>
      </w:r>
      <w:r w:rsidR="00757055">
        <w:rPr>
          <w:rFonts w:ascii="Garamond" w:hAnsi="Garamond"/>
          <w:bCs/>
        </w:rPr>
        <w:t xml:space="preserve"> </w:t>
      </w:r>
      <w:r w:rsidR="00DE4FBF" w:rsidRPr="00FC28CC">
        <w:rPr>
          <w:rFonts w:ascii="Garamond" w:hAnsi="Garamond"/>
          <w:bCs/>
        </w:rPr>
        <w:t xml:space="preserve">but makes an award which enforces the agreement, the court is entitled to set aside the award under section 39(2)(b)(ii) of the International Arbitration Act </w:t>
      </w:r>
      <w:r w:rsidR="00781032">
        <w:rPr>
          <w:rFonts w:ascii="Garamond" w:hAnsi="Garamond"/>
          <w:bCs/>
        </w:rPr>
        <w:t xml:space="preserve">if it </w:t>
      </w:r>
      <w:r w:rsidR="00DE4FBF" w:rsidRPr="00FC28CC">
        <w:rPr>
          <w:rFonts w:ascii="Garamond" w:hAnsi="Garamond"/>
          <w:bCs/>
        </w:rPr>
        <w:t>conflict</w:t>
      </w:r>
      <w:r w:rsidR="00781032">
        <w:rPr>
          <w:rFonts w:ascii="Garamond" w:hAnsi="Garamond"/>
          <w:bCs/>
        </w:rPr>
        <w:t>s</w:t>
      </w:r>
      <w:r w:rsidR="00DE4FBF" w:rsidRPr="00FC28CC">
        <w:rPr>
          <w:rFonts w:ascii="Garamond" w:hAnsi="Garamond"/>
          <w:bCs/>
        </w:rPr>
        <w:t xml:space="preserve"> with public policy</w:t>
      </w:r>
      <w:r w:rsidR="00DE4FBF">
        <w:rPr>
          <w:rFonts w:ascii="Garamond" w:hAnsi="Garamond"/>
          <w:bCs/>
        </w:rPr>
        <w:t xml:space="preserve"> [</w:t>
      </w:r>
      <w:r w:rsidR="00DE4FBF">
        <w:rPr>
          <w:rFonts w:ascii="Garamond" w:hAnsi="Garamond"/>
          <w:b/>
        </w:rPr>
        <w:t>39</w:t>
      </w:r>
      <w:r w:rsidR="00DE4FBF">
        <w:rPr>
          <w:rFonts w:ascii="Garamond" w:hAnsi="Garamond"/>
          <w:bCs/>
        </w:rPr>
        <w:t xml:space="preserve">]. </w:t>
      </w:r>
      <w:r w:rsidR="003C0415">
        <w:rPr>
          <w:rFonts w:ascii="Garamond" w:hAnsi="Garamond"/>
          <w:bCs/>
        </w:rPr>
        <w:t>However, the arbitrator had interpreted the PP Act and the PP Regulations and decided that they did not render the COA illegal</w:t>
      </w:r>
      <w:r w:rsidR="00B52E5E">
        <w:rPr>
          <w:rFonts w:ascii="Garamond" w:hAnsi="Garamond"/>
          <w:bCs/>
        </w:rPr>
        <w:t>.</w:t>
      </w:r>
      <w:r w:rsidR="007E112B">
        <w:rPr>
          <w:rFonts w:ascii="Garamond" w:hAnsi="Garamond"/>
          <w:bCs/>
        </w:rPr>
        <w:t xml:space="preserve"> </w:t>
      </w:r>
      <w:r w:rsidR="003C0415">
        <w:rPr>
          <w:rFonts w:ascii="Garamond" w:hAnsi="Garamond"/>
          <w:bCs/>
        </w:rPr>
        <w:t>Betamax and STC agreed before the Board that it was within the arbitrator’s jurisdiction to determine this [</w:t>
      </w:r>
      <w:r w:rsidR="003C0415">
        <w:rPr>
          <w:rFonts w:ascii="Garamond" w:hAnsi="Garamond"/>
          <w:b/>
        </w:rPr>
        <w:t>22</w:t>
      </w:r>
      <w:r w:rsidR="003C0415">
        <w:rPr>
          <w:rFonts w:ascii="Garamond" w:hAnsi="Garamond"/>
          <w:bCs/>
        </w:rPr>
        <w:t>].</w:t>
      </w:r>
      <w:r w:rsidR="00D81CD9">
        <w:rPr>
          <w:rFonts w:ascii="Garamond" w:hAnsi="Garamond"/>
          <w:bCs/>
        </w:rPr>
        <w:t xml:space="preserve"> </w:t>
      </w:r>
      <w:r w:rsidR="003C0415">
        <w:rPr>
          <w:rFonts w:ascii="Garamond" w:hAnsi="Garamond"/>
          <w:bCs/>
        </w:rPr>
        <w:t>However, STC argued that</w:t>
      </w:r>
      <w:r w:rsidR="00EA3D9A">
        <w:rPr>
          <w:rFonts w:ascii="Garamond" w:hAnsi="Garamond"/>
          <w:bCs/>
        </w:rPr>
        <w:t xml:space="preserve"> if </w:t>
      </w:r>
      <w:r w:rsidR="00E81741">
        <w:rPr>
          <w:rFonts w:ascii="Garamond" w:hAnsi="Garamond"/>
          <w:bCs/>
        </w:rPr>
        <w:t>the</w:t>
      </w:r>
      <w:r w:rsidR="00EA3D9A">
        <w:rPr>
          <w:rFonts w:ascii="Garamond" w:hAnsi="Garamond"/>
          <w:bCs/>
        </w:rPr>
        <w:t xml:space="preserve"> arbitral tribunal </w:t>
      </w:r>
      <w:r w:rsidR="00D81CD9">
        <w:rPr>
          <w:rFonts w:ascii="Garamond" w:hAnsi="Garamond"/>
          <w:bCs/>
        </w:rPr>
        <w:t xml:space="preserve">had made an error of law </w:t>
      </w:r>
      <w:r w:rsidR="00EA3D9A">
        <w:rPr>
          <w:rFonts w:ascii="Garamond" w:hAnsi="Garamond"/>
          <w:bCs/>
        </w:rPr>
        <w:t xml:space="preserve">as to the </w:t>
      </w:r>
      <w:r w:rsidR="00E0674C">
        <w:rPr>
          <w:rFonts w:ascii="Garamond" w:hAnsi="Garamond"/>
          <w:bCs/>
        </w:rPr>
        <w:t xml:space="preserve">legality of an agreement in circumstances which involved the </w:t>
      </w:r>
      <w:r w:rsidR="00EA3D9A">
        <w:rPr>
          <w:rFonts w:ascii="Garamond" w:hAnsi="Garamond"/>
          <w:bCs/>
        </w:rPr>
        <w:t xml:space="preserve">public policy of Mauritius, the Supreme Court was entitled to correct it (here, </w:t>
      </w:r>
      <w:r w:rsidR="008C0A3A">
        <w:rPr>
          <w:rFonts w:ascii="Garamond" w:hAnsi="Garamond"/>
          <w:bCs/>
        </w:rPr>
        <w:t xml:space="preserve">by </w:t>
      </w:r>
      <w:r w:rsidR="00EA3D9A">
        <w:rPr>
          <w:rFonts w:ascii="Garamond" w:hAnsi="Garamond"/>
          <w:bCs/>
        </w:rPr>
        <w:t>consider</w:t>
      </w:r>
      <w:r w:rsidR="00496237">
        <w:rPr>
          <w:rFonts w:ascii="Garamond" w:hAnsi="Garamond"/>
          <w:bCs/>
        </w:rPr>
        <w:t xml:space="preserve">ing </w:t>
      </w:r>
      <w:r w:rsidR="00EA3D9A">
        <w:rPr>
          <w:rFonts w:ascii="Garamond" w:hAnsi="Garamond"/>
          <w:bCs/>
        </w:rPr>
        <w:t>afresh whether the PP Act applied to the COA) [</w:t>
      </w:r>
      <w:r w:rsidR="00EA3D9A">
        <w:rPr>
          <w:rFonts w:ascii="Garamond" w:hAnsi="Garamond"/>
          <w:b/>
        </w:rPr>
        <w:t>29</w:t>
      </w:r>
      <w:r w:rsidR="00EA3D9A">
        <w:rPr>
          <w:rFonts w:ascii="Garamond" w:hAnsi="Garamond"/>
          <w:bCs/>
        </w:rPr>
        <w:t>].</w:t>
      </w:r>
    </w:p>
    <w:p w14:paraId="0AE483A4" w14:textId="77777777" w:rsidR="002E01DD" w:rsidRDefault="002E01DD" w:rsidP="00436C28">
      <w:pPr>
        <w:jc w:val="both"/>
        <w:rPr>
          <w:rFonts w:ascii="Garamond" w:hAnsi="Garamond"/>
          <w:bCs/>
        </w:rPr>
      </w:pPr>
    </w:p>
    <w:p w14:paraId="7B9ADB94" w14:textId="77777777" w:rsidR="00BD42EF" w:rsidRDefault="00BD42EF" w:rsidP="00BD42EF">
      <w:pPr>
        <w:jc w:val="both"/>
        <w:rPr>
          <w:rFonts w:ascii="Garamond" w:hAnsi="Garamond"/>
          <w:bCs/>
        </w:rPr>
      </w:pPr>
      <w:r>
        <w:rPr>
          <w:rFonts w:ascii="Garamond" w:hAnsi="Garamond"/>
          <w:bCs/>
        </w:rPr>
        <w:t xml:space="preserve">The Board rejects </w:t>
      </w:r>
      <w:r w:rsidR="002E01DD">
        <w:rPr>
          <w:rFonts w:ascii="Garamond" w:hAnsi="Garamond"/>
          <w:bCs/>
        </w:rPr>
        <w:t>STC</w:t>
      </w:r>
      <w:r>
        <w:rPr>
          <w:rFonts w:ascii="Garamond" w:hAnsi="Garamond"/>
          <w:bCs/>
        </w:rPr>
        <w:t xml:space="preserve">’s argument. </w:t>
      </w:r>
      <w:r w:rsidR="00E0674C">
        <w:rPr>
          <w:rFonts w:ascii="Garamond" w:hAnsi="Garamond"/>
          <w:bCs/>
        </w:rPr>
        <w:t>S</w:t>
      </w:r>
      <w:r>
        <w:rPr>
          <w:rFonts w:ascii="Garamond" w:hAnsi="Garamond"/>
          <w:bCs/>
        </w:rPr>
        <w:t xml:space="preserve">ection 39(2)(b)(ii) </w:t>
      </w:r>
      <w:r w:rsidR="000F62FD">
        <w:rPr>
          <w:rFonts w:ascii="Garamond" w:hAnsi="Garamond"/>
          <w:bCs/>
        </w:rPr>
        <w:t>cannot</w:t>
      </w:r>
      <w:r w:rsidR="00E0674C">
        <w:rPr>
          <w:rFonts w:ascii="Garamond" w:hAnsi="Garamond"/>
          <w:bCs/>
        </w:rPr>
        <w:t xml:space="preserve"> </w:t>
      </w:r>
      <w:r>
        <w:rPr>
          <w:rFonts w:ascii="Garamond" w:hAnsi="Garamond"/>
          <w:bCs/>
        </w:rPr>
        <w:t xml:space="preserve">be used to review any arbitral award on an issue of interpretation of the contract or of legislative provisions </w:t>
      </w:r>
      <w:r w:rsidR="00E0674C">
        <w:rPr>
          <w:rFonts w:ascii="Garamond" w:hAnsi="Garamond"/>
          <w:bCs/>
        </w:rPr>
        <w:t xml:space="preserve">within the jurisdiction of the arbitrator </w:t>
      </w:r>
      <w:r>
        <w:rPr>
          <w:rFonts w:ascii="Garamond" w:hAnsi="Garamond"/>
          <w:bCs/>
        </w:rPr>
        <w:t xml:space="preserve">where, on one possible interpretation, the result was that the agreement was illegal. </w:t>
      </w:r>
      <w:r w:rsidR="00E0674C">
        <w:rPr>
          <w:rFonts w:ascii="Garamond" w:hAnsi="Garamond"/>
          <w:bCs/>
        </w:rPr>
        <w:t>The not uncommon circumstance that</w:t>
      </w:r>
      <w:r>
        <w:rPr>
          <w:rFonts w:ascii="Garamond" w:hAnsi="Garamond"/>
          <w:bCs/>
        </w:rPr>
        <w:t xml:space="preserve"> the law governing the </w:t>
      </w:r>
      <w:r w:rsidR="00047D0B">
        <w:rPr>
          <w:rFonts w:ascii="Garamond" w:hAnsi="Garamond"/>
          <w:bCs/>
        </w:rPr>
        <w:t xml:space="preserve">disputed </w:t>
      </w:r>
      <w:r>
        <w:rPr>
          <w:rFonts w:ascii="Garamond" w:hAnsi="Garamond"/>
          <w:bCs/>
        </w:rPr>
        <w:t xml:space="preserve">contract and the law of the </w:t>
      </w:r>
      <w:r w:rsidR="00E0674C">
        <w:rPr>
          <w:rFonts w:ascii="Garamond" w:hAnsi="Garamond"/>
          <w:bCs/>
        </w:rPr>
        <w:t>reviewing</w:t>
      </w:r>
      <w:r>
        <w:rPr>
          <w:rFonts w:ascii="Garamond" w:hAnsi="Garamond"/>
          <w:bCs/>
        </w:rPr>
        <w:t xml:space="preserve"> court were the same</w:t>
      </w:r>
      <w:r w:rsidR="00047D0B">
        <w:rPr>
          <w:rFonts w:ascii="Garamond" w:hAnsi="Garamond"/>
          <w:bCs/>
        </w:rPr>
        <w:t xml:space="preserve"> (</w:t>
      </w:r>
      <w:r w:rsidR="002968F7">
        <w:rPr>
          <w:rFonts w:ascii="Garamond" w:hAnsi="Garamond"/>
          <w:bCs/>
        </w:rPr>
        <w:t>here, both Mauritian law</w:t>
      </w:r>
      <w:r w:rsidR="00047D0B">
        <w:rPr>
          <w:rFonts w:ascii="Garamond" w:hAnsi="Garamond"/>
          <w:bCs/>
        </w:rPr>
        <w:t>)</w:t>
      </w:r>
      <w:r>
        <w:rPr>
          <w:rFonts w:ascii="Garamond" w:hAnsi="Garamond"/>
          <w:bCs/>
        </w:rPr>
        <w:t xml:space="preserve">, </w:t>
      </w:r>
      <w:r w:rsidR="00E0674C">
        <w:rPr>
          <w:rFonts w:ascii="Garamond" w:hAnsi="Garamond"/>
          <w:bCs/>
        </w:rPr>
        <w:t>did not entitle the court to</w:t>
      </w:r>
      <w:r>
        <w:rPr>
          <w:rFonts w:ascii="Garamond" w:hAnsi="Garamond"/>
          <w:bCs/>
        </w:rPr>
        <w:t xml:space="preserve"> reconsider the </w:t>
      </w:r>
      <w:r w:rsidR="00E0674C">
        <w:rPr>
          <w:rFonts w:ascii="Garamond" w:hAnsi="Garamond"/>
          <w:bCs/>
        </w:rPr>
        <w:t xml:space="preserve">arbitrator’s decision on the </w:t>
      </w:r>
      <w:r>
        <w:rPr>
          <w:rFonts w:ascii="Garamond" w:hAnsi="Garamond"/>
          <w:bCs/>
        </w:rPr>
        <w:t>question of the legality of the contract on the grounds of public policy [</w:t>
      </w:r>
      <w:r>
        <w:rPr>
          <w:rFonts w:ascii="Garamond" w:hAnsi="Garamond"/>
          <w:b/>
        </w:rPr>
        <w:t>47</w:t>
      </w:r>
      <w:r>
        <w:rPr>
          <w:rFonts w:ascii="Garamond" w:hAnsi="Garamond"/>
          <w:bCs/>
        </w:rPr>
        <w:t>]. Increasing the scope of the public policy exception in this way would be inconsistent with the purpose of the International Arbitration Act and the Model Law</w:t>
      </w:r>
      <w:r w:rsidR="00047D0B">
        <w:rPr>
          <w:rFonts w:ascii="Garamond" w:hAnsi="Garamond"/>
          <w:bCs/>
        </w:rPr>
        <w:t>,</w:t>
      </w:r>
      <w:r>
        <w:rPr>
          <w:rFonts w:ascii="Garamond" w:hAnsi="Garamond"/>
          <w:bCs/>
        </w:rPr>
        <w:t xml:space="preserve"> which are based on the principle of finality</w:t>
      </w:r>
      <w:r w:rsidR="00047D0B">
        <w:rPr>
          <w:rFonts w:ascii="Garamond" w:hAnsi="Garamond"/>
          <w:bCs/>
        </w:rPr>
        <w:t xml:space="preserve"> </w:t>
      </w:r>
      <w:r w:rsidR="007E402E">
        <w:rPr>
          <w:rFonts w:ascii="Garamond" w:hAnsi="Garamond"/>
          <w:bCs/>
        </w:rPr>
        <w:t>(</w:t>
      </w:r>
      <w:r w:rsidR="00047D0B">
        <w:rPr>
          <w:rFonts w:ascii="Garamond" w:hAnsi="Garamond"/>
          <w:bCs/>
        </w:rPr>
        <w:t xml:space="preserve">that </w:t>
      </w:r>
      <w:r>
        <w:rPr>
          <w:rFonts w:ascii="Garamond" w:hAnsi="Garamond"/>
          <w:bCs/>
        </w:rPr>
        <w:t>where a matter has been submitted to arbitration and is within the arbitrator’s jurisdiction, the decision is final whether the issue is one of law or fact</w:t>
      </w:r>
      <w:r w:rsidR="007E402E">
        <w:rPr>
          <w:rFonts w:ascii="Garamond" w:hAnsi="Garamond"/>
          <w:bCs/>
        </w:rPr>
        <w:t>)</w:t>
      </w:r>
      <w:r>
        <w:rPr>
          <w:rFonts w:ascii="Garamond" w:hAnsi="Garamond"/>
          <w:bCs/>
        </w:rPr>
        <w:t xml:space="preserve"> [</w:t>
      </w:r>
      <w:r>
        <w:rPr>
          <w:rFonts w:ascii="Garamond" w:hAnsi="Garamond"/>
          <w:b/>
        </w:rPr>
        <w:t>48</w:t>
      </w:r>
      <w:r>
        <w:rPr>
          <w:rFonts w:ascii="Garamond" w:hAnsi="Garamond"/>
          <w:bCs/>
        </w:rPr>
        <w:t xml:space="preserve">]. </w:t>
      </w:r>
      <w:r w:rsidR="002968F7">
        <w:rPr>
          <w:rFonts w:ascii="Garamond" w:hAnsi="Garamond"/>
          <w:bCs/>
        </w:rPr>
        <w:t>It would also be inconsistent with the case law [</w:t>
      </w:r>
      <w:r w:rsidR="002968F7">
        <w:rPr>
          <w:rFonts w:ascii="Garamond" w:hAnsi="Garamond"/>
          <w:b/>
        </w:rPr>
        <w:t>50</w:t>
      </w:r>
      <w:r w:rsidR="002968F7">
        <w:rPr>
          <w:rFonts w:ascii="Garamond" w:hAnsi="Garamond"/>
          <w:bCs/>
        </w:rPr>
        <w:t xml:space="preserve">]. </w:t>
      </w:r>
    </w:p>
    <w:p w14:paraId="7EE6B506" w14:textId="77777777" w:rsidR="00BD42EF" w:rsidRDefault="00BD42EF" w:rsidP="00436C28">
      <w:pPr>
        <w:jc w:val="both"/>
        <w:rPr>
          <w:rFonts w:ascii="Garamond" w:hAnsi="Garamond"/>
          <w:bCs/>
        </w:rPr>
      </w:pPr>
    </w:p>
    <w:p w14:paraId="73BB958C" w14:textId="77777777" w:rsidR="002E01DD" w:rsidRPr="002E01DD" w:rsidRDefault="002E01DD" w:rsidP="00436C28">
      <w:pPr>
        <w:jc w:val="both"/>
        <w:rPr>
          <w:rFonts w:ascii="Garamond" w:hAnsi="Garamond"/>
          <w:bCs/>
        </w:rPr>
      </w:pPr>
      <w:r>
        <w:rPr>
          <w:rFonts w:ascii="Garamond" w:hAnsi="Garamond"/>
          <w:bCs/>
        </w:rPr>
        <w:t xml:space="preserve">The proper question for the court under section 39(2)(b)(ii) is whether, on the findings of law and fact made in the award, there is any conflict between the award and public policy. </w:t>
      </w:r>
      <w:r w:rsidR="002968F7">
        <w:rPr>
          <w:rFonts w:ascii="Garamond" w:hAnsi="Garamond"/>
          <w:bCs/>
        </w:rPr>
        <w:t xml:space="preserve">The interpretation of the PP Act and the PP Regulations gave rise to no issue of public policy – the issue was simply whether the COA was exempted from the </w:t>
      </w:r>
      <w:r w:rsidR="00486DA1">
        <w:rPr>
          <w:rFonts w:ascii="Garamond" w:hAnsi="Garamond"/>
          <w:bCs/>
        </w:rPr>
        <w:t>procurement legislation</w:t>
      </w:r>
      <w:r w:rsidR="00341DF0">
        <w:rPr>
          <w:rFonts w:ascii="Garamond" w:hAnsi="Garamond"/>
          <w:bCs/>
        </w:rPr>
        <w:t xml:space="preserve"> </w:t>
      </w:r>
      <w:r w:rsidR="002968F7">
        <w:rPr>
          <w:rFonts w:ascii="Garamond" w:hAnsi="Garamond"/>
          <w:bCs/>
        </w:rPr>
        <w:t>[</w:t>
      </w:r>
      <w:r w:rsidR="002968F7">
        <w:rPr>
          <w:rFonts w:ascii="Garamond" w:hAnsi="Garamond"/>
          <w:b/>
        </w:rPr>
        <w:t>46</w:t>
      </w:r>
      <w:r w:rsidR="002968F7">
        <w:rPr>
          <w:rFonts w:ascii="Garamond" w:hAnsi="Garamond"/>
          <w:bCs/>
        </w:rPr>
        <w:t xml:space="preserve">]. </w:t>
      </w:r>
      <w:r>
        <w:rPr>
          <w:rFonts w:ascii="Garamond" w:hAnsi="Garamond"/>
          <w:bCs/>
        </w:rPr>
        <w:t xml:space="preserve">The court cannot use the guise of public policy to reopen issues </w:t>
      </w:r>
      <w:r w:rsidR="007E6DA9">
        <w:rPr>
          <w:rFonts w:ascii="Garamond" w:hAnsi="Garamond"/>
          <w:bCs/>
        </w:rPr>
        <w:t>r</w:t>
      </w:r>
      <w:r>
        <w:rPr>
          <w:rFonts w:ascii="Garamond" w:hAnsi="Garamond"/>
          <w:bCs/>
        </w:rPr>
        <w:t>elating to the meaning and effect of a contract or whether it complies with a regulatory or legislative scheme [</w:t>
      </w:r>
      <w:r>
        <w:rPr>
          <w:rFonts w:ascii="Garamond" w:hAnsi="Garamond"/>
          <w:b/>
        </w:rPr>
        <w:t>49</w:t>
      </w:r>
      <w:r>
        <w:rPr>
          <w:rFonts w:ascii="Garamond" w:hAnsi="Garamond"/>
          <w:bCs/>
        </w:rPr>
        <w:t xml:space="preserve">]. </w:t>
      </w:r>
    </w:p>
    <w:p w14:paraId="7E650B20" w14:textId="77777777" w:rsidR="009543DB" w:rsidRPr="009543DB" w:rsidRDefault="009543DB" w:rsidP="00436C28">
      <w:pPr>
        <w:jc w:val="both"/>
        <w:rPr>
          <w:rFonts w:ascii="Garamond" w:hAnsi="Garamond"/>
          <w:bCs/>
        </w:rPr>
      </w:pPr>
    </w:p>
    <w:p w14:paraId="0568C0CA" w14:textId="77777777" w:rsidR="00A200DB" w:rsidRDefault="00C73084" w:rsidP="00436C28">
      <w:pPr>
        <w:jc w:val="both"/>
        <w:rPr>
          <w:rFonts w:ascii="Garamond" w:hAnsi="Garamond"/>
          <w:bCs/>
          <w:i/>
          <w:iCs/>
        </w:rPr>
      </w:pPr>
      <w:r>
        <w:rPr>
          <w:rFonts w:ascii="Garamond" w:hAnsi="Garamond"/>
          <w:bCs/>
          <w:i/>
          <w:iCs/>
        </w:rPr>
        <w:t>The COA was not in breach of Mauritian public procurement laws</w:t>
      </w:r>
      <w:r w:rsidR="00C55D3F">
        <w:rPr>
          <w:rFonts w:ascii="Garamond" w:hAnsi="Garamond"/>
          <w:bCs/>
          <w:i/>
          <w:iCs/>
        </w:rPr>
        <w:t xml:space="preserve"> (issue two)</w:t>
      </w:r>
    </w:p>
    <w:p w14:paraId="1EB8CA18" w14:textId="77777777" w:rsidR="00C73084" w:rsidRDefault="00C73084" w:rsidP="00436C28">
      <w:pPr>
        <w:jc w:val="both"/>
        <w:rPr>
          <w:rFonts w:ascii="Garamond" w:hAnsi="Garamond"/>
          <w:bCs/>
          <w:i/>
          <w:iCs/>
        </w:rPr>
      </w:pPr>
    </w:p>
    <w:p w14:paraId="322DC3DA" w14:textId="77777777" w:rsidR="007E6F9A" w:rsidRDefault="00C73084" w:rsidP="00436C28">
      <w:pPr>
        <w:jc w:val="both"/>
        <w:rPr>
          <w:rFonts w:ascii="Garamond" w:hAnsi="Garamond"/>
          <w:bCs/>
        </w:rPr>
      </w:pPr>
      <w:r>
        <w:rPr>
          <w:rFonts w:ascii="Garamond" w:hAnsi="Garamond"/>
          <w:bCs/>
        </w:rPr>
        <w:t xml:space="preserve">As a result of the Board’s </w:t>
      </w:r>
      <w:r w:rsidRPr="00D33668">
        <w:rPr>
          <w:rFonts w:ascii="Garamond" w:hAnsi="Garamond"/>
          <w:bCs/>
        </w:rPr>
        <w:t xml:space="preserve">conclusion on </w:t>
      </w:r>
      <w:r w:rsidR="00D33668" w:rsidRPr="00D33668">
        <w:rPr>
          <w:rFonts w:ascii="Garamond" w:hAnsi="Garamond"/>
          <w:bCs/>
        </w:rPr>
        <w:t>issue one</w:t>
      </w:r>
      <w:r w:rsidRPr="00D33668">
        <w:rPr>
          <w:rFonts w:ascii="Garamond" w:hAnsi="Garamond"/>
          <w:bCs/>
        </w:rPr>
        <w:t xml:space="preserve">, </w:t>
      </w:r>
      <w:r w:rsidR="00D33668" w:rsidRPr="00D33668">
        <w:rPr>
          <w:rFonts w:ascii="Garamond" w:hAnsi="Garamond"/>
          <w:bCs/>
        </w:rPr>
        <w:t>issues two and three</w:t>
      </w:r>
      <w:r w:rsidRPr="00D33668">
        <w:rPr>
          <w:rFonts w:ascii="Garamond" w:hAnsi="Garamond"/>
          <w:bCs/>
        </w:rPr>
        <w:t xml:space="preserve"> </w:t>
      </w:r>
      <w:r w:rsidR="008D3E3A" w:rsidRPr="00D33668">
        <w:rPr>
          <w:rFonts w:ascii="Garamond" w:hAnsi="Garamond"/>
          <w:bCs/>
        </w:rPr>
        <w:t>do</w:t>
      </w:r>
      <w:r>
        <w:rPr>
          <w:rFonts w:ascii="Garamond" w:hAnsi="Garamond"/>
          <w:bCs/>
        </w:rPr>
        <w:t xml:space="preserve"> not </w:t>
      </w:r>
      <w:r w:rsidR="00DE4FBF">
        <w:rPr>
          <w:rFonts w:ascii="Garamond" w:hAnsi="Garamond"/>
          <w:bCs/>
        </w:rPr>
        <w:t>arise</w:t>
      </w:r>
      <w:r w:rsidR="008D3E3A">
        <w:rPr>
          <w:rFonts w:ascii="Garamond" w:hAnsi="Garamond"/>
          <w:bCs/>
        </w:rPr>
        <w:t xml:space="preserve"> [</w:t>
      </w:r>
      <w:r w:rsidR="008D3E3A">
        <w:rPr>
          <w:rFonts w:ascii="Garamond" w:hAnsi="Garamond"/>
          <w:b/>
        </w:rPr>
        <w:t>54, 95</w:t>
      </w:r>
      <w:r w:rsidR="008D3E3A">
        <w:rPr>
          <w:rFonts w:ascii="Garamond" w:hAnsi="Garamond"/>
          <w:bCs/>
        </w:rPr>
        <w:t xml:space="preserve">]. </w:t>
      </w:r>
      <w:r w:rsidR="00F55C78">
        <w:rPr>
          <w:rFonts w:ascii="Garamond" w:hAnsi="Garamond"/>
          <w:bCs/>
        </w:rPr>
        <w:t>O</w:t>
      </w:r>
      <w:r w:rsidR="00BC56D5">
        <w:rPr>
          <w:rFonts w:ascii="Garamond" w:hAnsi="Garamond"/>
          <w:bCs/>
        </w:rPr>
        <w:t xml:space="preserve">n issue two </w:t>
      </w:r>
      <w:r>
        <w:rPr>
          <w:rFonts w:ascii="Garamond" w:hAnsi="Garamond"/>
          <w:bCs/>
        </w:rPr>
        <w:t xml:space="preserve">the Board </w:t>
      </w:r>
      <w:r w:rsidR="00F2779A">
        <w:rPr>
          <w:rFonts w:ascii="Garamond" w:hAnsi="Garamond"/>
          <w:bCs/>
        </w:rPr>
        <w:t>nonetheless explains</w:t>
      </w:r>
      <w:r w:rsidR="00AD5364">
        <w:rPr>
          <w:rFonts w:ascii="Garamond" w:hAnsi="Garamond"/>
          <w:bCs/>
        </w:rPr>
        <w:t xml:space="preserve"> </w:t>
      </w:r>
      <w:r w:rsidR="00DE4FBF">
        <w:rPr>
          <w:rFonts w:ascii="Garamond" w:hAnsi="Garamond"/>
          <w:bCs/>
        </w:rPr>
        <w:t>why</w:t>
      </w:r>
      <w:r w:rsidR="00341DF0">
        <w:rPr>
          <w:rFonts w:ascii="Garamond" w:hAnsi="Garamond"/>
          <w:bCs/>
        </w:rPr>
        <w:t>,</w:t>
      </w:r>
      <w:r w:rsidR="003C6C28">
        <w:rPr>
          <w:rFonts w:ascii="Garamond" w:hAnsi="Garamond"/>
          <w:bCs/>
        </w:rPr>
        <w:t xml:space="preserve"> on the proper interpretation of the </w:t>
      </w:r>
      <w:r w:rsidR="00D61312">
        <w:rPr>
          <w:rFonts w:ascii="Garamond" w:hAnsi="Garamond"/>
          <w:bCs/>
        </w:rPr>
        <w:t xml:space="preserve">difficult legislative provisions relating to the scope of the exemptions set out in the </w:t>
      </w:r>
      <w:r w:rsidR="003C6C28">
        <w:rPr>
          <w:rFonts w:ascii="Garamond" w:hAnsi="Garamond"/>
          <w:bCs/>
        </w:rPr>
        <w:t>PP Act and PP Regulations</w:t>
      </w:r>
      <w:r w:rsidR="00F2779A">
        <w:rPr>
          <w:rFonts w:ascii="Garamond" w:hAnsi="Garamond"/>
          <w:bCs/>
        </w:rPr>
        <w:t xml:space="preserve"> </w:t>
      </w:r>
      <w:r w:rsidR="003C6C28">
        <w:rPr>
          <w:rFonts w:ascii="Garamond" w:hAnsi="Garamond"/>
          <w:bCs/>
        </w:rPr>
        <w:t>(as amended shortly before the COA was made)</w:t>
      </w:r>
      <w:r w:rsidR="00341DF0">
        <w:rPr>
          <w:rFonts w:ascii="Garamond" w:hAnsi="Garamond"/>
          <w:bCs/>
        </w:rPr>
        <w:t>,</w:t>
      </w:r>
      <w:r w:rsidR="00D61312">
        <w:rPr>
          <w:rFonts w:ascii="Garamond" w:hAnsi="Garamond"/>
          <w:bCs/>
        </w:rPr>
        <w:t xml:space="preserve"> </w:t>
      </w:r>
      <w:r w:rsidR="00DE4FBF">
        <w:rPr>
          <w:rFonts w:ascii="Garamond" w:hAnsi="Garamond"/>
          <w:bCs/>
        </w:rPr>
        <w:t>it agrees with the</w:t>
      </w:r>
      <w:r w:rsidR="00F2779A">
        <w:rPr>
          <w:rFonts w:ascii="Garamond" w:hAnsi="Garamond"/>
          <w:bCs/>
        </w:rPr>
        <w:t xml:space="preserve"> </w:t>
      </w:r>
      <w:r w:rsidR="00624E3B">
        <w:rPr>
          <w:rFonts w:ascii="Garamond" w:hAnsi="Garamond"/>
          <w:bCs/>
        </w:rPr>
        <w:t>a</w:t>
      </w:r>
      <w:r w:rsidR="00F2779A">
        <w:rPr>
          <w:rFonts w:ascii="Garamond" w:hAnsi="Garamond"/>
          <w:bCs/>
        </w:rPr>
        <w:t>rbitrator</w:t>
      </w:r>
      <w:r w:rsidR="008C0A3A">
        <w:rPr>
          <w:rFonts w:ascii="Garamond" w:hAnsi="Garamond"/>
          <w:bCs/>
        </w:rPr>
        <w:t xml:space="preserve"> rather than the Supreme Court </w:t>
      </w:r>
      <w:r w:rsidR="00AD5364">
        <w:rPr>
          <w:rFonts w:ascii="Garamond" w:hAnsi="Garamond"/>
          <w:bCs/>
        </w:rPr>
        <w:t>[</w:t>
      </w:r>
      <w:r w:rsidR="00AD5364" w:rsidRPr="00AE6EA3">
        <w:rPr>
          <w:rFonts w:ascii="Garamond" w:hAnsi="Garamond"/>
          <w:b/>
        </w:rPr>
        <w:t>55</w:t>
      </w:r>
      <w:r w:rsidR="00AD5364">
        <w:rPr>
          <w:rFonts w:ascii="Garamond" w:hAnsi="Garamond"/>
          <w:bCs/>
        </w:rPr>
        <w:t>-</w:t>
      </w:r>
      <w:r w:rsidR="00AD5364" w:rsidRPr="00AE6EA3">
        <w:rPr>
          <w:rFonts w:ascii="Garamond" w:hAnsi="Garamond"/>
          <w:b/>
        </w:rPr>
        <w:t>94</w:t>
      </w:r>
      <w:r w:rsidR="00AD5364">
        <w:rPr>
          <w:rFonts w:ascii="Garamond" w:hAnsi="Garamond"/>
          <w:bCs/>
        </w:rPr>
        <w:t>]</w:t>
      </w:r>
      <w:r w:rsidR="00CC64EB">
        <w:rPr>
          <w:rFonts w:ascii="Garamond" w:hAnsi="Garamond"/>
          <w:bCs/>
        </w:rPr>
        <w:t>.</w:t>
      </w:r>
      <w:r w:rsidR="00BD720E">
        <w:rPr>
          <w:rFonts w:ascii="Garamond" w:hAnsi="Garamond"/>
          <w:bCs/>
        </w:rPr>
        <w:t xml:space="preserve"> </w:t>
      </w:r>
    </w:p>
    <w:p w14:paraId="20BF4077" w14:textId="77777777" w:rsidR="004E4206" w:rsidRDefault="004E4206" w:rsidP="00436C28">
      <w:pPr>
        <w:jc w:val="both"/>
        <w:rPr>
          <w:rFonts w:ascii="Garamond" w:hAnsi="Garamond"/>
          <w:bCs/>
        </w:rPr>
      </w:pPr>
    </w:p>
    <w:p w14:paraId="6418C688" w14:textId="77777777" w:rsidR="00FA3D1D" w:rsidRPr="004C5099" w:rsidRDefault="00566BC2" w:rsidP="009621B7">
      <w:pPr>
        <w:rPr>
          <w:rFonts w:ascii="Garamond" w:hAnsi="Garamond"/>
          <w:i/>
        </w:rPr>
      </w:pPr>
      <w:r w:rsidRPr="00566BC2">
        <w:rPr>
          <w:rFonts w:ascii="Garamond" w:hAnsi="Garamond"/>
          <w:i/>
        </w:rPr>
        <w:t>References in square brackets are to paragraphs in the judgment</w:t>
      </w:r>
    </w:p>
    <w:p w14:paraId="25853D2E" w14:textId="77777777" w:rsidR="00FA3D1D" w:rsidRDefault="00FA3D1D" w:rsidP="009621B7">
      <w:pPr>
        <w:rPr>
          <w:rFonts w:ascii="Garamond" w:hAnsi="Garamond"/>
        </w:rPr>
      </w:pPr>
    </w:p>
    <w:p w14:paraId="0388C529" w14:textId="77777777" w:rsidR="00F21447" w:rsidRPr="00C77F2E" w:rsidRDefault="00F21447" w:rsidP="00F21447">
      <w:pPr>
        <w:pStyle w:val="paragraph"/>
        <w:spacing w:before="0" w:beforeAutospacing="0" w:after="0" w:afterAutospacing="0"/>
        <w:jc w:val="both"/>
        <w:textAlignment w:val="baseline"/>
        <w:rPr>
          <w:rFonts w:ascii="Garamond" w:hAnsi="Garamond" w:cs="Segoe UI"/>
          <w:sz w:val="22"/>
          <w:szCs w:val="22"/>
        </w:rPr>
      </w:pPr>
      <w:r w:rsidRPr="00C77F2E">
        <w:rPr>
          <w:rStyle w:val="normaltextrun"/>
          <w:rFonts w:ascii="Garamond" w:hAnsi="Garamond"/>
          <w:b/>
          <w:bCs/>
          <w:sz w:val="22"/>
          <w:szCs w:val="22"/>
          <w:u w:val="single"/>
        </w:rPr>
        <w:t>NOTE</w:t>
      </w:r>
      <w:r w:rsidRPr="00C77F2E">
        <w:rPr>
          <w:rStyle w:val="eop"/>
          <w:rFonts w:ascii="Garamond" w:hAnsi="Garamond"/>
          <w:sz w:val="22"/>
          <w:szCs w:val="22"/>
        </w:rPr>
        <w:t> </w:t>
      </w:r>
    </w:p>
    <w:p w14:paraId="31007942" w14:textId="77777777" w:rsidR="006D6D23" w:rsidRPr="00AE6EA3" w:rsidRDefault="00F21447" w:rsidP="00AE6EA3">
      <w:pPr>
        <w:pStyle w:val="paragraph"/>
        <w:spacing w:before="0" w:beforeAutospacing="0" w:after="0" w:afterAutospacing="0"/>
        <w:jc w:val="both"/>
        <w:textAlignment w:val="baseline"/>
        <w:rPr>
          <w:rFonts w:ascii="Garamond" w:hAnsi="Garamond" w:cs="Segoe UI"/>
          <w:sz w:val="22"/>
          <w:szCs w:val="22"/>
        </w:rPr>
      </w:pPr>
      <w:r w:rsidRPr="00C77F2E">
        <w:rPr>
          <w:rStyle w:val="normaltextrun"/>
          <w:rFonts w:ascii="Garamond" w:hAnsi="Garamond"/>
          <w:b/>
          <w:bCs/>
          <w:sz w:val="22"/>
          <w:szCs w:val="22"/>
        </w:rPr>
        <w:t>This summary is provided to assist in understanding the Committee’s decision. It does not form part of the reasons for that decision. The full opinion of the Committee is the only authoritative document.</w:t>
      </w:r>
      <w:r w:rsidRPr="00C77F2E">
        <w:rPr>
          <w:rStyle w:val="normaltextrun"/>
          <w:rFonts w:ascii="Garamond" w:hAnsi="Garamond"/>
          <w:sz w:val="22"/>
          <w:szCs w:val="22"/>
        </w:rPr>
        <w:t> </w:t>
      </w:r>
      <w:r w:rsidRPr="00C77F2E">
        <w:rPr>
          <w:rStyle w:val="normaltextrun"/>
          <w:rFonts w:ascii="Garamond" w:hAnsi="Garamond"/>
          <w:b/>
          <w:bCs/>
          <w:sz w:val="22"/>
          <w:szCs w:val="22"/>
        </w:rPr>
        <w:t xml:space="preserve">Judgments are public documents and are available </w:t>
      </w:r>
      <w:r w:rsidR="00C77F2E">
        <w:rPr>
          <w:rStyle w:val="normaltextrun"/>
          <w:rFonts w:ascii="Garamond" w:hAnsi="Garamond"/>
          <w:b/>
          <w:bCs/>
          <w:sz w:val="22"/>
          <w:szCs w:val="22"/>
        </w:rPr>
        <w:t>a</w:t>
      </w:r>
      <w:r w:rsidRPr="00C77F2E">
        <w:rPr>
          <w:rStyle w:val="normaltextrun"/>
          <w:rFonts w:ascii="Garamond" w:hAnsi="Garamond"/>
          <w:b/>
          <w:bCs/>
          <w:sz w:val="22"/>
          <w:szCs w:val="22"/>
        </w:rPr>
        <w:t>t: </w:t>
      </w:r>
      <w:hyperlink r:id="rId12" w:tgtFrame="_blank" w:history="1">
        <w:r w:rsidRPr="00C77F2E">
          <w:rPr>
            <w:rStyle w:val="normaltextrun"/>
            <w:rFonts w:ascii="Garamond" w:hAnsi="Garamond"/>
            <w:color w:val="0000FF"/>
            <w:sz w:val="22"/>
            <w:szCs w:val="22"/>
            <w:u w:val="single"/>
          </w:rPr>
          <w:t>www.jcpc.uk/decided-cases/index.html</w:t>
        </w:r>
      </w:hyperlink>
      <w:r w:rsidRPr="00C77F2E">
        <w:rPr>
          <w:rStyle w:val="normaltextrun"/>
          <w:rFonts w:ascii="Garamond" w:hAnsi="Garamond"/>
          <w:color w:val="0000FF"/>
          <w:sz w:val="22"/>
          <w:szCs w:val="22"/>
        </w:rPr>
        <w:t>. </w:t>
      </w:r>
      <w:r w:rsidRPr="00C77F2E">
        <w:rPr>
          <w:rStyle w:val="eop"/>
          <w:rFonts w:ascii="Garamond" w:hAnsi="Garamond"/>
          <w:color w:val="0000FF"/>
          <w:sz w:val="22"/>
          <w:szCs w:val="22"/>
        </w:rPr>
        <w:t> </w:t>
      </w:r>
    </w:p>
    <w:sectPr w:rsidR="006D6D23" w:rsidRPr="00AE6EA3" w:rsidSect="00437284">
      <w:footerReference w:type="default" r:id="rId13"/>
      <w:pgSz w:w="11906" w:h="16838" w:code="9"/>
      <w:pgMar w:top="567" w:right="964" w:bottom="964" w:left="232" w:header="0" w:footer="0"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71803" w14:textId="77777777" w:rsidR="003819DA" w:rsidRDefault="003819DA">
      <w:r>
        <w:separator/>
      </w:r>
    </w:p>
  </w:endnote>
  <w:endnote w:type="continuationSeparator" w:id="0">
    <w:p w14:paraId="15992E45" w14:textId="77777777" w:rsidR="003819DA" w:rsidRDefault="00381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haker 2 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14501" w14:textId="77777777" w:rsidR="007B5252" w:rsidRDefault="007B5252" w:rsidP="00ED05C2">
    <w:pPr>
      <w:pStyle w:val="Footer"/>
      <w:jc w:val="center"/>
      <w:rPr>
        <w:rFonts w:ascii="Shaker 2 Regular" w:hAnsi="Shaker 2 Regular"/>
        <w:b/>
        <w:sz w:val="20"/>
      </w:rPr>
    </w:pPr>
    <w:r w:rsidRPr="00821EB9">
      <w:rPr>
        <w:rFonts w:ascii="Shaker 2 Regular" w:hAnsi="Shaker 2 Regular"/>
        <w:b/>
        <w:sz w:val="20"/>
      </w:rPr>
      <w:t>The Supreme Court of the United Kingdom</w:t>
    </w:r>
  </w:p>
  <w:p w14:paraId="14D11208" w14:textId="77777777" w:rsidR="007B5252" w:rsidRPr="00821EB9" w:rsidRDefault="007B5252" w:rsidP="00ED05C2">
    <w:pPr>
      <w:pStyle w:val="Footer"/>
      <w:jc w:val="center"/>
      <w:rPr>
        <w:rFonts w:ascii="Shaker 2 Regular" w:hAnsi="Shaker 2 Regular"/>
        <w:sz w:val="20"/>
      </w:rPr>
    </w:pPr>
    <w:r w:rsidRPr="00821EB9">
      <w:rPr>
        <w:rFonts w:ascii="Shaker 2 Regular" w:hAnsi="Shaker 2 Regular"/>
        <w:b/>
        <w:sz w:val="20"/>
      </w:rPr>
      <w:t xml:space="preserve"> </w:t>
    </w:r>
    <w:r w:rsidRPr="00821EB9">
      <w:rPr>
        <w:rFonts w:ascii="Shaker 2 Regular" w:hAnsi="Shaker 2 Regular"/>
        <w:sz w:val="20"/>
      </w:rPr>
      <w:t xml:space="preserve">Parliament Square London SW1P 3BD </w:t>
    </w:r>
    <w:r w:rsidRPr="00821EB9">
      <w:rPr>
        <w:rFonts w:ascii="Shaker 2 Regular" w:hAnsi="Shaker 2 Regular"/>
        <w:b/>
        <w:sz w:val="20"/>
      </w:rPr>
      <w:t xml:space="preserve">T: </w:t>
    </w:r>
    <w:r>
      <w:rPr>
        <w:rFonts w:ascii="Shaker 2 Regular" w:hAnsi="Shaker 2 Regular"/>
        <w:sz w:val="20"/>
      </w:rPr>
      <w:t>020 7960 1886/1887</w:t>
    </w:r>
    <w:r w:rsidRPr="00821EB9">
      <w:rPr>
        <w:rFonts w:ascii="Shaker 2 Regular" w:hAnsi="Shaker 2 Regular"/>
        <w:sz w:val="20"/>
      </w:rPr>
      <w:t xml:space="preserve"> </w:t>
    </w:r>
    <w:r w:rsidRPr="00821EB9">
      <w:rPr>
        <w:rFonts w:ascii="Shaker 2 Regular" w:hAnsi="Shaker 2 Regular"/>
        <w:b/>
        <w:sz w:val="20"/>
      </w:rPr>
      <w:t xml:space="preserve">F: </w:t>
    </w:r>
    <w:r w:rsidRPr="00821EB9">
      <w:rPr>
        <w:rFonts w:ascii="Shaker 2 Regular" w:hAnsi="Shaker 2 Regular"/>
        <w:sz w:val="20"/>
      </w:rPr>
      <w:t xml:space="preserve">020 7960 1901 </w:t>
    </w:r>
    <w:r w:rsidRPr="00821EB9">
      <w:rPr>
        <w:rFonts w:ascii="Shaker 2 Regular" w:hAnsi="Shaker 2 Regular"/>
        <w:b/>
        <w:sz w:val="20"/>
      </w:rPr>
      <w:t>www.supremecourt.uk</w:t>
    </w:r>
  </w:p>
  <w:p w14:paraId="33AD6824" w14:textId="77777777" w:rsidR="007B5252" w:rsidRDefault="007B5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897C3" w14:textId="77777777" w:rsidR="003819DA" w:rsidRDefault="003819DA">
      <w:r>
        <w:separator/>
      </w:r>
    </w:p>
  </w:footnote>
  <w:footnote w:type="continuationSeparator" w:id="0">
    <w:p w14:paraId="2600ED85" w14:textId="77777777" w:rsidR="003819DA" w:rsidRDefault="003819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3324F"/>
    <w:multiLevelType w:val="hybridMultilevel"/>
    <w:tmpl w:val="504ABB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57263"/>
    <w:multiLevelType w:val="hybridMultilevel"/>
    <w:tmpl w:val="3F5641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7B1BE8"/>
    <w:multiLevelType w:val="hybridMultilevel"/>
    <w:tmpl w:val="8CEA5E3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423702D4"/>
    <w:multiLevelType w:val="hybridMultilevel"/>
    <w:tmpl w:val="2C8AF2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246ACF"/>
    <w:multiLevelType w:val="hybridMultilevel"/>
    <w:tmpl w:val="9ACE78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FB07351"/>
    <w:multiLevelType w:val="hybridMultilevel"/>
    <w:tmpl w:val="41ACCCC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9911539"/>
    <w:multiLevelType w:val="hybridMultilevel"/>
    <w:tmpl w:val="CEDEA2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C2"/>
    <w:rsid w:val="000000EF"/>
    <w:rsid w:val="000005FE"/>
    <w:rsid w:val="00001236"/>
    <w:rsid w:val="00005177"/>
    <w:rsid w:val="000057A2"/>
    <w:rsid w:val="00012BB7"/>
    <w:rsid w:val="000167A2"/>
    <w:rsid w:val="00020BAD"/>
    <w:rsid w:val="00020EB7"/>
    <w:rsid w:val="000241E7"/>
    <w:rsid w:val="00024EC8"/>
    <w:rsid w:val="0002623C"/>
    <w:rsid w:val="00027162"/>
    <w:rsid w:val="00034C30"/>
    <w:rsid w:val="00034DBC"/>
    <w:rsid w:val="000406C7"/>
    <w:rsid w:val="00042655"/>
    <w:rsid w:val="000477B0"/>
    <w:rsid w:val="00047D0B"/>
    <w:rsid w:val="00050CEE"/>
    <w:rsid w:val="000555C0"/>
    <w:rsid w:val="00055CA8"/>
    <w:rsid w:val="000575DB"/>
    <w:rsid w:val="00063BF9"/>
    <w:rsid w:val="00064056"/>
    <w:rsid w:val="000671CD"/>
    <w:rsid w:val="000671F2"/>
    <w:rsid w:val="000708A7"/>
    <w:rsid w:val="00071664"/>
    <w:rsid w:val="00072EA3"/>
    <w:rsid w:val="00077844"/>
    <w:rsid w:val="00080BEC"/>
    <w:rsid w:val="000817A0"/>
    <w:rsid w:val="000825E6"/>
    <w:rsid w:val="0008269B"/>
    <w:rsid w:val="0008453E"/>
    <w:rsid w:val="00086F57"/>
    <w:rsid w:val="000948B2"/>
    <w:rsid w:val="00097443"/>
    <w:rsid w:val="000A4513"/>
    <w:rsid w:val="000A66C8"/>
    <w:rsid w:val="000A6EE9"/>
    <w:rsid w:val="000A7116"/>
    <w:rsid w:val="000B3E81"/>
    <w:rsid w:val="000B3F7E"/>
    <w:rsid w:val="000B4024"/>
    <w:rsid w:val="000B4831"/>
    <w:rsid w:val="000B5D11"/>
    <w:rsid w:val="000B5D70"/>
    <w:rsid w:val="000B7A7F"/>
    <w:rsid w:val="000C0CC3"/>
    <w:rsid w:val="000C30DA"/>
    <w:rsid w:val="000C7109"/>
    <w:rsid w:val="000C772F"/>
    <w:rsid w:val="000C7EBD"/>
    <w:rsid w:val="000C7EF6"/>
    <w:rsid w:val="000D0396"/>
    <w:rsid w:val="000D0D88"/>
    <w:rsid w:val="000D20A0"/>
    <w:rsid w:val="000D2CAD"/>
    <w:rsid w:val="000D3A65"/>
    <w:rsid w:val="000D4B2A"/>
    <w:rsid w:val="000D5A77"/>
    <w:rsid w:val="000D6187"/>
    <w:rsid w:val="000E0DAC"/>
    <w:rsid w:val="000E15C7"/>
    <w:rsid w:val="000E43DC"/>
    <w:rsid w:val="000E679C"/>
    <w:rsid w:val="000F301A"/>
    <w:rsid w:val="000F3E2D"/>
    <w:rsid w:val="000F4B66"/>
    <w:rsid w:val="000F62FD"/>
    <w:rsid w:val="000F7176"/>
    <w:rsid w:val="00101F8F"/>
    <w:rsid w:val="0010337D"/>
    <w:rsid w:val="00103381"/>
    <w:rsid w:val="0010418F"/>
    <w:rsid w:val="001052FE"/>
    <w:rsid w:val="00105D12"/>
    <w:rsid w:val="00105EAC"/>
    <w:rsid w:val="00106035"/>
    <w:rsid w:val="001079F2"/>
    <w:rsid w:val="0011662B"/>
    <w:rsid w:val="00116FD1"/>
    <w:rsid w:val="00117B8B"/>
    <w:rsid w:val="0012079F"/>
    <w:rsid w:val="00123F0A"/>
    <w:rsid w:val="00125CC7"/>
    <w:rsid w:val="0012796E"/>
    <w:rsid w:val="00131465"/>
    <w:rsid w:val="00131F25"/>
    <w:rsid w:val="00132664"/>
    <w:rsid w:val="001326CB"/>
    <w:rsid w:val="0013397B"/>
    <w:rsid w:val="00133BD0"/>
    <w:rsid w:val="00134213"/>
    <w:rsid w:val="0013451B"/>
    <w:rsid w:val="0013750D"/>
    <w:rsid w:val="0014034F"/>
    <w:rsid w:val="001418CE"/>
    <w:rsid w:val="00142F40"/>
    <w:rsid w:val="00143BBF"/>
    <w:rsid w:val="001468CE"/>
    <w:rsid w:val="0015103F"/>
    <w:rsid w:val="0015116E"/>
    <w:rsid w:val="00151C2D"/>
    <w:rsid w:val="001561B2"/>
    <w:rsid w:val="00167BC4"/>
    <w:rsid w:val="00167E07"/>
    <w:rsid w:val="00167E10"/>
    <w:rsid w:val="00173772"/>
    <w:rsid w:val="00175326"/>
    <w:rsid w:val="0017617A"/>
    <w:rsid w:val="0017623E"/>
    <w:rsid w:val="001762E5"/>
    <w:rsid w:val="0017752B"/>
    <w:rsid w:val="00181B15"/>
    <w:rsid w:val="001828D6"/>
    <w:rsid w:val="00186193"/>
    <w:rsid w:val="0018646E"/>
    <w:rsid w:val="001876B7"/>
    <w:rsid w:val="0019026E"/>
    <w:rsid w:val="0019040F"/>
    <w:rsid w:val="0019538F"/>
    <w:rsid w:val="00195B63"/>
    <w:rsid w:val="001974C0"/>
    <w:rsid w:val="001A12E0"/>
    <w:rsid w:val="001A23FB"/>
    <w:rsid w:val="001A451A"/>
    <w:rsid w:val="001A50F3"/>
    <w:rsid w:val="001A5539"/>
    <w:rsid w:val="001A5FDF"/>
    <w:rsid w:val="001A6106"/>
    <w:rsid w:val="001A7389"/>
    <w:rsid w:val="001B36F4"/>
    <w:rsid w:val="001B3E69"/>
    <w:rsid w:val="001B522B"/>
    <w:rsid w:val="001B533F"/>
    <w:rsid w:val="001B5882"/>
    <w:rsid w:val="001C06D4"/>
    <w:rsid w:val="001C18B4"/>
    <w:rsid w:val="001C3F4A"/>
    <w:rsid w:val="001C4DC4"/>
    <w:rsid w:val="001C6CAC"/>
    <w:rsid w:val="001C78CB"/>
    <w:rsid w:val="001D3597"/>
    <w:rsid w:val="001D39B8"/>
    <w:rsid w:val="001E17A8"/>
    <w:rsid w:val="001E24F9"/>
    <w:rsid w:val="001E27C3"/>
    <w:rsid w:val="001E283A"/>
    <w:rsid w:val="001E38F1"/>
    <w:rsid w:val="001E56EE"/>
    <w:rsid w:val="001E6100"/>
    <w:rsid w:val="001E640A"/>
    <w:rsid w:val="001E70BF"/>
    <w:rsid w:val="001F30DC"/>
    <w:rsid w:val="001F3BED"/>
    <w:rsid w:val="001F4AF7"/>
    <w:rsid w:val="001F4EF0"/>
    <w:rsid w:val="001F6410"/>
    <w:rsid w:val="0020205A"/>
    <w:rsid w:val="00210AAC"/>
    <w:rsid w:val="00215E1D"/>
    <w:rsid w:val="002164B3"/>
    <w:rsid w:val="00223636"/>
    <w:rsid w:val="0022411A"/>
    <w:rsid w:val="00224A4A"/>
    <w:rsid w:val="0022669D"/>
    <w:rsid w:val="00230365"/>
    <w:rsid w:val="00231673"/>
    <w:rsid w:val="00234FDF"/>
    <w:rsid w:val="00242603"/>
    <w:rsid w:val="0024508A"/>
    <w:rsid w:val="00245881"/>
    <w:rsid w:val="002462DB"/>
    <w:rsid w:val="00246374"/>
    <w:rsid w:val="0025011D"/>
    <w:rsid w:val="002538CB"/>
    <w:rsid w:val="002546A4"/>
    <w:rsid w:val="00256A59"/>
    <w:rsid w:val="002613CA"/>
    <w:rsid w:val="00261F8A"/>
    <w:rsid w:val="00263915"/>
    <w:rsid w:val="00263DDB"/>
    <w:rsid w:val="00264FAE"/>
    <w:rsid w:val="00266308"/>
    <w:rsid w:val="0026682B"/>
    <w:rsid w:val="002715D7"/>
    <w:rsid w:val="0027180D"/>
    <w:rsid w:val="00272FC0"/>
    <w:rsid w:val="00273292"/>
    <w:rsid w:val="00276A57"/>
    <w:rsid w:val="00282AF2"/>
    <w:rsid w:val="00285035"/>
    <w:rsid w:val="00285263"/>
    <w:rsid w:val="002872DE"/>
    <w:rsid w:val="002957C1"/>
    <w:rsid w:val="002968F7"/>
    <w:rsid w:val="002A0797"/>
    <w:rsid w:val="002A1539"/>
    <w:rsid w:val="002A18BD"/>
    <w:rsid w:val="002A1D65"/>
    <w:rsid w:val="002A21F6"/>
    <w:rsid w:val="002A6609"/>
    <w:rsid w:val="002A6ACC"/>
    <w:rsid w:val="002B0F59"/>
    <w:rsid w:val="002B3AC4"/>
    <w:rsid w:val="002B3E29"/>
    <w:rsid w:val="002B631E"/>
    <w:rsid w:val="002B7BE1"/>
    <w:rsid w:val="002C327C"/>
    <w:rsid w:val="002C3CDB"/>
    <w:rsid w:val="002C46E7"/>
    <w:rsid w:val="002C6531"/>
    <w:rsid w:val="002C7A88"/>
    <w:rsid w:val="002C7B7D"/>
    <w:rsid w:val="002D0500"/>
    <w:rsid w:val="002D22E4"/>
    <w:rsid w:val="002D2A8A"/>
    <w:rsid w:val="002D59B8"/>
    <w:rsid w:val="002D6DF4"/>
    <w:rsid w:val="002E01DD"/>
    <w:rsid w:val="002E09B4"/>
    <w:rsid w:val="002E2968"/>
    <w:rsid w:val="002E2AC9"/>
    <w:rsid w:val="002E30D8"/>
    <w:rsid w:val="002E340D"/>
    <w:rsid w:val="002E5E90"/>
    <w:rsid w:val="002E72EA"/>
    <w:rsid w:val="002F0C3C"/>
    <w:rsid w:val="002F15AF"/>
    <w:rsid w:val="002F1D76"/>
    <w:rsid w:val="002F53B7"/>
    <w:rsid w:val="002F582D"/>
    <w:rsid w:val="0030081B"/>
    <w:rsid w:val="0030354E"/>
    <w:rsid w:val="0030381C"/>
    <w:rsid w:val="00303DC8"/>
    <w:rsid w:val="00303E73"/>
    <w:rsid w:val="00304C5D"/>
    <w:rsid w:val="00305E6A"/>
    <w:rsid w:val="00307AC8"/>
    <w:rsid w:val="00310F27"/>
    <w:rsid w:val="003117EF"/>
    <w:rsid w:val="003126EC"/>
    <w:rsid w:val="00316454"/>
    <w:rsid w:val="00321BBB"/>
    <w:rsid w:val="003334C1"/>
    <w:rsid w:val="00334003"/>
    <w:rsid w:val="00334A84"/>
    <w:rsid w:val="00335DF0"/>
    <w:rsid w:val="003403DD"/>
    <w:rsid w:val="00341C0E"/>
    <w:rsid w:val="00341DF0"/>
    <w:rsid w:val="0034330D"/>
    <w:rsid w:val="00347001"/>
    <w:rsid w:val="00347557"/>
    <w:rsid w:val="003475C9"/>
    <w:rsid w:val="00352386"/>
    <w:rsid w:val="0035545A"/>
    <w:rsid w:val="00355552"/>
    <w:rsid w:val="00355B54"/>
    <w:rsid w:val="003560FC"/>
    <w:rsid w:val="00357FDD"/>
    <w:rsid w:val="00361358"/>
    <w:rsid w:val="003656F4"/>
    <w:rsid w:val="00367CE5"/>
    <w:rsid w:val="00370036"/>
    <w:rsid w:val="00370BB1"/>
    <w:rsid w:val="003711E3"/>
    <w:rsid w:val="00371EF5"/>
    <w:rsid w:val="00373261"/>
    <w:rsid w:val="003733DA"/>
    <w:rsid w:val="0037345C"/>
    <w:rsid w:val="00373BD7"/>
    <w:rsid w:val="003744DB"/>
    <w:rsid w:val="0037608C"/>
    <w:rsid w:val="003802CE"/>
    <w:rsid w:val="003808B5"/>
    <w:rsid w:val="003815A8"/>
    <w:rsid w:val="0038189A"/>
    <w:rsid w:val="003819DA"/>
    <w:rsid w:val="00386622"/>
    <w:rsid w:val="0038662D"/>
    <w:rsid w:val="00390412"/>
    <w:rsid w:val="00396769"/>
    <w:rsid w:val="003A0038"/>
    <w:rsid w:val="003A377D"/>
    <w:rsid w:val="003A434B"/>
    <w:rsid w:val="003B06D9"/>
    <w:rsid w:val="003B1E32"/>
    <w:rsid w:val="003B7C5F"/>
    <w:rsid w:val="003C0393"/>
    <w:rsid w:val="003C0415"/>
    <w:rsid w:val="003C1245"/>
    <w:rsid w:val="003C39A5"/>
    <w:rsid w:val="003C43D6"/>
    <w:rsid w:val="003C6B67"/>
    <w:rsid w:val="003C6C28"/>
    <w:rsid w:val="003D0368"/>
    <w:rsid w:val="003D7D6C"/>
    <w:rsid w:val="003D7D7D"/>
    <w:rsid w:val="003E07E2"/>
    <w:rsid w:val="003E161C"/>
    <w:rsid w:val="003E37D5"/>
    <w:rsid w:val="003E7AC8"/>
    <w:rsid w:val="003F6135"/>
    <w:rsid w:val="004029C0"/>
    <w:rsid w:val="00402BBA"/>
    <w:rsid w:val="004057E1"/>
    <w:rsid w:val="004115B4"/>
    <w:rsid w:val="0041248E"/>
    <w:rsid w:val="004248B5"/>
    <w:rsid w:val="004252AE"/>
    <w:rsid w:val="00425487"/>
    <w:rsid w:val="00426E47"/>
    <w:rsid w:val="004277EC"/>
    <w:rsid w:val="00432166"/>
    <w:rsid w:val="00433F74"/>
    <w:rsid w:val="00436C28"/>
    <w:rsid w:val="00437284"/>
    <w:rsid w:val="00441C0D"/>
    <w:rsid w:val="00442214"/>
    <w:rsid w:val="004426F8"/>
    <w:rsid w:val="0044315A"/>
    <w:rsid w:val="00443E3A"/>
    <w:rsid w:val="004470C3"/>
    <w:rsid w:val="00447CB1"/>
    <w:rsid w:val="00455126"/>
    <w:rsid w:val="00455A03"/>
    <w:rsid w:val="004579D1"/>
    <w:rsid w:val="00460B21"/>
    <w:rsid w:val="004610F9"/>
    <w:rsid w:val="00463D2A"/>
    <w:rsid w:val="00464D01"/>
    <w:rsid w:val="00470B2F"/>
    <w:rsid w:val="00471B8F"/>
    <w:rsid w:val="0047349F"/>
    <w:rsid w:val="00474DE9"/>
    <w:rsid w:val="004752EF"/>
    <w:rsid w:val="0047770B"/>
    <w:rsid w:val="004805DF"/>
    <w:rsid w:val="00480A42"/>
    <w:rsid w:val="0048471D"/>
    <w:rsid w:val="004848BD"/>
    <w:rsid w:val="004852A4"/>
    <w:rsid w:val="00486DA1"/>
    <w:rsid w:val="004874A2"/>
    <w:rsid w:val="00490CB7"/>
    <w:rsid w:val="00490EE5"/>
    <w:rsid w:val="00491081"/>
    <w:rsid w:val="00492E12"/>
    <w:rsid w:val="00494B33"/>
    <w:rsid w:val="00495A30"/>
    <w:rsid w:val="00495B5E"/>
    <w:rsid w:val="00496237"/>
    <w:rsid w:val="004965E4"/>
    <w:rsid w:val="00496941"/>
    <w:rsid w:val="004A0C46"/>
    <w:rsid w:val="004A325F"/>
    <w:rsid w:val="004A4DC4"/>
    <w:rsid w:val="004A5DB5"/>
    <w:rsid w:val="004A7AAE"/>
    <w:rsid w:val="004A7FCD"/>
    <w:rsid w:val="004B0054"/>
    <w:rsid w:val="004B1142"/>
    <w:rsid w:val="004B1292"/>
    <w:rsid w:val="004B2973"/>
    <w:rsid w:val="004B58B8"/>
    <w:rsid w:val="004B63CE"/>
    <w:rsid w:val="004B684C"/>
    <w:rsid w:val="004C1AF3"/>
    <w:rsid w:val="004C2737"/>
    <w:rsid w:val="004C385C"/>
    <w:rsid w:val="004C43F9"/>
    <w:rsid w:val="004C5099"/>
    <w:rsid w:val="004C58C1"/>
    <w:rsid w:val="004C6CAE"/>
    <w:rsid w:val="004D45D5"/>
    <w:rsid w:val="004D4E70"/>
    <w:rsid w:val="004D6297"/>
    <w:rsid w:val="004E28E1"/>
    <w:rsid w:val="004E4206"/>
    <w:rsid w:val="004E7466"/>
    <w:rsid w:val="004E7ED8"/>
    <w:rsid w:val="004F0C57"/>
    <w:rsid w:val="004F12B4"/>
    <w:rsid w:val="004F156B"/>
    <w:rsid w:val="004F2030"/>
    <w:rsid w:val="004F2C0A"/>
    <w:rsid w:val="004F433A"/>
    <w:rsid w:val="004F5610"/>
    <w:rsid w:val="004F77B1"/>
    <w:rsid w:val="00502C04"/>
    <w:rsid w:val="00505206"/>
    <w:rsid w:val="00510DD6"/>
    <w:rsid w:val="005134BF"/>
    <w:rsid w:val="005209BE"/>
    <w:rsid w:val="00521CA6"/>
    <w:rsid w:val="00524940"/>
    <w:rsid w:val="00530ABC"/>
    <w:rsid w:val="0053767F"/>
    <w:rsid w:val="00537D4B"/>
    <w:rsid w:val="0054126A"/>
    <w:rsid w:val="00541B19"/>
    <w:rsid w:val="005427F5"/>
    <w:rsid w:val="00542F42"/>
    <w:rsid w:val="005439D1"/>
    <w:rsid w:val="00544019"/>
    <w:rsid w:val="00546335"/>
    <w:rsid w:val="00547200"/>
    <w:rsid w:val="005472A7"/>
    <w:rsid w:val="00550576"/>
    <w:rsid w:val="00550ACF"/>
    <w:rsid w:val="00552EA8"/>
    <w:rsid w:val="00562F74"/>
    <w:rsid w:val="00564F6D"/>
    <w:rsid w:val="00565507"/>
    <w:rsid w:val="00566BC2"/>
    <w:rsid w:val="00570219"/>
    <w:rsid w:val="00571F32"/>
    <w:rsid w:val="00572E9D"/>
    <w:rsid w:val="00576BA5"/>
    <w:rsid w:val="0058169E"/>
    <w:rsid w:val="00582CFA"/>
    <w:rsid w:val="00583404"/>
    <w:rsid w:val="00583A80"/>
    <w:rsid w:val="00584C2E"/>
    <w:rsid w:val="0058542C"/>
    <w:rsid w:val="00587DCB"/>
    <w:rsid w:val="00590480"/>
    <w:rsid w:val="00591F3E"/>
    <w:rsid w:val="005A1098"/>
    <w:rsid w:val="005A1122"/>
    <w:rsid w:val="005A3067"/>
    <w:rsid w:val="005A6C83"/>
    <w:rsid w:val="005B210B"/>
    <w:rsid w:val="005B5670"/>
    <w:rsid w:val="005B6268"/>
    <w:rsid w:val="005C016B"/>
    <w:rsid w:val="005C090E"/>
    <w:rsid w:val="005C1F8C"/>
    <w:rsid w:val="005C3423"/>
    <w:rsid w:val="005C3B3E"/>
    <w:rsid w:val="005C4D6C"/>
    <w:rsid w:val="005C69BB"/>
    <w:rsid w:val="005C6BF6"/>
    <w:rsid w:val="005C7634"/>
    <w:rsid w:val="005D2A99"/>
    <w:rsid w:val="005D4F46"/>
    <w:rsid w:val="005D59E4"/>
    <w:rsid w:val="005E0995"/>
    <w:rsid w:val="005E27D5"/>
    <w:rsid w:val="005E2CAC"/>
    <w:rsid w:val="005E3145"/>
    <w:rsid w:val="005E5816"/>
    <w:rsid w:val="005E66AE"/>
    <w:rsid w:val="005F05AE"/>
    <w:rsid w:val="005F581E"/>
    <w:rsid w:val="005F5E0A"/>
    <w:rsid w:val="00601019"/>
    <w:rsid w:val="0060150F"/>
    <w:rsid w:val="006027A6"/>
    <w:rsid w:val="006028BF"/>
    <w:rsid w:val="0060721B"/>
    <w:rsid w:val="0061108C"/>
    <w:rsid w:val="00613E6E"/>
    <w:rsid w:val="00613F50"/>
    <w:rsid w:val="00613FA6"/>
    <w:rsid w:val="00617851"/>
    <w:rsid w:val="00617CCB"/>
    <w:rsid w:val="00624E3B"/>
    <w:rsid w:val="0063051E"/>
    <w:rsid w:val="006318E2"/>
    <w:rsid w:val="00631A48"/>
    <w:rsid w:val="00631AB4"/>
    <w:rsid w:val="00635F5D"/>
    <w:rsid w:val="006378FA"/>
    <w:rsid w:val="00640AD0"/>
    <w:rsid w:val="00640B13"/>
    <w:rsid w:val="00641393"/>
    <w:rsid w:val="00644C65"/>
    <w:rsid w:val="00646381"/>
    <w:rsid w:val="0064740C"/>
    <w:rsid w:val="00647FCA"/>
    <w:rsid w:val="00655BD8"/>
    <w:rsid w:val="00655CF3"/>
    <w:rsid w:val="0065748C"/>
    <w:rsid w:val="0066072A"/>
    <w:rsid w:val="00663462"/>
    <w:rsid w:val="00663A08"/>
    <w:rsid w:val="006667A0"/>
    <w:rsid w:val="006674B5"/>
    <w:rsid w:val="00667762"/>
    <w:rsid w:val="00667C37"/>
    <w:rsid w:val="00667DFA"/>
    <w:rsid w:val="00671A8D"/>
    <w:rsid w:val="00671B70"/>
    <w:rsid w:val="0067458E"/>
    <w:rsid w:val="0067523F"/>
    <w:rsid w:val="00677EAB"/>
    <w:rsid w:val="00677EF9"/>
    <w:rsid w:val="0068413A"/>
    <w:rsid w:val="00684EDD"/>
    <w:rsid w:val="006859FE"/>
    <w:rsid w:val="00685B58"/>
    <w:rsid w:val="00686FFE"/>
    <w:rsid w:val="00690BC6"/>
    <w:rsid w:val="006918EA"/>
    <w:rsid w:val="00692050"/>
    <w:rsid w:val="006922AE"/>
    <w:rsid w:val="00695F42"/>
    <w:rsid w:val="0069613D"/>
    <w:rsid w:val="00696264"/>
    <w:rsid w:val="006977DC"/>
    <w:rsid w:val="00697D99"/>
    <w:rsid w:val="006A2914"/>
    <w:rsid w:val="006A2CC3"/>
    <w:rsid w:val="006A4858"/>
    <w:rsid w:val="006A5257"/>
    <w:rsid w:val="006A6C25"/>
    <w:rsid w:val="006A7ED5"/>
    <w:rsid w:val="006B2B6B"/>
    <w:rsid w:val="006B4AED"/>
    <w:rsid w:val="006B6634"/>
    <w:rsid w:val="006B734F"/>
    <w:rsid w:val="006B7E96"/>
    <w:rsid w:val="006C188F"/>
    <w:rsid w:val="006C2182"/>
    <w:rsid w:val="006C408C"/>
    <w:rsid w:val="006C52E8"/>
    <w:rsid w:val="006C63C4"/>
    <w:rsid w:val="006D6D23"/>
    <w:rsid w:val="006D76CB"/>
    <w:rsid w:val="006F07D0"/>
    <w:rsid w:val="006F6B19"/>
    <w:rsid w:val="00701CCE"/>
    <w:rsid w:val="0070274C"/>
    <w:rsid w:val="00707394"/>
    <w:rsid w:val="00710B30"/>
    <w:rsid w:val="00710D11"/>
    <w:rsid w:val="00717B17"/>
    <w:rsid w:val="00722131"/>
    <w:rsid w:val="00723875"/>
    <w:rsid w:val="00723903"/>
    <w:rsid w:val="00723DE1"/>
    <w:rsid w:val="00724ED8"/>
    <w:rsid w:val="00725B27"/>
    <w:rsid w:val="00731645"/>
    <w:rsid w:val="0073275E"/>
    <w:rsid w:val="00735EEB"/>
    <w:rsid w:val="00741EBF"/>
    <w:rsid w:val="007421FE"/>
    <w:rsid w:val="00742B2A"/>
    <w:rsid w:val="00743D36"/>
    <w:rsid w:val="00743EE7"/>
    <w:rsid w:val="0074728A"/>
    <w:rsid w:val="00747655"/>
    <w:rsid w:val="00747B14"/>
    <w:rsid w:val="00747DA6"/>
    <w:rsid w:val="00752137"/>
    <w:rsid w:val="0075360F"/>
    <w:rsid w:val="00753963"/>
    <w:rsid w:val="00755908"/>
    <w:rsid w:val="0075621D"/>
    <w:rsid w:val="00757055"/>
    <w:rsid w:val="0075710B"/>
    <w:rsid w:val="00760833"/>
    <w:rsid w:val="00762D19"/>
    <w:rsid w:val="007642B9"/>
    <w:rsid w:val="00767DDC"/>
    <w:rsid w:val="00770490"/>
    <w:rsid w:val="00771562"/>
    <w:rsid w:val="00773984"/>
    <w:rsid w:val="00775C35"/>
    <w:rsid w:val="007776B6"/>
    <w:rsid w:val="00777EE5"/>
    <w:rsid w:val="00781032"/>
    <w:rsid w:val="007815A1"/>
    <w:rsid w:val="00782D19"/>
    <w:rsid w:val="00784A46"/>
    <w:rsid w:val="007867E2"/>
    <w:rsid w:val="0079217E"/>
    <w:rsid w:val="007941C2"/>
    <w:rsid w:val="00796CA9"/>
    <w:rsid w:val="007A16FC"/>
    <w:rsid w:val="007A3D60"/>
    <w:rsid w:val="007A774C"/>
    <w:rsid w:val="007B4624"/>
    <w:rsid w:val="007B5014"/>
    <w:rsid w:val="007B5252"/>
    <w:rsid w:val="007B5513"/>
    <w:rsid w:val="007B7913"/>
    <w:rsid w:val="007C2BEB"/>
    <w:rsid w:val="007C30B2"/>
    <w:rsid w:val="007C38FE"/>
    <w:rsid w:val="007C6331"/>
    <w:rsid w:val="007C76C9"/>
    <w:rsid w:val="007D0F97"/>
    <w:rsid w:val="007D2CDE"/>
    <w:rsid w:val="007D34BF"/>
    <w:rsid w:val="007D3D5F"/>
    <w:rsid w:val="007D3ED8"/>
    <w:rsid w:val="007D5CD0"/>
    <w:rsid w:val="007D7953"/>
    <w:rsid w:val="007D7DBE"/>
    <w:rsid w:val="007E112B"/>
    <w:rsid w:val="007E2FB5"/>
    <w:rsid w:val="007E3FB7"/>
    <w:rsid w:val="007E402E"/>
    <w:rsid w:val="007E6DA9"/>
    <w:rsid w:val="007E6F9A"/>
    <w:rsid w:val="007F075C"/>
    <w:rsid w:val="007F0F84"/>
    <w:rsid w:val="007F0FF6"/>
    <w:rsid w:val="007F2FA3"/>
    <w:rsid w:val="007F70A7"/>
    <w:rsid w:val="00800002"/>
    <w:rsid w:val="00802C7A"/>
    <w:rsid w:val="00803F03"/>
    <w:rsid w:val="0080514C"/>
    <w:rsid w:val="00805739"/>
    <w:rsid w:val="0080596B"/>
    <w:rsid w:val="00810597"/>
    <w:rsid w:val="00811B99"/>
    <w:rsid w:val="008204D4"/>
    <w:rsid w:val="00820993"/>
    <w:rsid w:val="008231A6"/>
    <w:rsid w:val="0083063C"/>
    <w:rsid w:val="00830E2B"/>
    <w:rsid w:val="00831648"/>
    <w:rsid w:val="00832C41"/>
    <w:rsid w:val="00832D33"/>
    <w:rsid w:val="00835146"/>
    <w:rsid w:val="00835F1F"/>
    <w:rsid w:val="00836255"/>
    <w:rsid w:val="00840949"/>
    <w:rsid w:val="00846F1A"/>
    <w:rsid w:val="0084733A"/>
    <w:rsid w:val="008476A1"/>
    <w:rsid w:val="00851202"/>
    <w:rsid w:val="00855CDC"/>
    <w:rsid w:val="00856F86"/>
    <w:rsid w:val="00857CCA"/>
    <w:rsid w:val="0086077C"/>
    <w:rsid w:val="008607AC"/>
    <w:rsid w:val="00860EA6"/>
    <w:rsid w:val="00862320"/>
    <w:rsid w:val="00862399"/>
    <w:rsid w:val="0086344E"/>
    <w:rsid w:val="00864D48"/>
    <w:rsid w:val="00864E04"/>
    <w:rsid w:val="00864FE0"/>
    <w:rsid w:val="008678D8"/>
    <w:rsid w:val="00867F25"/>
    <w:rsid w:val="00870240"/>
    <w:rsid w:val="00871499"/>
    <w:rsid w:val="008730D6"/>
    <w:rsid w:val="0087414A"/>
    <w:rsid w:val="00874C7D"/>
    <w:rsid w:val="00877F52"/>
    <w:rsid w:val="00880495"/>
    <w:rsid w:val="00880B97"/>
    <w:rsid w:val="00881833"/>
    <w:rsid w:val="0088293B"/>
    <w:rsid w:val="0089013F"/>
    <w:rsid w:val="00892FFB"/>
    <w:rsid w:val="008937EE"/>
    <w:rsid w:val="00895305"/>
    <w:rsid w:val="0089681A"/>
    <w:rsid w:val="008B04B3"/>
    <w:rsid w:val="008C0A3A"/>
    <w:rsid w:val="008C21BC"/>
    <w:rsid w:val="008C3192"/>
    <w:rsid w:val="008C36FF"/>
    <w:rsid w:val="008C3F8F"/>
    <w:rsid w:val="008C484E"/>
    <w:rsid w:val="008C4D33"/>
    <w:rsid w:val="008C7CE1"/>
    <w:rsid w:val="008D2183"/>
    <w:rsid w:val="008D2D4D"/>
    <w:rsid w:val="008D3E3A"/>
    <w:rsid w:val="008D61DD"/>
    <w:rsid w:val="008D6D9F"/>
    <w:rsid w:val="008E243C"/>
    <w:rsid w:val="008E256D"/>
    <w:rsid w:val="008E2E2E"/>
    <w:rsid w:val="008E3DF7"/>
    <w:rsid w:val="008E479D"/>
    <w:rsid w:val="008E4879"/>
    <w:rsid w:val="008E58C6"/>
    <w:rsid w:val="008E7422"/>
    <w:rsid w:val="008E7CB0"/>
    <w:rsid w:val="008F1716"/>
    <w:rsid w:val="008F398F"/>
    <w:rsid w:val="008F4912"/>
    <w:rsid w:val="008F50D9"/>
    <w:rsid w:val="00903E5A"/>
    <w:rsid w:val="00904B67"/>
    <w:rsid w:val="00905EF2"/>
    <w:rsid w:val="00906EF2"/>
    <w:rsid w:val="009070B2"/>
    <w:rsid w:val="0090723E"/>
    <w:rsid w:val="00907DDA"/>
    <w:rsid w:val="0091201C"/>
    <w:rsid w:val="009136CB"/>
    <w:rsid w:val="0091496F"/>
    <w:rsid w:val="00922198"/>
    <w:rsid w:val="009223C5"/>
    <w:rsid w:val="00924187"/>
    <w:rsid w:val="00926914"/>
    <w:rsid w:val="00932AA7"/>
    <w:rsid w:val="00936946"/>
    <w:rsid w:val="009373F5"/>
    <w:rsid w:val="00937552"/>
    <w:rsid w:val="00937F9E"/>
    <w:rsid w:val="00940862"/>
    <w:rsid w:val="00940CB1"/>
    <w:rsid w:val="00942FCF"/>
    <w:rsid w:val="009478FC"/>
    <w:rsid w:val="00952ABC"/>
    <w:rsid w:val="009543DB"/>
    <w:rsid w:val="00960B76"/>
    <w:rsid w:val="009621B7"/>
    <w:rsid w:val="0096373B"/>
    <w:rsid w:val="0096639B"/>
    <w:rsid w:val="009666F7"/>
    <w:rsid w:val="00967718"/>
    <w:rsid w:val="009679F5"/>
    <w:rsid w:val="00970472"/>
    <w:rsid w:val="00971D4B"/>
    <w:rsid w:val="009720EA"/>
    <w:rsid w:val="0097374D"/>
    <w:rsid w:val="00973B38"/>
    <w:rsid w:val="00975517"/>
    <w:rsid w:val="0097649C"/>
    <w:rsid w:val="009800DE"/>
    <w:rsid w:val="009819A4"/>
    <w:rsid w:val="00982E55"/>
    <w:rsid w:val="00991DA0"/>
    <w:rsid w:val="00991EAB"/>
    <w:rsid w:val="00992B1F"/>
    <w:rsid w:val="009931C4"/>
    <w:rsid w:val="009A23D8"/>
    <w:rsid w:val="009A4572"/>
    <w:rsid w:val="009A7E43"/>
    <w:rsid w:val="009B0FC3"/>
    <w:rsid w:val="009B1404"/>
    <w:rsid w:val="009B1DCA"/>
    <w:rsid w:val="009B3127"/>
    <w:rsid w:val="009B4507"/>
    <w:rsid w:val="009B6E67"/>
    <w:rsid w:val="009B759B"/>
    <w:rsid w:val="009C0E80"/>
    <w:rsid w:val="009C1DD6"/>
    <w:rsid w:val="009C477A"/>
    <w:rsid w:val="009D034C"/>
    <w:rsid w:val="009D06EB"/>
    <w:rsid w:val="009D59F4"/>
    <w:rsid w:val="009D5ABB"/>
    <w:rsid w:val="009E0503"/>
    <w:rsid w:val="009E0904"/>
    <w:rsid w:val="009E547B"/>
    <w:rsid w:val="009E5734"/>
    <w:rsid w:val="009E5787"/>
    <w:rsid w:val="009E7770"/>
    <w:rsid w:val="009E78F5"/>
    <w:rsid w:val="009F0C75"/>
    <w:rsid w:val="009F2340"/>
    <w:rsid w:val="009F40B5"/>
    <w:rsid w:val="009F4118"/>
    <w:rsid w:val="009F416B"/>
    <w:rsid w:val="00A04620"/>
    <w:rsid w:val="00A054EF"/>
    <w:rsid w:val="00A05C8D"/>
    <w:rsid w:val="00A13032"/>
    <w:rsid w:val="00A15D04"/>
    <w:rsid w:val="00A16349"/>
    <w:rsid w:val="00A16C02"/>
    <w:rsid w:val="00A1700C"/>
    <w:rsid w:val="00A200DB"/>
    <w:rsid w:val="00A23A45"/>
    <w:rsid w:val="00A24542"/>
    <w:rsid w:val="00A26719"/>
    <w:rsid w:val="00A2785B"/>
    <w:rsid w:val="00A33577"/>
    <w:rsid w:val="00A33A7D"/>
    <w:rsid w:val="00A34A22"/>
    <w:rsid w:val="00A3509F"/>
    <w:rsid w:val="00A353D0"/>
    <w:rsid w:val="00A37225"/>
    <w:rsid w:val="00A37452"/>
    <w:rsid w:val="00A402BB"/>
    <w:rsid w:val="00A40F26"/>
    <w:rsid w:val="00A410B4"/>
    <w:rsid w:val="00A411FC"/>
    <w:rsid w:val="00A428A6"/>
    <w:rsid w:val="00A43564"/>
    <w:rsid w:val="00A44771"/>
    <w:rsid w:val="00A50960"/>
    <w:rsid w:val="00A52FE4"/>
    <w:rsid w:val="00A555C7"/>
    <w:rsid w:val="00A56B4D"/>
    <w:rsid w:val="00A57C16"/>
    <w:rsid w:val="00A602B4"/>
    <w:rsid w:val="00A70C5E"/>
    <w:rsid w:val="00A71BA2"/>
    <w:rsid w:val="00A7227F"/>
    <w:rsid w:val="00A730EB"/>
    <w:rsid w:val="00A754A1"/>
    <w:rsid w:val="00A75704"/>
    <w:rsid w:val="00A76AAB"/>
    <w:rsid w:val="00A76E2B"/>
    <w:rsid w:val="00A80EDC"/>
    <w:rsid w:val="00A82CB4"/>
    <w:rsid w:val="00A8337A"/>
    <w:rsid w:val="00A833B1"/>
    <w:rsid w:val="00A844E0"/>
    <w:rsid w:val="00A86DCC"/>
    <w:rsid w:val="00A902C6"/>
    <w:rsid w:val="00A90D77"/>
    <w:rsid w:val="00A90DB9"/>
    <w:rsid w:val="00A91120"/>
    <w:rsid w:val="00A9148A"/>
    <w:rsid w:val="00A916AC"/>
    <w:rsid w:val="00A92057"/>
    <w:rsid w:val="00A94A69"/>
    <w:rsid w:val="00AA0F15"/>
    <w:rsid w:val="00AA1532"/>
    <w:rsid w:val="00AA1DF7"/>
    <w:rsid w:val="00AA32F6"/>
    <w:rsid w:val="00AA3FF7"/>
    <w:rsid w:val="00AA6CB4"/>
    <w:rsid w:val="00AB32F4"/>
    <w:rsid w:val="00AB48FE"/>
    <w:rsid w:val="00AB62C6"/>
    <w:rsid w:val="00AB7971"/>
    <w:rsid w:val="00AC0F65"/>
    <w:rsid w:val="00AC2B91"/>
    <w:rsid w:val="00AC3BA1"/>
    <w:rsid w:val="00AC3C48"/>
    <w:rsid w:val="00AC5548"/>
    <w:rsid w:val="00AC7D0A"/>
    <w:rsid w:val="00AC7F69"/>
    <w:rsid w:val="00AD5364"/>
    <w:rsid w:val="00AE0A9C"/>
    <w:rsid w:val="00AE23E1"/>
    <w:rsid w:val="00AE2527"/>
    <w:rsid w:val="00AE3873"/>
    <w:rsid w:val="00AE6EA3"/>
    <w:rsid w:val="00AE770E"/>
    <w:rsid w:val="00AF11D7"/>
    <w:rsid w:val="00AF37F4"/>
    <w:rsid w:val="00AF4517"/>
    <w:rsid w:val="00AF52AB"/>
    <w:rsid w:val="00AF5388"/>
    <w:rsid w:val="00AF53B6"/>
    <w:rsid w:val="00AF72F4"/>
    <w:rsid w:val="00B02A20"/>
    <w:rsid w:val="00B037E5"/>
    <w:rsid w:val="00B046D2"/>
    <w:rsid w:val="00B071FE"/>
    <w:rsid w:val="00B13792"/>
    <w:rsid w:val="00B14355"/>
    <w:rsid w:val="00B209B8"/>
    <w:rsid w:val="00B24A03"/>
    <w:rsid w:val="00B301C8"/>
    <w:rsid w:val="00B30ABB"/>
    <w:rsid w:val="00B31FC8"/>
    <w:rsid w:val="00B33E4F"/>
    <w:rsid w:val="00B35C62"/>
    <w:rsid w:val="00B40829"/>
    <w:rsid w:val="00B41CBC"/>
    <w:rsid w:val="00B42912"/>
    <w:rsid w:val="00B45FA6"/>
    <w:rsid w:val="00B50F83"/>
    <w:rsid w:val="00B517E8"/>
    <w:rsid w:val="00B520AA"/>
    <w:rsid w:val="00B52E5E"/>
    <w:rsid w:val="00B53331"/>
    <w:rsid w:val="00B55299"/>
    <w:rsid w:val="00B55CFA"/>
    <w:rsid w:val="00B56CD3"/>
    <w:rsid w:val="00B5751B"/>
    <w:rsid w:val="00B60201"/>
    <w:rsid w:val="00B61ADE"/>
    <w:rsid w:val="00B63C5F"/>
    <w:rsid w:val="00B646D4"/>
    <w:rsid w:val="00B65B5B"/>
    <w:rsid w:val="00B71370"/>
    <w:rsid w:val="00B72E0B"/>
    <w:rsid w:val="00B73D9F"/>
    <w:rsid w:val="00B759BD"/>
    <w:rsid w:val="00B778DA"/>
    <w:rsid w:val="00B80AB5"/>
    <w:rsid w:val="00B80E4B"/>
    <w:rsid w:val="00B83F40"/>
    <w:rsid w:val="00B904C0"/>
    <w:rsid w:val="00B90537"/>
    <w:rsid w:val="00B91FD0"/>
    <w:rsid w:val="00B947D2"/>
    <w:rsid w:val="00B95B18"/>
    <w:rsid w:val="00BA004D"/>
    <w:rsid w:val="00BA0578"/>
    <w:rsid w:val="00BA1F1C"/>
    <w:rsid w:val="00BA3083"/>
    <w:rsid w:val="00BA42E5"/>
    <w:rsid w:val="00BA4EF3"/>
    <w:rsid w:val="00BA695D"/>
    <w:rsid w:val="00BB2407"/>
    <w:rsid w:val="00BB4F64"/>
    <w:rsid w:val="00BB5DB0"/>
    <w:rsid w:val="00BB75B5"/>
    <w:rsid w:val="00BC02C7"/>
    <w:rsid w:val="00BC0D46"/>
    <w:rsid w:val="00BC1A0C"/>
    <w:rsid w:val="00BC3B3E"/>
    <w:rsid w:val="00BC41C3"/>
    <w:rsid w:val="00BC48A0"/>
    <w:rsid w:val="00BC56D5"/>
    <w:rsid w:val="00BC642D"/>
    <w:rsid w:val="00BC73C9"/>
    <w:rsid w:val="00BD1FC3"/>
    <w:rsid w:val="00BD221B"/>
    <w:rsid w:val="00BD2D8B"/>
    <w:rsid w:val="00BD2ECA"/>
    <w:rsid w:val="00BD42EF"/>
    <w:rsid w:val="00BD720E"/>
    <w:rsid w:val="00BD7A11"/>
    <w:rsid w:val="00BE0668"/>
    <w:rsid w:val="00BE10F6"/>
    <w:rsid w:val="00BE1C20"/>
    <w:rsid w:val="00BE4557"/>
    <w:rsid w:val="00BF1818"/>
    <w:rsid w:val="00BF1A5D"/>
    <w:rsid w:val="00BF42D2"/>
    <w:rsid w:val="00BF5983"/>
    <w:rsid w:val="00BF691C"/>
    <w:rsid w:val="00BF7B88"/>
    <w:rsid w:val="00C00711"/>
    <w:rsid w:val="00C02930"/>
    <w:rsid w:val="00C0454B"/>
    <w:rsid w:val="00C05EAE"/>
    <w:rsid w:val="00C06B09"/>
    <w:rsid w:val="00C10F79"/>
    <w:rsid w:val="00C11094"/>
    <w:rsid w:val="00C13E69"/>
    <w:rsid w:val="00C163F6"/>
    <w:rsid w:val="00C20B1A"/>
    <w:rsid w:val="00C2377C"/>
    <w:rsid w:val="00C267D2"/>
    <w:rsid w:val="00C30B18"/>
    <w:rsid w:val="00C34CE6"/>
    <w:rsid w:val="00C43064"/>
    <w:rsid w:val="00C439D9"/>
    <w:rsid w:val="00C55D3F"/>
    <w:rsid w:val="00C5636D"/>
    <w:rsid w:val="00C5640F"/>
    <w:rsid w:val="00C61C9F"/>
    <w:rsid w:val="00C63B40"/>
    <w:rsid w:val="00C64E4A"/>
    <w:rsid w:val="00C6714F"/>
    <w:rsid w:val="00C676E0"/>
    <w:rsid w:val="00C67D2B"/>
    <w:rsid w:val="00C7001E"/>
    <w:rsid w:val="00C7235E"/>
    <w:rsid w:val="00C72FBA"/>
    <w:rsid w:val="00C73084"/>
    <w:rsid w:val="00C7528C"/>
    <w:rsid w:val="00C77965"/>
    <w:rsid w:val="00C77F2E"/>
    <w:rsid w:val="00C82E85"/>
    <w:rsid w:val="00C85458"/>
    <w:rsid w:val="00C86B29"/>
    <w:rsid w:val="00C903F9"/>
    <w:rsid w:val="00C91512"/>
    <w:rsid w:val="00C91844"/>
    <w:rsid w:val="00C93723"/>
    <w:rsid w:val="00C96AC7"/>
    <w:rsid w:val="00C97271"/>
    <w:rsid w:val="00C97A13"/>
    <w:rsid w:val="00CA46D8"/>
    <w:rsid w:val="00CB1053"/>
    <w:rsid w:val="00CB15F5"/>
    <w:rsid w:val="00CB3FDA"/>
    <w:rsid w:val="00CB69C8"/>
    <w:rsid w:val="00CC0C46"/>
    <w:rsid w:val="00CC0E89"/>
    <w:rsid w:val="00CC3A66"/>
    <w:rsid w:val="00CC428C"/>
    <w:rsid w:val="00CC42B2"/>
    <w:rsid w:val="00CC63C2"/>
    <w:rsid w:val="00CC64D6"/>
    <w:rsid w:val="00CC64EB"/>
    <w:rsid w:val="00CC65D5"/>
    <w:rsid w:val="00CC662E"/>
    <w:rsid w:val="00CD1274"/>
    <w:rsid w:val="00CD27B2"/>
    <w:rsid w:val="00CD3BE9"/>
    <w:rsid w:val="00CD65A8"/>
    <w:rsid w:val="00CD6AFB"/>
    <w:rsid w:val="00CD7C16"/>
    <w:rsid w:val="00CD7D96"/>
    <w:rsid w:val="00CE1722"/>
    <w:rsid w:val="00CE4E91"/>
    <w:rsid w:val="00CE6AA5"/>
    <w:rsid w:val="00CF4230"/>
    <w:rsid w:val="00CF5486"/>
    <w:rsid w:val="00CF549C"/>
    <w:rsid w:val="00D104E0"/>
    <w:rsid w:val="00D1099C"/>
    <w:rsid w:val="00D117F6"/>
    <w:rsid w:val="00D1183B"/>
    <w:rsid w:val="00D14525"/>
    <w:rsid w:val="00D20F92"/>
    <w:rsid w:val="00D220DB"/>
    <w:rsid w:val="00D22B7F"/>
    <w:rsid w:val="00D248D5"/>
    <w:rsid w:val="00D25495"/>
    <w:rsid w:val="00D25564"/>
    <w:rsid w:val="00D26098"/>
    <w:rsid w:val="00D26BE6"/>
    <w:rsid w:val="00D26C41"/>
    <w:rsid w:val="00D27F5B"/>
    <w:rsid w:val="00D31C8F"/>
    <w:rsid w:val="00D33031"/>
    <w:rsid w:val="00D335C7"/>
    <w:rsid w:val="00D33668"/>
    <w:rsid w:val="00D351E1"/>
    <w:rsid w:val="00D37703"/>
    <w:rsid w:val="00D40AFB"/>
    <w:rsid w:val="00D41433"/>
    <w:rsid w:val="00D41640"/>
    <w:rsid w:val="00D42E55"/>
    <w:rsid w:val="00D4461F"/>
    <w:rsid w:val="00D50980"/>
    <w:rsid w:val="00D54CA4"/>
    <w:rsid w:val="00D5623C"/>
    <w:rsid w:val="00D61312"/>
    <w:rsid w:val="00D615A8"/>
    <w:rsid w:val="00D64096"/>
    <w:rsid w:val="00D6515A"/>
    <w:rsid w:val="00D657ED"/>
    <w:rsid w:val="00D66845"/>
    <w:rsid w:val="00D6713F"/>
    <w:rsid w:val="00D7478F"/>
    <w:rsid w:val="00D7594E"/>
    <w:rsid w:val="00D7616C"/>
    <w:rsid w:val="00D8062C"/>
    <w:rsid w:val="00D8075F"/>
    <w:rsid w:val="00D81318"/>
    <w:rsid w:val="00D81612"/>
    <w:rsid w:val="00D81CD9"/>
    <w:rsid w:val="00D82029"/>
    <w:rsid w:val="00D8298C"/>
    <w:rsid w:val="00D84A9B"/>
    <w:rsid w:val="00D85954"/>
    <w:rsid w:val="00D91CF3"/>
    <w:rsid w:val="00D92C7D"/>
    <w:rsid w:val="00D936DE"/>
    <w:rsid w:val="00D93E75"/>
    <w:rsid w:val="00D948BA"/>
    <w:rsid w:val="00D957D0"/>
    <w:rsid w:val="00DA1987"/>
    <w:rsid w:val="00DA3C89"/>
    <w:rsid w:val="00DA4C36"/>
    <w:rsid w:val="00DA676E"/>
    <w:rsid w:val="00DB056D"/>
    <w:rsid w:val="00DB33C8"/>
    <w:rsid w:val="00DB50BA"/>
    <w:rsid w:val="00DC0978"/>
    <w:rsid w:val="00DC0A65"/>
    <w:rsid w:val="00DC0B86"/>
    <w:rsid w:val="00DC236A"/>
    <w:rsid w:val="00DC2BF8"/>
    <w:rsid w:val="00DC32C5"/>
    <w:rsid w:val="00DC3F4F"/>
    <w:rsid w:val="00DC4955"/>
    <w:rsid w:val="00DD0E64"/>
    <w:rsid w:val="00DD13C3"/>
    <w:rsid w:val="00DD1BC9"/>
    <w:rsid w:val="00DD4B7F"/>
    <w:rsid w:val="00DD4D37"/>
    <w:rsid w:val="00DD54F6"/>
    <w:rsid w:val="00DD5DFA"/>
    <w:rsid w:val="00DD6E00"/>
    <w:rsid w:val="00DE260F"/>
    <w:rsid w:val="00DE3691"/>
    <w:rsid w:val="00DE3E53"/>
    <w:rsid w:val="00DE4392"/>
    <w:rsid w:val="00DE4AE8"/>
    <w:rsid w:val="00DE4FBF"/>
    <w:rsid w:val="00DF14E3"/>
    <w:rsid w:val="00DF2E7E"/>
    <w:rsid w:val="00DF5C22"/>
    <w:rsid w:val="00DF724E"/>
    <w:rsid w:val="00E00D53"/>
    <w:rsid w:val="00E01656"/>
    <w:rsid w:val="00E0183F"/>
    <w:rsid w:val="00E03AB4"/>
    <w:rsid w:val="00E05D74"/>
    <w:rsid w:val="00E0674C"/>
    <w:rsid w:val="00E07040"/>
    <w:rsid w:val="00E10B55"/>
    <w:rsid w:val="00E1127C"/>
    <w:rsid w:val="00E13490"/>
    <w:rsid w:val="00E13E49"/>
    <w:rsid w:val="00E14264"/>
    <w:rsid w:val="00E144C6"/>
    <w:rsid w:val="00E15787"/>
    <w:rsid w:val="00E2063C"/>
    <w:rsid w:val="00E30EBC"/>
    <w:rsid w:val="00E375D6"/>
    <w:rsid w:val="00E40B90"/>
    <w:rsid w:val="00E440EE"/>
    <w:rsid w:val="00E44387"/>
    <w:rsid w:val="00E448EF"/>
    <w:rsid w:val="00E47344"/>
    <w:rsid w:val="00E47467"/>
    <w:rsid w:val="00E51EB1"/>
    <w:rsid w:val="00E61477"/>
    <w:rsid w:val="00E61E6A"/>
    <w:rsid w:val="00E6279A"/>
    <w:rsid w:val="00E62917"/>
    <w:rsid w:val="00E657E9"/>
    <w:rsid w:val="00E66260"/>
    <w:rsid w:val="00E66AF6"/>
    <w:rsid w:val="00E707B1"/>
    <w:rsid w:val="00E7090D"/>
    <w:rsid w:val="00E716F7"/>
    <w:rsid w:val="00E73061"/>
    <w:rsid w:val="00E74029"/>
    <w:rsid w:val="00E74618"/>
    <w:rsid w:val="00E75507"/>
    <w:rsid w:val="00E76545"/>
    <w:rsid w:val="00E779F4"/>
    <w:rsid w:val="00E81741"/>
    <w:rsid w:val="00E82232"/>
    <w:rsid w:val="00E839BA"/>
    <w:rsid w:val="00E83FBC"/>
    <w:rsid w:val="00E845E2"/>
    <w:rsid w:val="00E85E34"/>
    <w:rsid w:val="00E8764E"/>
    <w:rsid w:val="00E931A0"/>
    <w:rsid w:val="00E93AF7"/>
    <w:rsid w:val="00E95B92"/>
    <w:rsid w:val="00E97724"/>
    <w:rsid w:val="00E97F6B"/>
    <w:rsid w:val="00EA0F41"/>
    <w:rsid w:val="00EA15F7"/>
    <w:rsid w:val="00EA17E6"/>
    <w:rsid w:val="00EA3956"/>
    <w:rsid w:val="00EA3D9A"/>
    <w:rsid w:val="00EA463F"/>
    <w:rsid w:val="00EA46F1"/>
    <w:rsid w:val="00EA693A"/>
    <w:rsid w:val="00EA7586"/>
    <w:rsid w:val="00EB279C"/>
    <w:rsid w:val="00EB5B7C"/>
    <w:rsid w:val="00EB7CCE"/>
    <w:rsid w:val="00EC33D2"/>
    <w:rsid w:val="00EC3D98"/>
    <w:rsid w:val="00EC59A7"/>
    <w:rsid w:val="00EC70E5"/>
    <w:rsid w:val="00ED036D"/>
    <w:rsid w:val="00ED05C2"/>
    <w:rsid w:val="00ED0965"/>
    <w:rsid w:val="00ED0E67"/>
    <w:rsid w:val="00ED3481"/>
    <w:rsid w:val="00ED3C95"/>
    <w:rsid w:val="00ED6A0D"/>
    <w:rsid w:val="00ED74FB"/>
    <w:rsid w:val="00EE2711"/>
    <w:rsid w:val="00EE303E"/>
    <w:rsid w:val="00EE5157"/>
    <w:rsid w:val="00EE53FE"/>
    <w:rsid w:val="00EE6B74"/>
    <w:rsid w:val="00EE79AA"/>
    <w:rsid w:val="00EF1192"/>
    <w:rsid w:val="00EF12E0"/>
    <w:rsid w:val="00EF18CA"/>
    <w:rsid w:val="00EF38A1"/>
    <w:rsid w:val="00EF47A1"/>
    <w:rsid w:val="00F017F9"/>
    <w:rsid w:val="00F01B04"/>
    <w:rsid w:val="00F01FFF"/>
    <w:rsid w:val="00F02E56"/>
    <w:rsid w:val="00F04D28"/>
    <w:rsid w:val="00F04F5F"/>
    <w:rsid w:val="00F04FCE"/>
    <w:rsid w:val="00F059D5"/>
    <w:rsid w:val="00F066A2"/>
    <w:rsid w:val="00F068ED"/>
    <w:rsid w:val="00F06E94"/>
    <w:rsid w:val="00F074B8"/>
    <w:rsid w:val="00F07B07"/>
    <w:rsid w:val="00F10D05"/>
    <w:rsid w:val="00F137ED"/>
    <w:rsid w:val="00F156B7"/>
    <w:rsid w:val="00F21447"/>
    <w:rsid w:val="00F262CF"/>
    <w:rsid w:val="00F2779A"/>
    <w:rsid w:val="00F301B6"/>
    <w:rsid w:val="00F31AEB"/>
    <w:rsid w:val="00F32107"/>
    <w:rsid w:val="00F32B77"/>
    <w:rsid w:val="00F33536"/>
    <w:rsid w:val="00F338BC"/>
    <w:rsid w:val="00F363CB"/>
    <w:rsid w:val="00F37FC4"/>
    <w:rsid w:val="00F40F57"/>
    <w:rsid w:val="00F421B9"/>
    <w:rsid w:val="00F43413"/>
    <w:rsid w:val="00F44E11"/>
    <w:rsid w:val="00F44FFF"/>
    <w:rsid w:val="00F4541E"/>
    <w:rsid w:val="00F45B21"/>
    <w:rsid w:val="00F523AB"/>
    <w:rsid w:val="00F52D25"/>
    <w:rsid w:val="00F55432"/>
    <w:rsid w:val="00F55C78"/>
    <w:rsid w:val="00F5694F"/>
    <w:rsid w:val="00F60555"/>
    <w:rsid w:val="00F60BA0"/>
    <w:rsid w:val="00F6313D"/>
    <w:rsid w:val="00F65BB1"/>
    <w:rsid w:val="00F6748C"/>
    <w:rsid w:val="00F712F7"/>
    <w:rsid w:val="00F730D7"/>
    <w:rsid w:val="00F73A69"/>
    <w:rsid w:val="00F75A29"/>
    <w:rsid w:val="00F75AEE"/>
    <w:rsid w:val="00F76FC1"/>
    <w:rsid w:val="00F77C34"/>
    <w:rsid w:val="00F800C7"/>
    <w:rsid w:val="00F815A6"/>
    <w:rsid w:val="00F8164D"/>
    <w:rsid w:val="00F833AA"/>
    <w:rsid w:val="00F83845"/>
    <w:rsid w:val="00F84FCF"/>
    <w:rsid w:val="00F857EA"/>
    <w:rsid w:val="00F90D1C"/>
    <w:rsid w:val="00FA1EA7"/>
    <w:rsid w:val="00FA3D1D"/>
    <w:rsid w:val="00FA552A"/>
    <w:rsid w:val="00FA6422"/>
    <w:rsid w:val="00FB0DCF"/>
    <w:rsid w:val="00FB2923"/>
    <w:rsid w:val="00FB4CC9"/>
    <w:rsid w:val="00FB53EB"/>
    <w:rsid w:val="00FC04AD"/>
    <w:rsid w:val="00FC0E44"/>
    <w:rsid w:val="00FC1051"/>
    <w:rsid w:val="00FC28CC"/>
    <w:rsid w:val="00FC6F89"/>
    <w:rsid w:val="00FD0518"/>
    <w:rsid w:val="00FE1B94"/>
    <w:rsid w:val="00FE22D2"/>
    <w:rsid w:val="00FE40AC"/>
    <w:rsid w:val="00FE7BB1"/>
    <w:rsid w:val="00FE7FE1"/>
    <w:rsid w:val="00FF329A"/>
    <w:rsid w:val="00FF38F5"/>
    <w:rsid w:val="00FF4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D47F21E"/>
  <w14:defaultImageDpi w14:val="300"/>
  <w15:chartTrackingRefBased/>
  <w15:docId w15:val="{C16884D5-D43B-4321-BAFF-AE2362A7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D05C2"/>
    <w:pPr>
      <w:tabs>
        <w:tab w:val="center" w:pos="4153"/>
        <w:tab w:val="right" w:pos="8306"/>
      </w:tabs>
    </w:pPr>
  </w:style>
  <w:style w:type="paragraph" w:styleId="Footer">
    <w:name w:val="footer"/>
    <w:basedOn w:val="Normal"/>
    <w:link w:val="FooterChar"/>
    <w:rsid w:val="00ED05C2"/>
    <w:pPr>
      <w:tabs>
        <w:tab w:val="center" w:pos="4153"/>
        <w:tab w:val="right" w:pos="8306"/>
      </w:tabs>
    </w:pPr>
  </w:style>
  <w:style w:type="character" w:customStyle="1" w:styleId="FooterChar">
    <w:name w:val="Footer Char"/>
    <w:link w:val="Footer"/>
    <w:rsid w:val="00ED05C2"/>
    <w:rPr>
      <w:sz w:val="24"/>
      <w:szCs w:val="24"/>
      <w:lang w:val="en-GB" w:eastAsia="en-GB" w:bidi="ar-SA"/>
    </w:rPr>
  </w:style>
  <w:style w:type="paragraph" w:styleId="BalloonText">
    <w:name w:val="Balloon Text"/>
    <w:basedOn w:val="Normal"/>
    <w:semiHidden/>
    <w:rsid w:val="00ED036D"/>
    <w:rPr>
      <w:rFonts w:ascii="Tahoma" w:hAnsi="Tahoma" w:cs="Tahoma"/>
      <w:sz w:val="16"/>
      <w:szCs w:val="16"/>
    </w:rPr>
  </w:style>
  <w:style w:type="character" w:styleId="Strong">
    <w:name w:val="Strong"/>
    <w:qFormat/>
    <w:rsid w:val="000F4B66"/>
    <w:rPr>
      <w:b/>
      <w:bCs/>
    </w:rPr>
  </w:style>
  <w:style w:type="character" w:styleId="Hyperlink">
    <w:name w:val="Hyperlink"/>
    <w:rsid w:val="00A16C02"/>
    <w:rPr>
      <w:color w:val="0000FF"/>
      <w:u w:val="single"/>
    </w:rPr>
  </w:style>
  <w:style w:type="character" w:styleId="CommentReference">
    <w:name w:val="annotation reference"/>
    <w:rsid w:val="00880B97"/>
    <w:rPr>
      <w:sz w:val="16"/>
      <w:szCs w:val="16"/>
    </w:rPr>
  </w:style>
  <w:style w:type="paragraph" w:styleId="CommentText">
    <w:name w:val="annotation text"/>
    <w:basedOn w:val="Normal"/>
    <w:link w:val="CommentTextChar"/>
    <w:rsid w:val="00880B97"/>
    <w:rPr>
      <w:sz w:val="20"/>
      <w:szCs w:val="20"/>
    </w:rPr>
  </w:style>
  <w:style w:type="character" w:customStyle="1" w:styleId="CommentTextChar">
    <w:name w:val="Comment Text Char"/>
    <w:basedOn w:val="DefaultParagraphFont"/>
    <w:link w:val="CommentText"/>
    <w:rsid w:val="00880B97"/>
  </w:style>
  <w:style w:type="paragraph" w:styleId="CommentSubject">
    <w:name w:val="annotation subject"/>
    <w:basedOn w:val="CommentText"/>
    <w:next w:val="CommentText"/>
    <w:link w:val="CommentSubjectChar"/>
    <w:rsid w:val="00880B97"/>
    <w:rPr>
      <w:b/>
      <w:bCs/>
    </w:rPr>
  </w:style>
  <w:style w:type="character" w:customStyle="1" w:styleId="CommentSubjectChar">
    <w:name w:val="Comment Subject Char"/>
    <w:link w:val="CommentSubject"/>
    <w:rsid w:val="00880B97"/>
    <w:rPr>
      <w:b/>
      <w:bCs/>
    </w:rPr>
  </w:style>
  <w:style w:type="paragraph" w:styleId="Revision">
    <w:name w:val="Revision"/>
    <w:hidden/>
    <w:uiPriority w:val="71"/>
    <w:rsid w:val="00A37452"/>
    <w:rPr>
      <w:sz w:val="24"/>
      <w:szCs w:val="24"/>
    </w:rPr>
  </w:style>
  <w:style w:type="paragraph" w:customStyle="1" w:styleId="paragraph">
    <w:name w:val="paragraph"/>
    <w:basedOn w:val="Normal"/>
    <w:rsid w:val="00F21447"/>
    <w:pPr>
      <w:spacing w:before="100" w:beforeAutospacing="1" w:after="100" w:afterAutospacing="1"/>
    </w:pPr>
  </w:style>
  <w:style w:type="character" w:customStyle="1" w:styleId="normaltextrun">
    <w:name w:val="normaltextrun"/>
    <w:basedOn w:val="DefaultParagraphFont"/>
    <w:rsid w:val="00F21447"/>
  </w:style>
  <w:style w:type="character" w:customStyle="1" w:styleId="eop">
    <w:name w:val="eop"/>
    <w:basedOn w:val="DefaultParagraphFont"/>
    <w:rsid w:val="00F21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660741">
      <w:bodyDiv w:val="1"/>
      <w:marLeft w:val="0"/>
      <w:marRight w:val="0"/>
      <w:marTop w:val="0"/>
      <w:marBottom w:val="0"/>
      <w:divBdr>
        <w:top w:val="none" w:sz="0" w:space="0" w:color="auto"/>
        <w:left w:val="none" w:sz="0" w:space="0" w:color="auto"/>
        <w:bottom w:val="none" w:sz="0" w:space="0" w:color="auto"/>
        <w:right w:val="none" w:sz="0" w:space="0" w:color="auto"/>
      </w:divBdr>
    </w:div>
    <w:div w:id="1195386336">
      <w:bodyDiv w:val="1"/>
      <w:marLeft w:val="0"/>
      <w:marRight w:val="0"/>
      <w:marTop w:val="0"/>
      <w:marBottom w:val="0"/>
      <w:divBdr>
        <w:top w:val="none" w:sz="0" w:space="0" w:color="auto"/>
        <w:left w:val="none" w:sz="0" w:space="0" w:color="auto"/>
        <w:bottom w:val="none" w:sz="0" w:space="0" w:color="auto"/>
        <w:right w:val="none" w:sz="0" w:space="0" w:color="auto"/>
      </w:divBdr>
      <w:divsChild>
        <w:div w:id="1157960704">
          <w:marLeft w:val="0"/>
          <w:marRight w:val="0"/>
          <w:marTop w:val="0"/>
          <w:marBottom w:val="0"/>
          <w:divBdr>
            <w:top w:val="none" w:sz="0" w:space="0" w:color="auto"/>
            <w:left w:val="none" w:sz="0" w:space="0" w:color="auto"/>
            <w:bottom w:val="none" w:sz="0" w:space="0" w:color="auto"/>
            <w:right w:val="none" w:sz="0" w:space="0" w:color="auto"/>
          </w:divBdr>
        </w:div>
        <w:div w:id="1763065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jcpc.uk/decided-cases/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7" ma:contentTypeDescription="Create a new document." ma:contentTypeScope="" ma:versionID="04ef8e5f7eda5a4d33a28550ab4f9ce2">
  <xsd:schema xmlns:xsd="http://www.w3.org/2001/XMLSchema" xmlns:xs="http://www.w3.org/2001/XMLSchema" xmlns:p="http://schemas.microsoft.com/office/2006/metadata/properties" xmlns:ns2="d1912800-d0d5-4897-aa13-fa15486e9ce2" xmlns:ns3="f87e7dc2-70e0-493d-9bcf-91b6939b3a72" targetNamespace="http://schemas.microsoft.com/office/2006/metadata/properties" ma:root="true" ma:fieldsID="1d22f30995d3129f7fce18a57dd1ef69" ns2:_="" ns3:_="">
    <xsd:import namespace="d1912800-d0d5-4897-aa13-fa15486e9ce2"/>
    <xsd:import namespace="f87e7dc2-70e0-493d-9bcf-91b6939b3a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7e7dc2-70e0-493d-9bcf-91b6939b3a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F8614F-0DC2-4496-BB79-BDC254CF6B59}">
  <ds:schemaRefs>
    <ds:schemaRef ds:uri="http://schemas.microsoft.com/sharepoint/v3/contenttype/forms"/>
  </ds:schemaRefs>
</ds:datastoreItem>
</file>

<file path=customXml/itemProps2.xml><?xml version="1.0" encoding="utf-8"?>
<ds:datastoreItem xmlns:ds="http://schemas.openxmlformats.org/officeDocument/2006/customXml" ds:itemID="{A0A92097-4B61-4E12-8F8A-C29E84060BBF}">
  <ds:schemaRefs>
    <ds:schemaRef ds:uri="http://schemas.openxmlformats.org/officeDocument/2006/bibliography"/>
  </ds:schemaRefs>
</ds:datastoreItem>
</file>

<file path=customXml/itemProps3.xml><?xml version="1.0" encoding="utf-8"?>
<ds:datastoreItem xmlns:ds="http://schemas.openxmlformats.org/officeDocument/2006/customXml" ds:itemID="{5B709B42-B8E1-4222-9C8D-EF71F50426C4}"/>
</file>

<file path=customXml/itemProps4.xml><?xml version="1.0" encoding="utf-8"?>
<ds:datastoreItem xmlns:ds="http://schemas.openxmlformats.org/officeDocument/2006/customXml" ds:itemID="{3083A620-0EEB-4AF9-949D-E3FA00A864C0}">
  <ds:schemaRefs>
    <ds:schemaRef ds:uri="http://purl.org/dc/terms/"/>
    <ds:schemaRef ds:uri="http://purl.org/dc/dcmitype/"/>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d1912800-d0d5-4897-aa13-fa15486e9ce2"/>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1159</Words>
  <Characters>5987</Characters>
  <Application>Microsoft Office Word</Application>
  <DocSecurity>0</DocSecurity>
  <Lines>106</Lines>
  <Paragraphs>27</Paragraphs>
  <ScaleCrop>false</ScaleCrop>
  <HeadingPairs>
    <vt:vector size="2" baseType="variant">
      <vt:variant>
        <vt:lpstr>Title</vt:lpstr>
      </vt:variant>
      <vt:variant>
        <vt:i4>1</vt:i4>
      </vt:variant>
    </vt:vector>
  </HeadingPairs>
  <TitlesOfParts>
    <vt:vector size="1" baseType="lpstr">
      <vt:lpstr> Betamax Ltd (Appellant) v State Trading Corporation (Respondent) (Mauritius) </vt:lpstr>
    </vt:vector>
  </TitlesOfParts>
  <Company>Judicial Committee of the Privy Council (JCPC)</Company>
  <LinksUpToDate>false</LinksUpToDate>
  <CharactersWithSpaces>7119</CharactersWithSpaces>
  <SharedDoc>false</SharedDoc>
  <HLinks>
    <vt:vector size="6" baseType="variant">
      <vt:variant>
        <vt:i4>6291508</vt:i4>
      </vt:variant>
      <vt:variant>
        <vt:i4>0</vt:i4>
      </vt:variant>
      <vt:variant>
        <vt:i4>0</vt:i4>
      </vt:variant>
      <vt:variant>
        <vt:i4>5</vt:i4>
      </vt:variant>
      <vt:variant>
        <vt:lpwstr>http://www.jcpc.uk/decided-cases/index.html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Betamax Ltd (Appellant) v State Trading Corporation (Respondent) (Mauritius)</dc:title>
  <dc:subject>Judgment promulgated on 14 June 2021</dc:subject>
  <dc:creator>Judicial Committee of the Privy Council (JCPC)</dc:creator>
  <cp:keywords>JCPC 2019/0109; [2021] UKPC 14</cp:keywords>
  <dc:description/>
  <cp:lastModifiedBy>Limoy Daniel</cp:lastModifiedBy>
  <cp:revision>3</cp:revision>
  <cp:lastPrinted>2014-03-10T11:19:00Z</cp:lastPrinted>
  <dcterms:created xsi:type="dcterms:W3CDTF">2021-06-11T09:47:00Z</dcterms:created>
  <dcterms:modified xsi:type="dcterms:W3CDTF">2021-06-11T09:48:00Z</dcterms:modified>
  <cp:category>Decided cases;Press Summary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0x010100AAB251F3824E8E4BABF966FB1FF33114</vt:lpwstr>
  </property>
  <property fmtid="{D5CDD505-2E9C-101B-9397-08002B2CF9AE}" pid="3" name="CaseName">
    <vt:lpwstr> Betamax Ltd (Appellant) v State Trading Corporation (Respondent) (Mauritius) </vt:lpwstr>
  </property>
  <property fmtid="{D5CDD505-2E9C-101B-9397-08002B2CF9AE}" pid="4" name="HandDownDate">
    <vt:lpwstr>14 June 2021</vt:lpwstr>
  </property>
  <property fmtid="{D5CDD505-2E9C-101B-9397-08002B2CF9AE}" pid="5" name="CaseID">
    <vt:lpwstr>JCPC 2019/0109</vt:lpwstr>
  </property>
  <property fmtid="{D5CDD505-2E9C-101B-9397-08002B2CF9AE}" pid="6" name="NeutralCitationNumber">
    <vt:lpwstr>[2021] UKPC 14</vt:lpwstr>
  </property>
  <property fmtid="{D5CDD505-2E9C-101B-9397-08002B2CF9AE}" pid="7" name="Jurisdiction">
    <vt:lpwstr>Supreme Court of Mauritius</vt:lpwstr>
  </property>
</Properties>
</file>