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209D4B" w14:textId="0628CA4B" w:rsidR="00197F97" w:rsidRPr="00C0441A" w:rsidRDefault="00F14B07" w:rsidP="00197F97">
      <w:pPr>
        <w:jc w:val="center"/>
        <w:rPr>
          <w:rFonts w:ascii="Garamond" w:hAnsi="Garamond"/>
        </w:rPr>
      </w:pPr>
      <w:r w:rsidRPr="00C0441A">
        <w:rPr>
          <w:rFonts w:ascii="Garamond" w:hAnsi="Garamond"/>
          <w:noProof/>
        </w:rPr>
        <w:drawing>
          <wp:inline distT="0" distB="0" distL="0" distR="0" wp14:anchorId="202A074F" wp14:editId="57CA4793">
            <wp:extent cx="1230630" cy="1470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0630" cy="1470660"/>
                    </a:xfrm>
                    <a:prstGeom prst="rect">
                      <a:avLst/>
                    </a:prstGeom>
                    <a:noFill/>
                    <a:ln>
                      <a:noFill/>
                    </a:ln>
                  </pic:spPr>
                </pic:pic>
              </a:graphicData>
            </a:graphic>
          </wp:inline>
        </w:drawing>
      </w:r>
    </w:p>
    <w:p w14:paraId="713EF8D2" w14:textId="77777777" w:rsidR="00A24759" w:rsidRPr="00C0441A" w:rsidRDefault="00715424" w:rsidP="00840498">
      <w:pPr>
        <w:jc w:val="right"/>
        <w:rPr>
          <w:rFonts w:ascii="Garamond" w:hAnsi="Garamond"/>
          <w:b/>
        </w:rPr>
      </w:pPr>
      <w:r w:rsidRPr="00C0441A">
        <w:rPr>
          <w:rFonts w:ascii="Garamond" w:hAnsi="Garamond"/>
          <w:b/>
        </w:rPr>
        <w:t>13 November 2020</w:t>
      </w:r>
    </w:p>
    <w:p w14:paraId="17DC816F" w14:textId="77777777" w:rsidR="00197F97" w:rsidRPr="00C0441A" w:rsidRDefault="00197F97" w:rsidP="00715424">
      <w:pPr>
        <w:jc w:val="center"/>
        <w:rPr>
          <w:rFonts w:ascii="Garamond" w:hAnsi="Garamond"/>
          <w:b/>
        </w:rPr>
      </w:pPr>
      <w:r w:rsidRPr="00C0441A">
        <w:rPr>
          <w:rFonts w:ascii="Garamond" w:hAnsi="Garamond"/>
          <w:b/>
        </w:rPr>
        <w:t>PRESS SUMMARY</w:t>
      </w:r>
    </w:p>
    <w:p w14:paraId="015E3D98" w14:textId="77777777" w:rsidR="00715424" w:rsidRPr="00C0441A" w:rsidRDefault="00715424" w:rsidP="00715424">
      <w:pPr>
        <w:jc w:val="center"/>
        <w:rPr>
          <w:rFonts w:ascii="Garamond" w:hAnsi="Garamond"/>
          <w:b/>
        </w:rPr>
      </w:pPr>
    </w:p>
    <w:p w14:paraId="176DA186" w14:textId="77777777" w:rsidR="008A0A16" w:rsidRPr="00D72A44" w:rsidRDefault="0031165B" w:rsidP="00F00775">
      <w:pPr>
        <w:rPr>
          <w:rFonts w:ascii="Garamond" w:hAnsi="Garamond"/>
          <w:b/>
          <w:color w:val="000000"/>
        </w:rPr>
      </w:pPr>
      <w:r w:rsidRPr="00C0441A">
        <w:rPr>
          <w:rFonts w:ascii="Garamond" w:hAnsi="Garamond"/>
          <w:b/>
        </w:rPr>
        <w:t xml:space="preserve">Attorney General of the Turks and Caicos Islands </w:t>
      </w:r>
      <w:r w:rsidR="0061548A" w:rsidRPr="00C0441A">
        <w:rPr>
          <w:rFonts w:ascii="Garamond" w:hAnsi="Garamond"/>
          <w:b/>
        </w:rPr>
        <w:t>(</w:t>
      </w:r>
      <w:r w:rsidRPr="00C0441A">
        <w:rPr>
          <w:rFonts w:ascii="Garamond" w:hAnsi="Garamond"/>
          <w:b/>
        </w:rPr>
        <w:t>Respondent</w:t>
      </w:r>
      <w:r w:rsidR="0061548A" w:rsidRPr="00C0441A">
        <w:rPr>
          <w:rFonts w:ascii="Garamond" w:hAnsi="Garamond"/>
          <w:b/>
        </w:rPr>
        <w:t>) v</w:t>
      </w:r>
      <w:r w:rsidR="00F00775" w:rsidRPr="00C0441A">
        <w:rPr>
          <w:rFonts w:ascii="Garamond" w:hAnsi="Garamond"/>
          <w:b/>
        </w:rPr>
        <w:t xml:space="preserve"> </w:t>
      </w:r>
      <w:r w:rsidRPr="00C0441A">
        <w:rPr>
          <w:rFonts w:ascii="Garamond" w:hAnsi="Garamond"/>
          <w:b/>
        </w:rPr>
        <w:t>Misick and others</w:t>
      </w:r>
      <w:r w:rsidR="00715424" w:rsidRPr="00C0441A">
        <w:rPr>
          <w:rFonts w:ascii="Garamond" w:hAnsi="Garamond"/>
          <w:b/>
        </w:rPr>
        <w:t xml:space="preserve"> </w:t>
      </w:r>
      <w:r w:rsidR="00E81D58" w:rsidRPr="00C0441A">
        <w:rPr>
          <w:rFonts w:ascii="Garamond" w:hAnsi="Garamond"/>
          <w:b/>
        </w:rPr>
        <w:t>(</w:t>
      </w:r>
      <w:r w:rsidRPr="00C0441A">
        <w:rPr>
          <w:rFonts w:ascii="Garamond" w:hAnsi="Garamond"/>
          <w:b/>
        </w:rPr>
        <w:t>Appellants</w:t>
      </w:r>
      <w:r w:rsidR="00E81D58" w:rsidRPr="00C0441A">
        <w:rPr>
          <w:rFonts w:ascii="Garamond" w:hAnsi="Garamond"/>
          <w:b/>
        </w:rPr>
        <w:t xml:space="preserve">) </w:t>
      </w:r>
      <w:r w:rsidR="0061548A" w:rsidRPr="00C0441A">
        <w:rPr>
          <w:rFonts w:ascii="Garamond" w:hAnsi="Garamond"/>
          <w:b/>
        </w:rPr>
        <w:t>[</w:t>
      </w:r>
      <w:r w:rsidRPr="00C0441A">
        <w:rPr>
          <w:rFonts w:ascii="Garamond" w:hAnsi="Garamond"/>
          <w:b/>
        </w:rPr>
        <w:t>2020</w:t>
      </w:r>
      <w:r w:rsidR="0061548A" w:rsidRPr="00C0441A">
        <w:rPr>
          <w:rFonts w:ascii="Garamond" w:hAnsi="Garamond"/>
          <w:b/>
        </w:rPr>
        <w:t>] UKPC</w:t>
      </w:r>
      <w:r w:rsidR="0061548A" w:rsidRPr="00C0441A">
        <w:rPr>
          <w:rFonts w:ascii="Garamond" w:hAnsi="Garamond"/>
          <w:b/>
          <w:color w:val="FF0000"/>
        </w:rPr>
        <w:t xml:space="preserve"> </w:t>
      </w:r>
      <w:r w:rsidR="00715424" w:rsidRPr="00D72A44">
        <w:rPr>
          <w:rFonts w:ascii="Garamond" w:hAnsi="Garamond"/>
          <w:b/>
          <w:color w:val="000000"/>
        </w:rPr>
        <w:t xml:space="preserve">30. </w:t>
      </w:r>
    </w:p>
    <w:p w14:paraId="63DA5916" w14:textId="77777777" w:rsidR="00F00775" w:rsidRPr="00C0441A" w:rsidRDefault="00F00775" w:rsidP="00F00775">
      <w:pPr>
        <w:rPr>
          <w:rFonts w:ascii="Garamond" w:hAnsi="Garamond"/>
          <w:i/>
        </w:rPr>
      </w:pPr>
      <w:r w:rsidRPr="00C0441A">
        <w:rPr>
          <w:rFonts w:ascii="Garamond" w:hAnsi="Garamond"/>
          <w:i/>
        </w:rPr>
        <w:t>On appeal</w:t>
      </w:r>
      <w:r w:rsidR="0061548A" w:rsidRPr="00C0441A">
        <w:rPr>
          <w:rFonts w:ascii="Garamond" w:hAnsi="Garamond"/>
          <w:i/>
        </w:rPr>
        <w:t xml:space="preserve"> from </w:t>
      </w:r>
      <w:r w:rsidR="0031165B" w:rsidRPr="00C0441A">
        <w:rPr>
          <w:rFonts w:ascii="Garamond" w:hAnsi="Garamond"/>
          <w:i/>
        </w:rPr>
        <w:t>the Court of Appeal of the Turks and Caicos Islands</w:t>
      </w:r>
    </w:p>
    <w:p w14:paraId="4A988A4E" w14:textId="77777777" w:rsidR="00F00775" w:rsidRPr="00C0441A" w:rsidRDefault="00F00775" w:rsidP="00F00775">
      <w:pPr>
        <w:rPr>
          <w:rFonts w:ascii="Garamond" w:hAnsi="Garamond"/>
          <w:i/>
        </w:rPr>
      </w:pPr>
    </w:p>
    <w:p w14:paraId="58FEA44E" w14:textId="77777777" w:rsidR="00A24759" w:rsidRPr="00C0441A" w:rsidRDefault="008A0A16" w:rsidP="0093632D">
      <w:pPr>
        <w:jc w:val="both"/>
        <w:rPr>
          <w:rFonts w:ascii="Garamond" w:hAnsi="Garamond"/>
        </w:rPr>
      </w:pPr>
      <w:r w:rsidRPr="00C0441A">
        <w:rPr>
          <w:rFonts w:ascii="Garamond" w:hAnsi="Garamond"/>
          <w:b/>
        </w:rPr>
        <w:t xml:space="preserve">JUSTICES: </w:t>
      </w:r>
      <w:r w:rsidR="0031165B" w:rsidRPr="00C0441A">
        <w:rPr>
          <w:rFonts w:ascii="Garamond" w:hAnsi="Garamond"/>
          <w:b/>
        </w:rPr>
        <w:t>Lady Black, Lord Lloyd-Jones, Lord Briggs, Lord Hamblen, Lord Stephens.</w:t>
      </w:r>
    </w:p>
    <w:p w14:paraId="3BF23999" w14:textId="77777777" w:rsidR="00F0420D" w:rsidRPr="00C0441A" w:rsidRDefault="00F0420D" w:rsidP="0093632D">
      <w:pPr>
        <w:jc w:val="both"/>
        <w:rPr>
          <w:rFonts w:ascii="Garamond" w:hAnsi="Garamond"/>
          <w:b/>
        </w:rPr>
      </w:pPr>
    </w:p>
    <w:p w14:paraId="569886AF" w14:textId="77777777" w:rsidR="0093632D" w:rsidRPr="00C0441A" w:rsidRDefault="0093632D" w:rsidP="0093632D">
      <w:pPr>
        <w:jc w:val="both"/>
        <w:rPr>
          <w:rFonts w:ascii="Garamond" w:hAnsi="Garamond"/>
          <w:b/>
        </w:rPr>
      </w:pPr>
      <w:r w:rsidRPr="00C0441A">
        <w:rPr>
          <w:rFonts w:ascii="Garamond" w:hAnsi="Garamond"/>
          <w:b/>
        </w:rPr>
        <w:t>BACKGROUND TO THE APPEAL</w:t>
      </w:r>
    </w:p>
    <w:p w14:paraId="3473DB31" w14:textId="77777777" w:rsidR="0070669E" w:rsidRPr="00C0441A" w:rsidRDefault="0070669E" w:rsidP="0093632D">
      <w:pPr>
        <w:rPr>
          <w:rFonts w:ascii="Garamond" w:hAnsi="Garamond"/>
        </w:rPr>
      </w:pPr>
    </w:p>
    <w:p w14:paraId="5BACA4B1" w14:textId="77777777" w:rsidR="0070669E" w:rsidRPr="00C0441A" w:rsidRDefault="0070669E" w:rsidP="0070669E">
      <w:pPr>
        <w:jc w:val="both"/>
        <w:rPr>
          <w:rFonts w:ascii="Garamond" w:hAnsi="Garamond"/>
        </w:rPr>
      </w:pPr>
      <w:r w:rsidRPr="00C0441A">
        <w:rPr>
          <w:rFonts w:ascii="Garamond" w:hAnsi="Garamond"/>
        </w:rPr>
        <w:t>The Appellants are the defendants (“</w:t>
      </w:r>
      <w:r w:rsidRPr="00C0441A">
        <w:rPr>
          <w:rFonts w:ascii="Garamond" w:hAnsi="Garamond"/>
          <w:b/>
          <w:bCs/>
        </w:rPr>
        <w:t>the Defendants</w:t>
      </w:r>
      <w:r w:rsidRPr="00C0441A">
        <w:rPr>
          <w:rFonts w:ascii="Garamond" w:hAnsi="Garamond"/>
        </w:rPr>
        <w:t>”)</w:t>
      </w:r>
      <w:r w:rsidR="00353611" w:rsidRPr="00C0441A">
        <w:rPr>
          <w:rFonts w:ascii="Garamond" w:hAnsi="Garamond"/>
        </w:rPr>
        <w:t xml:space="preserve"> </w:t>
      </w:r>
      <w:r w:rsidRPr="00C0441A">
        <w:rPr>
          <w:rFonts w:ascii="Garamond" w:hAnsi="Garamond"/>
        </w:rPr>
        <w:t xml:space="preserve">in criminal proceedings which </w:t>
      </w:r>
      <w:r w:rsidR="00080C40">
        <w:rPr>
          <w:rFonts w:ascii="Garamond" w:hAnsi="Garamond"/>
        </w:rPr>
        <w:t>began</w:t>
      </w:r>
      <w:r w:rsidRPr="00C0441A">
        <w:rPr>
          <w:rFonts w:ascii="Garamond" w:hAnsi="Garamond"/>
        </w:rPr>
        <w:t xml:space="preserve"> on 7 December 2015 (“</w:t>
      </w:r>
      <w:r w:rsidRPr="00C0441A">
        <w:rPr>
          <w:rFonts w:ascii="Garamond" w:hAnsi="Garamond"/>
          <w:b/>
          <w:bCs/>
        </w:rPr>
        <w:t>the Criminal Proceedings</w:t>
      </w:r>
      <w:r w:rsidRPr="00C0441A">
        <w:rPr>
          <w:rFonts w:ascii="Garamond" w:hAnsi="Garamond"/>
        </w:rPr>
        <w:t>”) in the Turks and Caicos Islands (“</w:t>
      </w:r>
      <w:r w:rsidRPr="00C0441A">
        <w:rPr>
          <w:rFonts w:ascii="Garamond" w:hAnsi="Garamond"/>
          <w:b/>
          <w:bCs/>
        </w:rPr>
        <w:t>TCI</w:t>
      </w:r>
      <w:r w:rsidRPr="00C0441A">
        <w:rPr>
          <w:rFonts w:ascii="Garamond" w:hAnsi="Garamond"/>
        </w:rPr>
        <w:t>”). The Criminal Proceedings are being conducted by Harrison J, without a jury. Though Harrison J is a judge of the TCI Supreme Court, he chose to continue to reside in</w:t>
      </w:r>
      <w:r w:rsidR="009A543F" w:rsidRPr="00C0441A">
        <w:rPr>
          <w:rFonts w:ascii="Garamond" w:hAnsi="Garamond"/>
        </w:rPr>
        <w:t xml:space="preserve"> his native</w:t>
      </w:r>
      <w:r w:rsidRPr="00C0441A">
        <w:rPr>
          <w:rFonts w:ascii="Garamond" w:hAnsi="Garamond"/>
        </w:rPr>
        <w:t xml:space="preserve"> Jamaica, travelling to the TCI when the court is in session. To date, </w:t>
      </w:r>
      <w:r w:rsidR="003E002F" w:rsidRPr="00C0441A">
        <w:rPr>
          <w:rFonts w:ascii="Garamond" w:hAnsi="Garamond"/>
        </w:rPr>
        <w:t xml:space="preserve">the trial has occupied 490 sitting days, with the prosecution closing its case on 20 September 2018. </w:t>
      </w:r>
      <w:r w:rsidRPr="00C0441A">
        <w:rPr>
          <w:rFonts w:ascii="Garamond" w:hAnsi="Garamond"/>
        </w:rPr>
        <w:t xml:space="preserve">On 12 March 2020, Harrison J adjourned the Criminal Proceedings following the </w:t>
      </w:r>
      <w:r w:rsidR="003E002F" w:rsidRPr="00C0441A">
        <w:rPr>
          <w:rFonts w:ascii="Garamond" w:hAnsi="Garamond"/>
        </w:rPr>
        <w:t>declaration made by the World Health Organisation the previous day that Covid-19 was a global pandemic.</w:t>
      </w:r>
      <w:r w:rsidRPr="00C0441A">
        <w:rPr>
          <w:rFonts w:ascii="Garamond" w:hAnsi="Garamond"/>
        </w:rPr>
        <w:t xml:space="preserve"> </w:t>
      </w:r>
    </w:p>
    <w:p w14:paraId="0936F57E" w14:textId="77777777" w:rsidR="0070669E" w:rsidRPr="00C0441A" w:rsidRDefault="0070669E" w:rsidP="0070669E">
      <w:pPr>
        <w:jc w:val="both"/>
        <w:rPr>
          <w:rFonts w:ascii="Garamond" w:hAnsi="Garamond"/>
        </w:rPr>
      </w:pPr>
    </w:p>
    <w:p w14:paraId="1C74986D" w14:textId="77777777" w:rsidR="00840498" w:rsidRPr="00C0441A" w:rsidRDefault="003E002F" w:rsidP="009A543F">
      <w:pPr>
        <w:jc w:val="both"/>
        <w:rPr>
          <w:rFonts w:ascii="Garamond" w:hAnsi="Garamond"/>
        </w:rPr>
      </w:pPr>
      <w:r w:rsidRPr="00C0441A">
        <w:rPr>
          <w:rFonts w:ascii="Garamond" w:hAnsi="Garamond"/>
        </w:rPr>
        <w:t>On</w:t>
      </w:r>
      <w:r w:rsidR="0070669E" w:rsidRPr="00C0441A">
        <w:rPr>
          <w:rFonts w:ascii="Garamond" w:hAnsi="Garamond"/>
        </w:rPr>
        <w:t xml:space="preserve"> 20 March 2020, the Governor of the TCI issued a</w:t>
      </w:r>
      <w:r w:rsidRPr="00C0441A">
        <w:rPr>
          <w:rFonts w:ascii="Garamond" w:hAnsi="Garamond"/>
        </w:rPr>
        <w:t xml:space="preserve">n </w:t>
      </w:r>
      <w:r w:rsidR="0070669E" w:rsidRPr="00C0441A">
        <w:rPr>
          <w:rFonts w:ascii="Garamond" w:hAnsi="Garamond"/>
        </w:rPr>
        <w:t>Emergency</w:t>
      </w:r>
      <w:r w:rsidRPr="00C0441A">
        <w:rPr>
          <w:rFonts w:ascii="Garamond" w:hAnsi="Garamond"/>
        </w:rPr>
        <w:t xml:space="preserve"> Proclamation</w:t>
      </w:r>
      <w:r w:rsidR="0070669E" w:rsidRPr="00C0441A">
        <w:rPr>
          <w:rFonts w:ascii="Garamond" w:hAnsi="Garamond"/>
        </w:rPr>
        <w:t xml:space="preserve"> to prevent and control or contain the spread of Covid-19. On 17 April 2020, the Governor made the </w:t>
      </w:r>
      <w:r w:rsidR="0070669E" w:rsidRPr="00080C40">
        <w:rPr>
          <w:rFonts w:ascii="Garamond" w:hAnsi="Garamond"/>
          <w:i/>
          <w:iCs/>
        </w:rPr>
        <w:t>Emergency Powers (Covid-19) (Court Proceedings) Regulations 2020</w:t>
      </w:r>
      <w:r w:rsidR="0070669E" w:rsidRPr="00C0441A">
        <w:rPr>
          <w:rFonts w:ascii="Garamond" w:hAnsi="Garamond"/>
        </w:rPr>
        <w:t xml:space="preserve"> (“</w:t>
      </w:r>
      <w:r w:rsidR="00353611" w:rsidRPr="00C0441A">
        <w:rPr>
          <w:rFonts w:ascii="Garamond" w:hAnsi="Garamond"/>
          <w:b/>
          <w:bCs/>
        </w:rPr>
        <w:t>t</w:t>
      </w:r>
      <w:r w:rsidR="0070669E" w:rsidRPr="00C0441A">
        <w:rPr>
          <w:rFonts w:ascii="Garamond" w:hAnsi="Garamond"/>
          <w:b/>
          <w:bCs/>
        </w:rPr>
        <w:t>he Regulations</w:t>
      </w:r>
      <w:r w:rsidR="0070669E" w:rsidRPr="00C0441A">
        <w:rPr>
          <w:rFonts w:ascii="Garamond" w:hAnsi="Garamond"/>
        </w:rPr>
        <w:t xml:space="preserve">”) which came into force on 20 April 2020. The Regulations </w:t>
      </w:r>
      <w:r w:rsidR="00080C40">
        <w:rPr>
          <w:rFonts w:ascii="Garamond" w:hAnsi="Garamond"/>
        </w:rPr>
        <w:t>provide</w:t>
      </w:r>
      <w:r w:rsidR="0070669E" w:rsidRPr="00C0441A">
        <w:rPr>
          <w:rFonts w:ascii="Garamond" w:hAnsi="Garamond"/>
        </w:rPr>
        <w:t xml:space="preserve"> for</w:t>
      </w:r>
      <w:r w:rsidR="00080C40">
        <w:rPr>
          <w:rFonts w:ascii="Garamond" w:hAnsi="Garamond"/>
        </w:rPr>
        <w:t xml:space="preserve"> remote hearings </w:t>
      </w:r>
      <w:r w:rsidR="0070669E" w:rsidRPr="00C0441A">
        <w:rPr>
          <w:rFonts w:ascii="Garamond" w:hAnsi="Garamond"/>
        </w:rPr>
        <w:t>of criminal and civil proceedings. In particular, Regulation 4(6) provides tha</w:t>
      </w:r>
      <w:r w:rsidR="009A543F" w:rsidRPr="00C0441A">
        <w:rPr>
          <w:rFonts w:ascii="Garamond" w:hAnsi="Garamond"/>
        </w:rPr>
        <w:t xml:space="preserve">t: </w:t>
      </w:r>
      <w:r w:rsidR="009A543F" w:rsidRPr="00C0441A">
        <w:rPr>
          <w:rFonts w:ascii="Garamond" w:hAnsi="Garamond"/>
          <w:i/>
          <w:iCs/>
        </w:rPr>
        <w:t>“The courtroom shall include any place, whether in or outside of the Islands, the Judge or Magistrate elects to sit to conduct the business of the court: Provided always that the video and audio link facility at the said location must be accessible remotely to the court recorder, interpreter in the appropriate cases, parties, counsel and witnesses.”</w:t>
      </w:r>
      <w:r w:rsidRPr="00C0441A">
        <w:rPr>
          <w:rFonts w:ascii="Garamond" w:hAnsi="Garamond"/>
        </w:rPr>
        <w:t xml:space="preserve"> </w:t>
      </w:r>
      <w:r w:rsidR="0070669E" w:rsidRPr="00C0441A">
        <w:rPr>
          <w:rFonts w:ascii="Garamond" w:hAnsi="Garamond"/>
        </w:rPr>
        <w:t xml:space="preserve">On 23 April 2020, the Crown </w:t>
      </w:r>
      <w:r w:rsidR="00353611" w:rsidRPr="00C0441A">
        <w:rPr>
          <w:rFonts w:ascii="Garamond" w:hAnsi="Garamond"/>
        </w:rPr>
        <w:t>applied to resume</w:t>
      </w:r>
      <w:r w:rsidR="0070669E" w:rsidRPr="00C0441A">
        <w:rPr>
          <w:rFonts w:ascii="Garamond" w:hAnsi="Garamond"/>
        </w:rPr>
        <w:t xml:space="preserve"> the Criminal Proceedings in accordance with Regulation 4(6). On the 24 April 2020, the </w:t>
      </w:r>
      <w:r w:rsidR="00353611" w:rsidRPr="00C0441A">
        <w:rPr>
          <w:rFonts w:ascii="Garamond" w:hAnsi="Garamond"/>
        </w:rPr>
        <w:t>Defendants</w:t>
      </w:r>
      <w:r w:rsidR="0070669E" w:rsidRPr="00C0441A">
        <w:rPr>
          <w:rFonts w:ascii="Garamond" w:hAnsi="Garamond"/>
        </w:rPr>
        <w:t xml:space="preserve"> </w:t>
      </w:r>
      <w:r w:rsidR="00F852A2" w:rsidRPr="00C0441A">
        <w:rPr>
          <w:rFonts w:ascii="Garamond" w:hAnsi="Garamond"/>
        </w:rPr>
        <w:t xml:space="preserve">applied </w:t>
      </w:r>
      <w:r w:rsidR="00080C40">
        <w:rPr>
          <w:rFonts w:ascii="Garamond" w:hAnsi="Garamond"/>
        </w:rPr>
        <w:t xml:space="preserve">to the TCI Supreme Court </w:t>
      </w:r>
      <w:r w:rsidR="00F852A2" w:rsidRPr="00C0441A">
        <w:rPr>
          <w:rFonts w:ascii="Garamond" w:hAnsi="Garamond"/>
        </w:rPr>
        <w:t>for declarations that Regulation 4(6) was unlawful on various grounds</w:t>
      </w:r>
      <w:r w:rsidR="0070669E" w:rsidRPr="00C0441A">
        <w:rPr>
          <w:rFonts w:ascii="Garamond" w:hAnsi="Garamond"/>
        </w:rPr>
        <w:t xml:space="preserve">. On 18 June 2020, the Supreme Court declared that Regulation 4(6) was unlawful to the extent that it purported to create a courtroom outside the jurisdiction of the TCI. All other relief sought by the Defendants was denied. On 20 June 2020, the Attorney General applied to appeal the Supreme Court’s declaration. On 7 July 2020, the Defendants also applied to appeal the Supreme Court’s decision </w:t>
      </w:r>
      <w:r w:rsidR="009A543F" w:rsidRPr="00C0441A">
        <w:rPr>
          <w:rFonts w:ascii="Garamond" w:hAnsi="Garamond"/>
        </w:rPr>
        <w:t>to</w:t>
      </w:r>
      <w:r w:rsidR="0070669E" w:rsidRPr="00C0441A">
        <w:rPr>
          <w:rFonts w:ascii="Garamond" w:hAnsi="Garamond"/>
        </w:rPr>
        <w:t xml:space="preserve"> </w:t>
      </w:r>
      <w:r w:rsidR="009A543F" w:rsidRPr="00C0441A">
        <w:rPr>
          <w:rFonts w:ascii="Garamond" w:hAnsi="Garamond"/>
        </w:rPr>
        <w:t>deny</w:t>
      </w:r>
      <w:r w:rsidR="0070669E" w:rsidRPr="00C0441A">
        <w:rPr>
          <w:rFonts w:ascii="Garamond" w:hAnsi="Garamond"/>
        </w:rPr>
        <w:t xml:space="preserve"> the other relief sought. On 31 August 2020, the Court of Appeal allowed the Attorney General’s appeal but dismissed the Defendants’ appeal. </w:t>
      </w:r>
    </w:p>
    <w:p w14:paraId="4008432C" w14:textId="77777777" w:rsidR="00840498" w:rsidRPr="00C0441A" w:rsidRDefault="00840498" w:rsidP="0070669E">
      <w:pPr>
        <w:jc w:val="both"/>
        <w:rPr>
          <w:rFonts w:ascii="Garamond" w:hAnsi="Garamond"/>
        </w:rPr>
      </w:pPr>
    </w:p>
    <w:p w14:paraId="1805C3F5" w14:textId="77777777" w:rsidR="00840498" w:rsidRPr="00C0441A" w:rsidRDefault="0070669E" w:rsidP="00840498">
      <w:pPr>
        <w:jc w:val="both"/>
        <w:rPr>
          <w:rFonts w:ascii="Garamond" w:hAnsi="Garamond"/>
        </w:rPr>
      </w:pPr>
      <w:r w:rsidRPr="00C0441A">
        <w:rPr>
          <w:rFonts w:ascii="Garamond" w:hAnsi="Garamond"/>
        </w:rPr>
        <w:t>The Defendants now appeal to the Privy Council</w:t>
      </w:r>
      <w:r w:rsidR="00840498" w:rsidRPr="00C0441A">
        <w:rPr>
          <w:rFonts w:ascii="Garamond" w:hAnsi="Garamond"/>
        </w:rPr>
        <w:t>, advancing two grounds. First, they contend that Regulation 4(6) is in breach of the TCI Constitution</w:t>
      </w:r>
      <w:r w:rsidR="00080C40">
        <w:rPr>
          <w:rFonts w:ascii="Garamond" w:hAnsi="Garamond"/>
        </w:rPr>
        <w:t>,</w:t>
      </w:r>
      <w:r w:rsidR="00840498" w:rsidRPr="00C0441A">
        <w:rPr>
          <w:rFonts w:ascii="Garamond" w:hAnsi="Garamond"/>
        </w:rPr>
        <w:t xml:space="preserve"> as it purports to allow the Supreme Court to sit outside the TCI (“</w:t>
      </w:r>
      <w:r w:rsidR="00840498" w:rsidRPr="00C0441A">
        <w:rPr>
          <w:rFonts w:ascii="Garamond" w:hAnsi="Garamond"/>
          <w:b/>
          <w:bCs/>
        </w:rPr>
        <w:t>the ultra vires issue</w:t>
      </w:r>
      <w:r w:rsidR="00840498" w:rsidRPr="00C0441A">
        <w:rPr>
          <w:rFonts w:ascii="Garamond" w:hAnsi="Garamond"/>
        </w:rPr>
        <w:t>”). Second, they contend that the application of Regulation 4(6) to their trial would create an inequality of arms in breach of sections 1 and 6 of the Constitution</w:t>
      </w:r>
      <w:r w:rsidR="00080C40">
        <w:rPr>
          <w:rFonts w:ascii="Garamond" w:hAnsi="Garamond"/>
        </w:rPr>
        <w:t>,</w:t>
      </w:r>
      <w:r w:rsidR="00FF4972" w:rsidRPr="00C0441A">
        <w:rPr>
          <w:rFonts w:ascii="Garamond" w:hAnsi="Garamond"/>
        </w:rPr>
        <w:t xml:space="preserve"> as the Defendants would be forced to conduct their cases remotely</w:t>
      </w:r>
      <w:r w:rsidR="009A543F" w:rsidRPr="00C0441A">
        <w:rPr>
          <w:rFonts w:ascii="Garamond" w:hAnsi="Garamond"/>
        </w:rPr>
        <w:t xml:space="preserve">, whereas </w:t>
      </w:r>
      <w:r w:rsidR="00FF4972" w:rsidRPr="00C0441A">
        <w:rPr>
          <w:rFonts w:ascii="Garamond" w:hAnsi="Garamond"/>
        </w:rPr>
        <w:t>the Crown was able to present its case in the ‘ordinary way’</w:t>
      </w:r>
      <w:r w:rsidR="00840498" w:rsidRPr="00C0441A">
        <w:rPr>
          <w:rFonts w:ascii="Garamond" w:hAnsi="Garamond"/>
        </w:rPr>
        <w:t xml:space="preserve"> (“</w:t>
      </w:r>
      <w:r w:rsidR="00840498" w:rsidRPr="00C0441A">
        <w:rPr>
          <w:rFonts w:ascii="Garamond" w:hAnsi="Garamond"/>
          <w:b/>
          <w:bCs/>
        </w:rPr>
        <w:t>the inequality of arms issue</w:t>
      </w:r>
      <w:r w:rsidR="00840498" w:rsidRPr="00C0441A">
        <w:rPr>
          <w:rFonts w:ascii="Garamond" w:hAnsi="Garamond"/>
        </w:rPr>
        <w:t xml:space="preserve">”). </w:t>
      </w:r>
    </w:p>
    <w:p w14:paraId="303B40BB" w14:textId="77777777" w:rsidR="00F0420D" w:rsidRPr="00C0441A" w:rsidRDefault="00F0420D" w:rsidP="00840498">
      <w:pPr>
        <w:jc w:val="both"/>
        <w:rPr>
          <w:rFonts w:ascii="Garamond" w:hAnsi="Garamond"/>
          <w:b/>
        </w:rPr>
      </w:pPr>
    </w:p>
    <w:p w14:paraId="6C2F1EA5" w14:textId="77777777" w:rsidR="008A0A16" w:rsidRPr="00C0441A" w:rsidRDefault="0093632D" w:rsidP="0093632D">
      <w:pPr>
        <w:rPr>
          <w:rFonts w:ascii="Garamond" w:hAnsi="Garamond"/>
          <w:b/>
        </w:rPr>
      </w:pPr>
      <w:r w:rsidRPr="00C0441A">
        <w:rPr>
          <w:rFonts w:ascii="Garamond" w:hAnsi="Garamond"/>
          <w:b/>
        </w:rPr>
        <w:t>JUDGMENT</w:t>
      </w:r>
    </w:p>
    <w:p w14:paraId="66B7A28A" w14:textId="77777777" w:rsidR="00390DE9" w:rsidRPr="00C0441A" w:rsidRDefault="00390DE9" w:rsidP="0093632D">
      <w:pPr>
        <w:rPr>
          <w:rFonts w:ascii="Garamond" w:hAnsi="Garamond"/>
          <w:b/>
        </w:rPr>
      </w:pPr>
    </w:p>
    <w:p w14:paraId="2DE3790D" w14:textId="77777777" w:rsidR="00A24759" w:rsidRPr="00C0441A" w:rsidRDefault="00121124" w:rsidP="0093632D">
      <w:pPr>
        <w:jc w:val="both"/>
        <w:rPr>
          <w:rFonts w:ascii="Garamond" w:hAnsi="Garamond"/>
        </w:rPr>
      </w:pPr>
      <w:r w:rsidRPr="00C0441A">
        <w:rPr>
          <w:rFonts w:ascii="Garamond" w:hAnsi="Garamond"/>
        </w:rPr>
        <w:t xml:space="preserve">The </w:t>
      </w:r>
      <w:r w:rsidR="001E526D" w:rsidRPr="00C0441A">
        <w:rPr>
          <w:rFonts w:ascii="Garamond" w:hAnsi="Garamond"/>
        </w:rPr>
        <w:t>Judicial Committee of the Privy Council will humbly advise Her Majesty that the</w:t>
      </w:r>
      <w:r w:rsidR="00E665E7" w:rsidRPr="00C0441A">
        <w:rPr>
          <w:rFonts w:ascii="Garamond" w:hAnsi="Garamond"/>
        </w:rPr>
        <w:t xml:space="preserve"> Defendants’</w:t>
      </w:r>
      <w:r w:rsidR="00C92844" w:rsidRPr="00C0441A">
        <w:rPr>
          <w:rFonts w:ascii="Garamond" w:hAnsi="Garamond"/>
        </w:rPr>
        <w:t xml:space="preserve"> </w:t>
      </w:r>
      <w:r w:rsidR="001E526D" w:rsidRPr="00C0441A">
        <w:rPr>
          <w:rFonts w:ascii="Garamond" w:hAnsi="Garamond"/>
        </w:rPr>
        <w:t>appeal</w:t>
      </w:r>
      <w:r w:rsidR="00E665E7" w:rsidRPr="00C0441A">
        <w:rPr>
          <w:rFonts w:ascii="Garamond" w:hAnsi="Garamond"/>
        </w:rPr>
        <w:t>s</w:t>
      </w:r>
      <w:r w:rsidR="001E526D" w:rsidRPr="00C0441A">
        <w:rPr>
          <w:rFonts w:ascii="Garamond" w:hAnsi="Garamond"/>
        </w:rPr>
        <w:t xml:space="preserve"> should be dismissed.</w:t>
      </w:r>
      <w:r w:rsidR="003C1DD7" w:rsidRPr="00C0441A">
        <w:rPr>
          <w:rFonts w:ascii="Garamond" w:hAnsi="Garamond"/>
        </w:rPr>
        <w:t xml:space="preserve"> </w:t>
      </w:r>
      <w:r w:rsidR="00E665E7" w:rsidRPr="00C0441A">
        <w:rPr>
          <w:rFonts w:ascii="Garamond" w:hAnsi="Garamond"/>
        </w:rPr>
        <w:t xml:space="preserve">Lord Hamblen and Lord Stephens </w:t>
      </w:r>
      <w:r w:rsidR="00172937" w:rsidRPr="00C0441A">
        <w:rPr>
          <w:rFonts w:ascii="Garamond" w:hAnsi="Garamond"/>
        </w:rPr>
        <w:t xml:space="preserve">give the </w:t>
      </w:r>
      <w:r w:rsidR="001E526D" w:rsidRPr="00C0441A">
        <w:rPr>
          <w:rFonts w:ascii="Garamond" w:hAnsi="Garamond"/>
        </w:rPr>
        <w:t>advice of the Board</w:t>
      </w:r>
      <w:r w:rsidR="00172937" w:rsidRPr="00C0441A">
        <w:rPr>
          <w:rFonts w:ascii="Garamond" w:hAnsi="Garamond"/>
        </w:rPr>
        <w:t>.</w:t>
      </w:r>
    </w:p>
    <w:p w14:paraId="0AA7B74D" w14:textId="77777777" w:rsidR="0093632D" w:rsidRPr="00C0441A" w:rsidRDefault="0093632D" w:rsidP="0093632D">
      <w:pPr>
        <w:jc w:val="both"/>
        <w:rPr>
          <w:rFonts w:ascii="Garamond" w:hAnsi="Garamond"/>
        </w:rPr>
      </w:pPr>
      <w:r w:rsidRPr="00C0441A">
        <w:rPr>
          <w:rFonts w:ascii="Garamond" w:hAnsi="Garamond"/>
          <w:b/>
        </w:rPr>
        <w:t xml:space="preserve">REASONS FOR THE JUDGMENT </w:t>
      </w:r>
    </w:p>
    <w:p w14:paraId="5F2FB4B3" w14:textId="77777777" w:rsidR="001B02FF" w:rsidRDefault="001B02FF" w:rsidP="001B02FF">
      <w:pPr>
        <w:jc w:val="both"/>
        <w:rPr>
          <w:rFonts w:ascii="Garamond" w:hAnsi="Garamond"/>
          <w:i/>
          <w:iCs/>
          <w:u w:val="single"/>
        </w:rPr>
      </w:pPr>
    </w:p>
    <w:p w14:paraId="44342BEA" w14:textId="77777777" w:rsidR="00E076CF" w:rsidRDefault="00E076CF" w:rsidP="001B02FF">
      <w:pPr>
        <w:jc w:val="both"/>
        <w:rPr>
          <w:rFonts w:ascii="Garamond" w:hAnsi="Garamond"/>
          <w:i/>
          <w:iCs/>
          <w:u w:val="single"/>
        </w:rPr>
      </w:pPr>
      <w:r>
        <w:rPr>
          <w:rFonts w:ascii="Garamond" w:hAnsi="Garamond"/>
          <w:i/>
          <w:iCs/>
          <w:u w:val="single"/>
        </w:rPr>
        <w:t xml:space="preserve">The ultra vires </w:t>
      </w:r>
      <w:proofErr w:type="gramStart"/>
      <w:r>
        <w:rPr>
          <w:rFonts w:ascii="Garamond" w:hAnsi="Garamond"/>
          <w:i/>
          <w:iCs/>
          <w:u w:val="single"/>
        </w:rPr>
        <w:t>issue</w:t>
      </w:r>
      <w:proofErr w:type="gramEnd"/>
    </w:p>
    <w:p w14:paraId="208597A3" w14:textId="77777777" w:rsidR="00076E61" w:rsidRPr="00C0441A" w:rsidRDefault="00076E61" w:rsidP="001B02FF">
      <w:pPr>
        <w:jc w:val="both"/>
        <w:rPr>
          <w:rFonts w:ascii="Garamond" w:hAnsi="Garamond"/>
          <w:i/>
          <w:iCs/>
          <w:u w:val="single"/>
        </w:rPr>
      </w:pPr>
    </w:p>
    <w:p w14:paraId="401703B5" w14:textId="77777777" w:rsidR="00715B92" w:rsidRPr="00C0441A" w:rsidRDefault="00715B92" w:rsidP="001B02FF">
      <w:pPr>
        <w:jc w:val="both"/>
        <w:rPr>
          <w:rFonts w:ascii="Garamond" w:hAnsi="Garamond"/>
        </w:rPr>
      </w:pPr>
      <w:r w:rsidRPr="00C0441A">
        <w:rPr>
          <w:rFonts w:ascii="Garamond" w:hAnsi="Garamond"/>
        </w:rPr>
        <w:t xml:space="preserve">In interpreting Regulation 4(6), the starting point is to ascertain the natural or ordinary meaning of the provision. The words and phrases must be read in their context, in its widest sense, which includes the Regulations as a whole, </w:t>
      </w:r>
      <w:r w:rsidR="00080C40">
        <w:rPr>
          <w:rFonts w:ascii="Garamond" w:hAnsi="Garamond"/>
        </w:rPr>
        <w:t>in addition to</w:t>
      </w:r>
      <w:r w:rsidRPr="00C0441A">
        <w:rPr>
          <w:rFonts w:ascii="Garamond" w:hAnsi="Garamond"/>
        </w:rPr>
        <w:t xml:space="preserve"> the legal, </w:t>
      </w:r>
      <w:proofErr w:type="gramStart"/>
      <w:r w:rsidRPr="00C0441A">
        <w:rPr>
          <w:rFonts w:ascii="Garamond" w:hAnsi="Garamond"/>
        </w:rPr>
        <w:t>social</w:t>
      </w:r>
      <w:proofErr w:type="gramEnd"/>
      <w:r w:rsidRPr="00C0441A">
        <w:rPr>
          <w:rFonts w:ascii="Garamond" w:hAnsi="Garamond"/>
        </w:rPr>
        <w:t xml:space="preserve"> and historical context </w:t>
      </w:r>
      <w:r w:rsidRPr="00C0441A">
        <w:rPr>
          <w:rFonts w:ascii="Garamond" w:hAnsi="Garamond"/>
          <w:b/>
          <w:bCs/>
        </w:rPr>
        <w:t>[38]</w:t>
      </w:r>
      <w:r w:rsidR="002C52FE" w:rsidRPr="00C0441A">
        <w:rPr>
          <w:rFonts w:ascii="Garamond" w:hAnsi="Garamond"/>
          <w:b/>
          <w:bCs/>
        </w:rPr>
        <w:t>-[41]</w:t>
      </w:r>
      <w:r w:rsidRPr="00C0441A">
        <w:rPr>
          <w:rFonts w:ascii="Garamond" w:hAnsi="Garamond"/>
        </w:rPr>
        <w:t xml:space="preserve">. </w:t>
      </w:r>
      <w:r w:rsidR="002C52FE" w:rsidRPr="00C0441A">
        <w:rPr>
          <w:rFonts w:ascii="Garamond" w:hAnsi="Garamond"/>
        </w:rPr>
        <w:t xml:space="preserve">There are a number of relevant contextual features in this case, which include </w:t>
      </w:r>
      <w:r w:rsidR="002C52FE" w:rsidRPr="00C0441A">
        <w:rPr>
          <w:rFonts w:ascii="Garamond" w:hAnsi="Garamond"/>
          <w:b/>
          <w:bCs/>
        </w:rPr>
        <w:t>[44]-[47]</w:t>
      </w:r>
      <w:r w:rsidR="002C52FE" w:rsidRPr="00C0441A">
        <w:rPr>
          <w:rFonts w:ascii="Garamond" w:hAnsi="Garamond"/>
        </w:rPr>
        <w:t xml:space="preserve">: (i) the fact that the Regulations were made as a temporary measure in response to the Covid-19 pandemic, in an attempt to resume the administration of justice; (ii) the content of the Constitution, which provides that the Supreme Court may only sit within the TCI; (iii) the physical courtroom, which will be used after the pandemic, is in the TCI; </w:t>
      </w:r>
      <w:r w:rsidR="00FF597F" w:rsidRPr="00C0441A">
        <w:rPr>
          <w:rFonts w:ascii="Garamond" w:hAnsi="Garamond"/>
        </w:rPr>
        <w:t xml:space="preserve">and (iv) all the powers of the judge would be exercised in the TCI </w:t>
      </w:r>
      <w:r w:rsidR="00C92844" w:rsidRPr="00C0441A">
        <w:rPr>
          <w:rFonts w:ascii="Garamond" w:hAnsi="Garamond"/>
        </w:rPr>
        <w:t>alone.</w:t>
      </w:r>
    </w:p>
    <w:p w14:paraId="4DF61922" w14:textId="77777777" w:rsidR="00F0420D" w:rsidRPr="00C0441A" w:rsidRDefault="00F0420D" w:rsidP="001B02FF">
      <w:pPr>
        <w:jc w:val="both"/>
        <w:rPr>
          <w:rFonts w:ascii="Garamond" w:hAnsi="Garamond"/>
          <w:i/>
          <w:iCs/>
          <w:u w:val="single"/>
        </w:rPr>
      </w:pPr>
    </w:p>
    <w:p w14:paraId="752F1A25" w14:textId="77777777" w:rsidR="00FF597F" w:rsidRPr="00C0441A" w:rsidRDefault="00E076CF" w:rsidP="001B02FF">
      <w:pPr>
        <w:jc w:val="both"/>
        <w:rPr>
          <w:rFonts w:ascii="Garamond" w:hAnsi="Garamond"/>
        </w:rPr>
      </w:pPr>
      <w:r>
        <w:rPr>
          <w:rFonts w:ascii="Garamond" w:hAnsi="Garamond"/>
        </w:rPr>
        <w:t>T</w:t>
      </w:r>
      <w:r w:rsidR="00FF597F" w:rsidRPr="00C0441A">
        <w:rPr>
          <w:rFonts w:ascii="Garamond" w:hAnsi="Garamond"/>
        </w:rPr>
        <w:t xml:space="preserve">he Board </w:t>
      </w:r>
      <w:r w:rsidR="001C49A3" w:rsidRPr="00C0441A">
        <w:rPr>
          <w:rFonts w:ascii="Garamond" w:hAnsi="Garamond"/>
        </w:rPr>
        <w:t>holds, like</w:t>
      </w:r>
      <w:r w:rsidR="00FF597F" w:rsidRPr="00C0441A">
        <w:rPr>
          <w:rFonts w:ascii="Garamond" w:hAnsi="Garamond"/>
        </w:rPr>
        <w:t xml:space="preserve"> the majority of the Court of Appeal</w:t>
      </w:r>
      <w:r w:rsidR="00C26BCA" w:rsidRPr="00C0441A">
        <w:rPr>
          <w:rFonts w:ascii="Garamond" w:hAnsi="Garamond"/>
        </w:rPr>
        <w:t xml:space="preserve"> </w:t>
      </w:r>
      <w:r w:rsidR="00C26BCA" w:rsidRPr="00C0441A">
        <w:rPr>
          <w:rFonts w:ascii="Garamond" w:hAnsi="Garamond"/>
          <w:b/>
          <w:bCs/>
        </w:rPr>
        <w:t>[31]-[32]</w:t>
      </w:r>
      <w:r w:rsidR="001C49A3" w:rsidRPr="00C0441A">
        <w:rPr>
          <w:rFonts w:ascii="Garamond" w:hAnsi="Garamond"/>
        </w:rPr>
        <w:t xml:space="preserve">, </w:t>
      </w:r>
      <w:r w:rsidR="00FF597F" w:rsidRPr="00C0441A">
        <w:rPr>
          <w:rFonts w:ascii="Garamond" w:hAnsi="Garamond"/>
        </w:rPr>
        <w:t xml:space="preserve">that Regulation 4(6) </w:t>
      </w:r>
      <w:r w:rsidR="00080C40">
        <w:rPr>
          <w:rFonts w:ascii="Garamond" w:hAnsi="Garamond"/>
        </w:rPr>
        <w:t>does</w:t>
      </w:r>
      <w:r w:rsidR="00FF597F" w:rsidRPr="00C0441A">
        <w:rPr>
          <w:rFonts w:ascii="Garamond" w:hAnsi="Garamond"/>
        </w:rPr>
        <w:t xml:space="preserve"> not purport to allow the Supreme Court to sit outside the TCI. Rather, </w:t>
      </w:r>
      <w:r w:rsidR="001C49A3" w:rsidRPr="00C0441A">
        <w:rPr>
          <w:rFonts w:ascii="Garamond" w:hAnsi="Garamond"/>
        </w:rPr>
        <w:t>Regulation 4(6) deems the place where the judge sits physically to be part of the courtroom in the TCI</w:t>
      </w:r>
      <w:r w:rsidR="00C26BCA" w:rsidRPr="00C0441A">
        <w:rPr>
          <w:rFonts w:ascii="Garamond" w:hAnsi="Garamond"/>
        </w:rPr>
        <w:t xml:space="preserve"> </w:t>
      </w:r>
      <w:r w:rsidR="001C49A3" w:rsidRPr="00C0441A">
        <w:rPr>
          <w:rFonts w:ascii="Garamond" w:hAnsi="Garamond"/>
          <w:b/>
          <w:bCs/>
        </w:rPr>
        <w:t>[49]</w:t>
      </w:r>
      <w:r w:rsidR="001C49A3" w:rsidRPr="00C0441A">
        <w:rPr>
          <w:rFonts w:ascii="Garamond" w:hAnsi="Garamond"/>
        </w:rPr>
        <w:t xml:space="preserve">. </w:t>
      </w:r>
      <w:r w:rsidR="00FA2CC9" w:rsidRPr="00C0441A">
        <w:rPr>
          <w:rFonts w:ascii="Garamond" w:hAnsi="Garamond"/>
        </w:rPr>
        <w:t xml:space="preserve">First, </w:t>
      </w:r>
      <w:r w:rsidR="00BD2E76" w:rsidRPr="00C0441A">
        <w:rPr>
          <w:rFonts w:ascii="Garamond" w:hAnsi="Garamond"/>
        </w:rPr>
        <w:t xml:space="preserve">Regulation 4(6) </w:t>
      </w:r>
      <w:r>
        <w:rPr>
          <w:rFonts w:ascii="Garamond" w:hAnsi="Garamond"/>
        </w:rPr>
        <w:t xml:space="preserve">gives prominence </w:t>
      </w:r>
      <w:r w:rsidR="00C92844" w:rsidRPr="00C0441A">
        <w:rPr>
          <w:rFonts w:ascii="Garamond" w:hAnsi="Garamond"/>
        </w:rPr>
        <w:t>to</w:t>
      </w:r>
      <w:r w:rsidR="00BD2E76" w:rsidRPr="00C0441A">
        <w:rPr>
          <w:rFonts w:ascii="Garamond" w:hAnsi="Garamond"/>
        </w:rPr>
        <w:t xml:space="preserve"> the “courtroom” </w:t>
      </w:r>
      <w:r w:rsidR="00C92844" w:rsidRPr="00C0441A">
        <w:rPr>
          <w:rFonts w:ascii="Garamond" w:hAnsi="Garamond"/>
        </w:rPr>
        <w:t>before explaining</w:t>
      </w:r>
      <w:r w:rsidR="00BD2E76" w:rsidRPr="00C0441A">
        <w:rPr>
          <w:rFonts w:ascii="Garamond" w:hAnsi="Garamond"/>
        </w:rPr>
        <w:t xml:space="preserve"> that this will “include” </w:t>
      </w:r>
      <w:r w:rsidR="00C92844" w:rsidRPr="00C0441A">
        <w:rPr>
          <w:rFonts w:ascii="Garamond" w:hAnsi="Garamond"/>
        </w:rPr>
        <w:t>the place from which</w:t>
      </w:r>
      <w:r w:rsidR="00BD2E76" w:rsidRPr="00C0441A">
        <w:rPr>
          <w:rFonts w:ascii="Garamond" w:hAnsi="Garamond"/>
        </w:rPr>
        <w:t xml:space="preserve"> the judge is connecting remotely, whether that be in or outside of the TCI.</w:t>
      </w:r>
      <w:r w:rsidR="00C92844" w:rsidRPr="00C0441A">
        <w:rPr>
          <w:rFonts w:ascii="Garamond" w:hAnsi="Garamond"/>
        </w:rPr>
        <w:t xml:space="preserve"> In other words, t</w:t>
      </w:r>
      <w:r w:rsidR="00BD2E76" w:rsidRPr="00C0441A">
        <w:rPr>
          <w:rFonts w:ascii="Garamond" w:hAnsi="Garamond"/>
        </w:rPr>
        <w:t>here is only one courtroom</w:t>
      </w:r>
      <w:r w:rsidR="008F18BB">
        <w:rPr>
          <w:rFonts w:ascii="Garamond" w:hAnsi="Garamond"/>
        </w:rPr>
        <w:t>, which is</w:t>
      </w:r>
      <w:r w:rsidR="00BD2E76" w:rsidRPr="00C0441A">
        <w:rPr>
          <w:rFonts w:ascii="Garamond" w:hAnsi="Garamond"/>
        </w:rPr>
        <w:t xml:space="preserve"> in the TCI</w:t>
      </w:r>
      <w:r w:rsidR="008F18BB">
        <w:rPr>
          <w:rFonts w:ascii="Garamond" w:hAnsi="Garamond"/>
        </w:rPr>
        <w:t>,</w:t>
      </w:r>
      <w:r w:rsidR="00BD2E76" w:rsidRPr="00C0441A">
        <w:rPr>
          <w:rFonts w:ascii="Garamond" w:hAnsi="Garamond"/>
        </w:rPr>
        <w:t xml:space="preserve"> and the place where the judge </w:t>
      </w:r>
      <w:r w:rsidR="00CC37AA" w:rsidRPr="00C0441A">
        <w:rPr>
          <w:rFonts w:ascii="Garamond" w:hAnsi="Garamond"/>
        </w:rPr>
        <w:t>sits physically</w:t>
      </w:r>
      <w:r w:rsidR="00BD2E76" w:rsidRPr="00C0441A">
        <w:rPr>
          <w:rFonts w:ascii="Garamond" w:hAnsi="Garamond"/>
        </w:rPr>
        <w:t xml:space="preserve"> is deemed to be part of that courtroom</w:t>
      </w:r>
      <w:r w:rsidR="00CC37AA" w:rsidRPr="00C0441A">
        <w:rPr>
          <w:rFonts w:ascii="Garamond" w:hAnsi="Garamond"/>
        </w:rPr>
        <w:t xml:space="preserve"> </w:t>
      </w:r>
      <w:r w:rsidR="00CC37AA" w:rsidRPr="00C0441A">
        <w:rPr>
          <w:rFonts w:ascii="Garamond" w:hAnsi="Garamond"/>
          <w:b/>
          <w:bCs/>
        </w:rPr>
        <w:t>[50]-[51]</w:t>
      </w:r>
      <w:r w:rsidR="00CC37AA" w:rsidRPr="00C0441A">
        <w:rPr>
          <w:rFonts w:ascii="Garamond" w:hAnsi="Garamond"/>
        </w:rPr>
        <w:t>. Second</w:t>
      </w:r>
      <w:r>
        <w:rPr>
          <w:rFonts w:ascii="Garamond" w:hAnsi="Garamond"/>
        </w:rPr>
        <w:t>ly</w:t>
      </w:r>
      <w:r w:rsidR="00CC37AA" w:rsidRPr="00C0441A">
        <w:rPr>
          <w:rFonts w:ascii="Garamond" w:hAnsi="Garamond"/>
        </w:rPr>
        <w:t xml:space="preserve">, this interpretation is supported by the </w:t>
      </w:r>
      <w:r w:rsidR="000663D6" w:rsidRPr="00C0441A">
        <w:rPr>
          <w:rFonts w:ascii="Garamond" w:hAnsi="Garamond"/>
        </w:rPr>
        <w:t xml:space="preserve">broader legal context within which the Regulations operate, </w:t>
      </w:r>
      <w:r w:rsidR="008F18BB">
        <w:rPr>
          <w:rFonts w:ascii="Garamond" w:hAnsi="Garamond"/>
        </w:rPr>
        <w:t>including</w:t>
      </w:r>
      <w:r w:rsidR="000663D6" w:rsidRPr="00C0441A">
        <w:rPr>
          <w:rFonts w:ascii="Garamond" w:hAnsi="Garamond"/>
        </w:rPr>
        <w:t xml:space="preserve"> </w:t>
      </w:r>
      <w:r w:rsidR="00CC37AA" w:rsidRPr="00C0441A">
        <w:rPr>
          <w:rFonts w:ascii="Garamond" w:hAnsi="Garamond"/>
        </w:rPr>
        <w:t>the Constitution</w:t>
      </w:r>
      <w:r w:rsidR="000663D6" w:rsidRPr="00C0441A">
        <w:rPr>
          <w:rFonts w:ascii="Garamond" w:hAnsi="Garamond"/>
        </w:rPr>
        <w:t xml:space="preserve">, </w:t>
      </w:r>
      <w:r w:rsidR="00CC37AA" w:rsidRPr="00C0441A">
        <w:rPr>
          <w:rFonts w:ascii="Garamond" w:hAnsi="Garamond"/>
        </w:rPr>
        <w:t>other legislation governing the Supreme Court’s function</w:t>
      </w:r>
      <w:r w:rsidR="000663D6" w:rsidRPr="00C0441A">
        <w:rPr>
          <w:rFonts w:ascii="Garamond" w:hAnsi="Garamond"/>
        </w:rPr>
        <w:t xml:space="preserve"> and principles of international law and comity</w:t>
      </w:r>
      <w:r w:rsidR="00CC37AA" w:rsidRPr="00C0441A">
        <w:rPr>
          <w:rFonts w:ascii="Garamond" w:hAnsi="Garamond"/>
        </w:rPr>
        <w:t>. Th</w:t>
      </w:r>
      <w:r w:rsidR="000663D6" w:rsidRPr="00C0441A">
        <w:rPr>
          <w:rFonts w:ascii="Garamond" w:hAnsi="Garamond"/>
        </w:rPr>
        <w:t>ese</w:t>
      </w:r>
      <w:r w:rsidR="00CC37AA" w:rsidRPr="00C0441A">
        <w:rPr>
          <w:rFonts w:ascii="Garamond" w:hAnsi="Garamond"/>
        </w:rPr>
        <w:t xml:space="preserve"> </w:t>
      </w:r>
      <w:r w:rsidR="000663D6" w:rsidRPr="00C0441A">
        <w:rPr>
          <w:rFonts w:ascii="Garamond" w:hAnsi="Garamond"/>
        </w:rPr>
        <w:t>contextual features</w:t>
      </w:r>
      <w:r w:rsidR="00CC37AA" w:rsidRPr="00C0441A">
        <w:rPr>
          <w:rFonts w:ascii="Garamond" w:hAnsi="Garamond"/>
        </w:rPr>
        <w:t xml:space="preserve"> make</w:t>
      </w:r>
      <w:r w:rsidR="008F18BB">
        <w:rPr>
          <w:rFonts w:ascii="Garamond" w:hAnsi="Garamond"/>
        </w:rPr>
        <w:t xml:space="preserve"> </w:t>
      </w:r>
      <w:r w:rsidR="00C92844" w:rsidRPr="00C0441A">
        <w:rPr>
          <w:rFonts w:ascii="Garamond" w:hAnsi="Garamond"/>
        </w:rPr>
        <w:t>plain</w:t>
      </w:r>
      <w:r w:rsidR="00CC37AA" w:rsidRPr="00C0441A">
        <w:rPr>
          <w:rFonts w:ascii="Garamond" w:hAnsi="Garamond"/>
        </w:rPr>
        <w:t xml:space="preserve"> that the only place in which a </w:t>
      </w:r>
      <w:r w:rsidR="000663D6" w:rsidRPr="00C0441A">
        <w:rPr>
          <w:rFonts w:ascii="Garamond" w:hAnsi="Garamond"/>
        </w:rPr>
        <w:t>Supreme Court judge can exercise his or her authority is in the TCI</w:t>
      </w:r>
      <w:r w:rsidR="008F18BB">
        <w:rPr>
          <w:rFonts w:ascii="Garamond" w:hAnsi="Garamond"/>
        </w:rPr>
        <w:t xml:space="preserve">. An </w:t>
      </w:r>
      <w:r w:rsidR="000663D6" w:rsidRPr="00C0441A">
        <w:rPr>
          <w:rFonts w:ascii="Garamond" w:hAnsi="Garamond"/>
        </w:rPr>
        <w:t>intention to create a courtroom of the Supreme Court in a foreign state</w:t>
      </w:r>
      <w:r w:rsidR="008F18BB">
        <w:rPr>
          <w:rFonts w:ascii="Garamond" w:hAnsi="Garamond"/>
        </w:rPr>
        <w:t>,</w:t>
      </w:r>
      <w:r w:rsidR="000663D6" w:rsidRPr="00C0441A">
        <w:rPr>
          <w:rFonts w:ascii="Garamond" w:hAnsi="Garamond"/>
        </w:rPr>
        <w:t xml:space="preserve"> in breach of constitutional and international law</w:t>
      </w:r>
      <w:r w:rsidR="008F18BB">
        <w:rPr>
          <w:rFonts w:ascii="Garamond" w:hAnsi="Garamond"/>
        </w:rPr>
        <w:t>,</w:t>
      </w:r>
      <w:r w:rsidR="000663D6" w:rsidRPr="00C0441A">
        <w:rPr>
          <w:rFonts w:ascii="Garamond" w:hAnsi="Garamond"/>
        </w:rPr>
        <w:t xml:space="preserve"> should not be inferred </w:t>
      </w:r>
      <w:r w:rsidR="00C92844" w:rsidRPr="00C0441A">
        <w:rPr>
          <w:rFonts w:ascii="Garamond" w:hAnsi="Garamond"/>
        </w:rPr>
        <w:t xml:space="preserve">lightly </w:t>
      </w:r>
      <w:r w:rsidR="000663D6" w:rsidRPr="00C0441A">
        <w:rPr>
          <w:rFonts w:ascii="Garamond" w:hAnsi="Garamond"/>
          <w:b/>
          <w:bCs/>
        </w:rPr>
        <w:t>[53]</w:t>
      </w:r>
      <w:r w:rsidR="000663D6" w:rsidRPr="00C0441A">
        <w:rPr>
          <w:rFonts w:ascii="Garamond" w:hAnsi="Garamond"/>
        </w:rPr>
        <w:t>,</w:t>
      </w:r>
      <w:r w:rsidR="000663D6" w:rsidRPr="00C0441A">
        <w:rPr>
          <w:rFonts w:ascii="Garamond" w:hAnsi="Garamond"/>
          <w:b/>
          <w:bCs/>
        </w:rPr>
        <w:t>[60]</w:t>
      </w:r>
      <w:r w:rsidR="000663D6" w:rsidRPr="00C0441A">
        <w:rPr>
          <w:rFonts w:ascii="Garamond" w:hAnsi="Garamond"/>
        </w:rPr>
        <w:t>. Third</w:t>
      </w:r>
      <w:r>
        <w:rPr>
          <w:rFonts w:ascii="Garamond" w:hAnsi="Garamond"/>
        </w:rPr>
        <w:t>ly</w:t>
      </w:r>
      <w:r w:rsidR="000663D6" w:rsidRPr="00C0441A">
        <w:rPr>
          <w:rFonts w:ascii="Garamond" w:hAnsi="Garamond"/>
        </w:rPr>
        <w:t xml:space="preserve">, any ambiguity can be resolved on a purposive </w:t>
      </w:r>
      <w:r w:rsidR="00C92844" w:rsidRPr="00C0441A">
        <w:rPr>
          <w:rFonts w:ascii="Garamond" w:hAnsi="Garamond"/>
        </w:rPr>
        <w:t>reading</w:t>
      </w:r>
      <w:r w:rsidR="000663D6" w:rsidRPr="00C0441A">
        <w:rPr>
          <w:rFonts w:ascii="Garamond" w:hAnsi="Garamond"/>
        </w:rPr>
        <w:t xml:space="preserve"> </w:t>
      </w:r>
      <w:r w:rsidR="00C92844" w:rsidRPr="00C0441A">
        <w:rPr>
          <w:rFonts w:ascii="Garamond" w:hAnsi="Garamond"/>
        </w:rPr>
        <w:t>of</w:t>
      </w:r>
      <w:r w:rsidR="000663D6" w:rsidRPr="00C0441A">
        <w:rPr>
          <w:rFonts w:ascii="Garamond" w:hAnsi="Garamond"/>
        </w:rPr>
        <w:t xml:space="preserve"> the Regulations. </w:t>
      </w:r>
      <w:r w:rsidR="00D63AD7" w:rsidRPr="00C0441A">
        <w:rPr>
          <w:rFonts w:ascii="Garamond" w:hAnsi="Garamond"/>
        </w:rPr>
        <w:t>Th</w:t>
      </w:r>
      <w:r w:rsidR="008F18BB">
        <w:rPr>
          <w:rFonts w:ascii="Garamond" w:hAnsi="Garamond"/>
        </w:rPr>
        <w:t>is</w:t>
      </w:r>
      <w:r w:rsidR="00D63AD7" w:rsidRPr="00C0441A">
        <w:rPr>
          <w:rFonts w:ascii="Garamond" w:hAnsi="Garamond"/>
        </w:rPr>
        <w:t xml:space="preserve"> purpose can be summarised as ensuring that the administration of justice, including trials, continues during the Covid-19 pandemic in a way that does not endanger </w:t>
      </w:r>
      <w:r w:rsidR="008F18BB">
        <w:rPr>
          <w:rFonts w:ascii="Garamond" w:hAnsi="Garamond"/>
        </w:rPr>
        <w:t xml:space="preserve">public health </w:t>
      </w:r>
      <w:r w:rsidR="00D63AD7" w:rsidRPr="00C0441A">
        <w:rPr>
          <w:rFonts w:ascii="Garamond" w:hAnsi="Garamond"/>
        </w:rPr>
        <w:t xml:space="preserve">by reducing the need for </w:t>
      </w:r>
      <w:r w:rsidR="008F18BB">
        <w:rPr>
          <w:rFonts w:ascii="Garamond" w:hAnsi="Garamond"/>
        </w:rPr>
        <w:t>people</w:t>
      </w:r>
      <w:r w:rsidR="00D63AD7" w:rsidRPr="00C0441A">
        <w:rPr>
          <w:rFonts w:ascii="Garamond" w:hAnsi="Garamond"/>
        </w:rPr>
        <w:t xml:space="preserve"> physically to attend the courtroom </w:t>
      </w:r>
      <w:r w:rsidR="008F18BB">
        <w:rPr>
          <w:rFonts w:ascii="Garamond" w:hAnsi="Garamond"/>
        </w:rPr>
        <w:t>through the use of</w:t>
      </w:r>
      <w:r w:rsidR="00D63AD7" w:rsidRPr="00C0441A">
        <w:rPr>
          <w:rFonts w:ascii="Garamond" w:hAnsi="Garamond"/>
        </w:rPr>
        <w:t xml:space="preserve"> video and audio links. The purpose was </w:t>
      </w:r>
      <w:r w:rsidR="00D63AD7" w:rsidRPr="00C0441A">
        <w:rPr>
          <w:rFonts w:ascii="Garamond" w:hAnsi="Garamond"/>
          <w:i/>
          <w:iCs/>
        </w:rPr>
        <w:t>not</w:t>
      </w:r>
      <w:r w:rsidR="00D63AD7" w:rsidRPr="00C0441A">
        <w:rPr>
          <w:rFonts w:ascii="Garamond" w:hAnsi="Garamond"/>
        </w:rPr>
        <w:t xml:space="preserve"> to permit the Supreme Court to sit outside the TCI. As such, the purpose of Regulation 4(6)</w:t>
      </w:r>
      <w:r w:rsidR="00C92844" w:rsidRPr="00C0441A">
        <w:rPr>
          <w:rFonts w:ascii="Garamond" w:hAnsi="Garamond"/>
        </w:rPr>
        <w:t>, properly construed,</w:t>
      </w:r>
      <w:r w:rsidR="00D63AD7" w:rsidRPr="00C0441A">
        <w:rPr>
          <w:rFonts w:ascii="Garamond" w:hAnsi="Garamond"/>
        </w:rPr>
        <w:t xml:space="preserve"> supports the conclusion that it merely deems the judge to be sitting wherever the court is assembled, notwithstanding his or her actual location. </w:t>
      </w:r>
      <w:r w:rsidR="00D63AD7" w:rsidRPr="00C0441A">
        <w:rPr>
          <w:rFonts w:ascii="Garamond" w:hAnsi="Garamond"/>
          <w:b/>
          <w:bCs/>
        </w:rPr>
        <w:t>[55]-[59]</w:t>
      </w:r>
      <w:r w:rsidR="00D63AD7" w:rsidRPr="00C0441A">
        <w:rPr>
          <w:rFonts w:ascii="Garamond" w:hAnsi="Garamond"/>
        </w:rPr>
        <w:t>.</w:t>
      </w:r>
    </w:p>
    <w:p w14:paraId="2B0AF3C1" w14:textId="77777777" w:rsidR="00F0420D" w:rsidRPr="00C0441A" w:rsidRDefault="00F0420D" w:rsidP="001B02FF">
      <w:pPr>
        <w:jc w:val="both"/>
        <w:rPr>
          <w:rFonts w:ascii="Garamond" w:hAnsi="Garamond"/>
          <w:i/>
          <w:iCs/>
          <w:u w:val="single"/>
        </w:rPr>
      </w:pPr>
    </w:p>
    <w:p w14:paraId="5E3605C2" w14:textId="77777777" w:rsidR="00F0420D" w:rsidRDefault="00840498" w:rsidP="001B02FF">
      <w:pPr>
        <w:jc w:val="both"/>
        <w:rPr>
          <w:rFonts w:ascii="Garamond" w:hAnsi="Garamond"/>
        </w:rPr>
      </w:pPr>
      <w:r w:rsidRPr="00C0441A">
        <w:rPr>
          <w:rFonts w:ascii="Garamond" w:hAnsi="Garamond"/>
        </w:rPr>
        <w:t xml:space="preserve">Due to </w:t>
      </w:r>
      <w:r w:rsidR="00C92844" w:rsidRPr="00C0441A">
        <w:rPr>
          <w:rFonts w:ascii="Garamond" w:hAnsi="Garamond"/>
        </w:rPr>
        <w:t>the Board’s</w:t>
      </w:r>
      <w:r w:rsidRPr="00C0441A">
        <w:rPr>
          <w:rFonts w:ascii="Garamond" w:hAnsi="Garamond"/>
        </w:rPr>
        <w:t xml:space="preserve"> conclusion on the </w:t>
      </w:r>
      <w:r w:rsidRPr="00C0441A">
        <w:rPr>
          <w:rFonts w:ascii="Garamond" w:hAnsi="Garamond"/>
          <w:i/>
          <w:iCs/>
        </w:rPr>
        <w:t xml:space="preserve">ultra vires </w:t>
      </w:r>
      <w:r w:rsidRPr="00C0441A">
        <w:rPr>
          <w:rFonts w:ascii="Garamond" w:hAnsi="Garamond"/>
        </w:rPr>
        <w:t xml:space="preserve">issue, it is unnecessary to </w:t>
      </w:r>
      <w:r w:rsidR="00715424" w:rsidRPr="00C0441A">
        <w:rPr>
          <w:rFonts w:ascii="Garamond" w:hAnsi="Garamond"/>
        </w:rPr>
        <w:t>determine</w:t>
      </w:r>
      <w:r w:rsidRPr="00C0441A">
        <w:rPr>
          <w:rFonts w:ascii="Garamond" w:hAnsi="Garamond"/>
        </w:rPr>
        <w:t xml:space="preserve"> the </w:t>
      </w:r>
      <w:r w:rsidR="00C92844" w:rsidRPr="00C0441A">
        <w:rPr>
          <w:rFonts w:ascii="Garamond" w:hAnsi="Garamond"/>
        </w:rPr>
        <w:t>alternative argument</w:t>
      </w:r>
      <w:r w:rsidRPr="00C0441A">
        <w:rPr>
          <w:rFonts w:ascii="Garamond" w:hAnsi="Garamond"/>
        </w:rPr>
        <w:t xml:space="preserve"> </w:t>
      </w:r>
      <w:r w:rsidR="00C92844" w:rsidRPr="00C0441A">
        <w:rPr>
          <w:rFonts w:ascii="Garamond" w:hAnsi="Garamond"/>
        </w:rPr>
        <w:t>that a judge could connect remotely to a courtroom in the TCI from another state by exercising the Supreme Court’s inherent jurisdiction to govern its own processes.</w:t>
      </w:r>
      <w:r w:rsidR="00715424" w:rsidRPr="00C0441A">
        <w:rPr>
          <w:rFonts w:ascii="Garamond" w:hAnsi="Garamond"/>
        </w:rPr>
        <w:t xml:space="preserve"> </w:t>
      </w:r>
      <w:r w:rsidR="00041E37" w:rsidRPr="00C0441A">
        <w:rPr>
          <w:rFonts w:ascii="Garamond" w:hAnsi="Garamond"/>
        </w:rPr>
        <w:t>That said, the</w:t>
      </w:r>
      <w:r w:rsidR="00715424" w:rsidRPr="00C0441A">
        <w:rPr>
          <w:rFonts w:ascii="Garamond" w:hAnsi="Garamond"/>
        </w:rPr>
        <w:t xml:space="preserve"> Board </w:t>
      </w:r>
      <w:r w:rsidR="00041E37" w:rsidRPr="00C0441A">
        <w:rPr>
          <w:rFonts w:ascii="Garamond" w:hAnsi="Garamond"/>
        </w:rPr>
        <w:t xml:space="preserve">does recognise the considerable force in the reasoning of </w:t>
      </w:r>
      <w:r w:rsidR="00715424" w:rsidRPr="00C0441A">
        <w:rPr>
          <w:rFonts w:ascii="Garamond" w:hAnsi="Garamond"/>
        </w:rPr>
        <w:t xml:space="preserve">Court of Appeal for British Columbia in </w:t>
      </w:r>
      <w:r w:rsidR="00715424" w:rsidRPr="00C0441A">
        <w:rPr>
          <w:rFonts w:ascii="Garamond" w:hAnsi="Garamond"/>
          <w:i/>
          <w:iCs/>
        </w:rPr>
        <w:t xml:space="preserve">Endean v British Columbia </w:t>
      </w:r>
      <w:r w:rsidR="00715424" w:rsidRPr="00C0441A">
        <w:rPr>
          <w:rFonts w:ascii="Garamond" w:hAnsi="Garamond"/>
        </w:rPr>
        <w:t>[2014] BCCA 61</w:t>
      </w:r>
      <w:r w:rsidR="00041E37" w:rsidRPr="00C0441A">
        <w:rPr>
          <w:rFonts w:ascii="Garamond" w:hAnsi="Garamond"/>
        </w:rPr>
        <w:t xml:space="preserve">, </w:t>
      </w:r>
      <w:r w:rsidR="0081141D" w:rsidRPr="00C0441A">
        <w:rPr>
          <w:rFonts w:ascii="Garamond" w:hAnsi="Garamond"/>
        </w:rPr>
        <w:t>which led to the conclusion</w:t>
      </w:r>
      <w:r w:rsidR="00FF4972" w:rsidRPr="00C0441A">
        <w:rPr>
          <w:rFonts w:ascii="Garamond" w:hAnsi="Garamond"/>
        </w:rPr>
        <w:t xml:space="preserve"> that, due to evolving technology, it was permissible at common law for a judge, not physically present in British Columbia, to conduct a hearing in a courtroom in </w:t>
      </w:r>
      <w:r w:rsidR="008F18BB">
        <w:rPr>
          <w:rFonts w:ascii="Garamond" w:hAnsi="Garamond"/>
        </w:rPr>
        <w:t>that</w:t>
      </w:r>
      <w:r w:rsidR="00FF4972" w:rsidRPr="00C0441A">
        <w:rPr>
          <w:rFonts w:ascii="Garamond" w:hAnsi="Garamond"/>
        </w:rPr>
        <w:t xml:space="preserve"> </w:t>
      </w:r>
      <w:r w:rsidR="008F18BB">
        <w:rPr>
          <w:rFonts w:ascii="Garamond" w:hAnsi="Garamond"/>
        </w:rPr>
        <w:t xml:space="preserve">province </w:t>
      </w:r>
      <w:r w:rsidR="00FF4972" w:rsidRPr="00C0441A">
        <w:rPr>
          <w:rFonts w:ascii="Garamond" w:hAnsi="Garamond"/>
        </w:rPr>
        <w:t xml:space="preserve">by telephone or video conference </w:t>
      </w:r>
      <w:r w:rsidR="00FF4972" w:rsidRPr="00C0441A">
        <w:rPr>
          <w:rFonts w:ascii="Garamond" w:hAnsi="Garamond"/>
          <w:b/>
          <w:bCs/>
        </w:rPr>
        <w:t>[62]-[66]</w:t>
      </w:r>
      <w:r w:rsidR="00FF4972" w:rsidRPr="00C0441A">
        <w:rPr>
          <w:rFonts w:ascii="Garamond" w:hAnsi="Garamond"/>
        </w:rPr>
        <w:t xml:space="preserve">. </w:t>
      </w:r>
    </w:p>
    <w:p w14:paraId="5987CABA" w14:textId="77777777" w:rsidR="00076E61" w:rsidRPr="00C0441A" w:rsidRDefault="00076E61" w:rsidP="001B02FF">
      <w:pPr>
        <w:jc w:val="both"/>
        <w:rPr>
          <w:rFonts w:ascii="Garamond" w:hAnsi="Garamond"/>
        </w:rPr>
      </w:pPr>
    </w:p>
    <w:p w14:paraId="497926F3" w14:textId="77777777" w:rsidR="00F0420D" w:rsidRDefault="00076E61" w:rsidP="001B02FF">
      <w:pPr>
        <w:jc w:val="both"/>
        <w:rPr>
          <w:rFonts w:ascii="Garamond" w:hAnsi="Garamond"/>
          <w:i/>
          <w:iCs/>
          <w:u w:val="single"/>
        </w:rPr>
      </w:pPr>
      <w:r>
        <w:rPr>
          <w:rFonts w:ascii="Garamond" w:hAnsi="Garamond"/>
          <w:i/>
          <w:iCs/>
          <w:u w:val="single"/>
        </w:rPr>
        <w:t>The inequality of arms issue</w:t>
      </w:r>
    </w:p>
    <w:p w14:paraId="47D808E6" w14:textId="77777777" w:rsidR="00076E61" w:rsidRPr="000400CE" w:rsidRDefault="00076E61" w:rsidP="001B02FF">
      <w:pPr>
        <w:jc w:val="both"/>
        <w:rPr>
          <w:rFonts w:ascii="Garamond" w:hAnsi="Garamond"/>
          <w:i/>
          <w:iCs/>
          <w:u w:val="single"/>
        </w:rPr>
      </w:pPr>
    </w:p>
    <w:p w14:paraId="45DA4A7A" w14:textId="77777777" w:rsidR="00770037" w:rsidRPr="00C0441A" w:rsidRDefault="00076E61" w:rsidP="00197F97">
      <w:pPr>
        <w:jc w:val="both"/>
        <w:rPr>
          <w:rFonts w:ascii="Garamond" w:hAnsi="Garamond"/>
        </w:rPr>
      </w:pPr>
      <w:r>
        <w:rPr>
          <w:rFonts w:ascii="Garamond" w:hAnsi="Garamond"/>
        </w:rPr>
        <w:t>T</w:t>
      </w:r>
      <w:r w:rsidR="0037236E" w:rsidRPr="00C0441A">
        <w:rPr>
          <w:rFonts w:ascii="Garamond" w:hAnsi="Garamond"/>
        </w:rPr>
        <w:t xml:space="preserve">he Board considers that, in effect, it is being invited to interfere in the trial process by making a </w:t>
      </w:r>
      <w:r w:rsidR="00770037" w:rsidRPr="00C0441A">
        <w:rPr>
          <w:rFonts w:ascii="Garamond" w:hAnsi="Garamond"/>
        </w:rPr>
        <w:t>preclusive ruling as to the trial’s future conduct. It is neither necessary nor appropriate for the Board to do so</w:t>
      </w:r>
      <w:r w:rsidR="003C506F" w:rsidRPr="00C0441A">
        <w:rPr>
          <w:rFonts w:ascii="Garamond" w:hAnsi="Garamond"/>
        </w:rPr>
        <w:t xml:space="preserve"> </w:t>
      </w:r>
      <w:r w:rsidR="003C506F" w:rsidRPr="00C0441A">
        <w:rPr>
          <w:rFonts w:ascii="Garamond" w:hAnsi="Garamond"/>
          <w:b/>
          <w:bCs/>
        </w:rPr>
        <w:t>[67]-[74]</w:t>
      </w:r>
      <w:r w:rsidR="00770037" w:rsidRPr="00C0441A">
        <w:rPr>
          <w:rFonts w:ascii="Garamond" w:hAnsi="Garamond"/>
        </w:rPr>
        <w:t xml:space="preserve">. First, it is impossible to tell how much of the </w:t>
      </w:r>
      <w:r w:rsidR="0081141D" w:rsidRPr="00C0441A">
        <w:rPr>
          <w:rFonts w:ascii="Garamond" w:hAnsi="Garamond"/>
        </w:rPr>
        <w:t>remaining</w:t>
      </w:r>
      <w:r w:rsidR="00770037" w:rsidRPr="00C0441A">
        <w:rPr>
          <w:rFonts w:ascii="Garamond" w:hAnsi="Garamond"/>
        </w:rPr>
        <w:t xml:space="preserve"> trial will be conducted remotely</w:t>
      </w:r>
      <w:r w:rsidR="0081141D" w:rsidRPr="00C0441A">
        <w:rPr>
          <w:rFonts w:ascii="Garamond" w:hAnsi="Garamond"/>
        </w:rPr>
        <w:t xml:space="preserve">. </w:t>
      </w:r>
      <w:r w:rsidR="00E076CF">
        <w:rPr>
          <w:rFonts w:ascii="Garamond" w:hAnsi="Garamond"/>
        </w:rPr>
        <w:t>Secondly,</w:t>
      </w:r>
      <w:r w:rsidR="00770037" w:rsidRPr="00C0441A">
        <w:rPr>
          <w:rFonts w:ascii="Garamond" w:hAnsi="Garamond"/>
        </w:rPr>
        <w:t xml:space="preserve"> it cannot be said that it would unfair for any part of the trial to be conducted</w:t>
      </w:r>
      <w:r w:rsidR="0081141D" w:rsidRPr="00C0441A">
        <w:rPr>
          <w:rFonts w:ascii="Garamond" w:hAnsi="Garamond"/>
        </w:rPr>
        <w:t xml:space="preserve"> in this way</w:t>
      </w:r>
      <w:r w:rsidR="00770037" w:rsidRPr="00C0441A">
        <w:rPr>
          <w:rFonts w:ascii="Garamond" w:hAnsi="Garamond"/>
        </w:rPr>
        <w:t xml:space="preserve">. Whilst jury trials raise distinct issues, there is no intrinsic reason why video links cannot be used in criminal proceedings. </w:t>
      </w:r>
      <w:r>
        <w:rPr>
          <w:rFonts w:ascii="Garamond" w:hAnsi="Garamond"/>
        </w:rPr>
        <w:t>Thirdly</w:t>
      </w:r>
      <w:r w:rsidR="00770037" w:rsidRPr="00C0441A">
        <w:rPr>
          <w:rFonts w:ascii="Garamond" w:hAnsi="Garamond"/>
        </w:rPr>
        <w:t>, the Defendants are unable to establish by reference to empirical dat</w:t>
      </w:r>
      <w:r w:rsidR="008F18BB">
        <w:rPr>
          <w:rFonts w:ascii="Garamond" w:hAnsi="Garamond"/>
        </w:rPr>
        <w:t>a</w:t>
      </w:r>
      <w:r w:rsidR="00770037" w:rsidRPr="00C0441A">
        <w:rPr>
          <w:rFonts w:ascii="Garamond" w:hAnsi="Garamond"/>
        </w:rPr>
        <w:t xml:space="preserve"> </w:t>
      </w:r>
      <w:r>
        <w:rPr>
          <w:rFonts w:ascii="Garamond" w:hAnsi="Garamond"/>
        </w:rPr>
        <w:t xml:space="preserve">or otherwise </w:t>
      </w:r>
      <w:r w:rsidR="00770037" w:rsidRPr="00C0441A">
        <w:rPr>
          <w:rFonts w:ascii="Garamond" w:hAnsi="Garamond"/>
        </w:rPr>
        <w:t>that</w:t>
      </w:r>
      <w:r w:rsidR="0081141D" w:rsidRPr="00C0441A">
        <w:rPr>
          <w:rFonts w:ascii="Garamond" w:hAnsi="Garamond"/>
        </w:rPr>
        <w:t xml:space="preserve"> </w:t>
      </w:r>
      <w:r w:rsidR="00770037" w:rsidRPr="00C0441A">
        <w:rPr>
          <w:rFonts w:ascii="Garamond" w:hAnsi="Garamond"/>
        </w:rPr>
        <w:t>judge’s ability to assess the evidence</w:t>
      </w:r>
      <w:r w:rsidR="0081141D" w:rsidRPr="00C0441A">
        <w:rPr>
          <w:rFonts w:ascii="Garamond" w:hAnsi="Garamond"/>
        </w:rPr>
        <w:t xml:space="preserve"> will be impaired if the defence case is conducted remotely</w:t>
      </w:r>
      <w:r w:rsidR="00770037" w:rsidRPr="00C0441A">
        <w:rPr>
          <w:rFonts w:ascii="Garamond" w:hAnsi="Garamond"/>
        </w:rPr>
        <w:t xml:space="preserve">. </w:t>
      </w:r>
      <w:r w:rsidR="008F18BB">
        <w:rPr>
          <w:rFonts w:ascii="Garamond" w:hAnsi="Garamond"/>
        </w:rPr>
        <w:t>F</w:t>
      </w:r>
      <w:r>
        <w:rPr>
          <w:rFonts w:ascii="Garamond" w:hAnsi="Garamond"/>
        </w:rPr>
        <w:t>ourthly</w:t>
      </w:r>
      <w:r w:rsidR="008F18BB">
        <w:rPr>
          <w:rFonts w:ascii="Garamond" w:hAnsi="Garamond"/>
        </w:rPr>
        <w:t xml:space="preserve">, </w:t>
      </w:r>
      <w:r>
        <w:rPr>
          <w:rFonts w:ascii="Garamond" w:hAnsi="Garamond"/>
        </w:rPr>
        <w:t xml:space="preserve">the general assertion that </w:t>
      </w:r>
      <w:r w:rsidR="00770037" w:rsidRPr="00C0441A">
        <w:rPr>
          <w:rFonts w:ascii="Garamond" w:hAnsi="Garamond"/>
        </w:rPr>
        <w:t xml:space="preserve">the public confidence in the fairness of criminal trials </w:t>
      </w:r>
      <w:r>
        <w:rPr>
          <w:rFonts w:ascii="Garamond" w:hAnsi="Garamond"/>
        </w:rPr>
        <w:t xml:space="preserve">would be undermined </w:t>
      </w:r>
      <w:r w:rsidR="00770037" w:rsidRPr="00C0441A">
        <w:rPr>
          <w:rFonts w:ascii="Garamond" w:hAnsi="Garamond"/>
        </w:rPr>
        <w:t>if the defence case alone is presented remotely</w:t>
      </w:r>
      <w:r>
        <w:rPr>
          <w:rFonts w:ascii="Garamond" w:hAnsi="Garamond"/>
        </w:rPr>
        <w:t xml:space="preserve"> is unjustified</w:t>
      </w:r>
      <w:r w:rsidR="00770037" w:rsidRPr="00C0441A">
        <w:rPr>
          <w:rFonts w:ascii="Garamond" w:hAnsi="Garamond"/>
        </w:rPr>
        <w:t xml:space="preserve">. </w:t>
      </w:r>
      <w:r>
        <w:rPr>
          <w:rFonts w:ascii="Garamond" w:hAnsi="Garamond"/>
        </w:rPr>
        <w:t xml:space="preserve">It all depends on the particular facts and circumstances. </w:t>
      </w:r>
      <w:r w:rsidR="003C506F" w:rsidRPr="00C0441A">
        <w:rPr>
          <w:rFonts w:ascii="Garamond" w:hAnsi="Garamond"/>
        </w:rPr>
        <w:t>Finally, while it is preferable that the judge is physically present in the court room with the Defendants</w:t>
      </w:r>
      <w:r>
        <w:rPr>
          <w:rFonts w:ascii="Garamond" w:hAnsi="Garamond"/>
        </w:rPr>
        <w:t xml:space="preserve"> when evidence is given</w:t>
      </w:r>
      <w:r w:rsidR="003C506F" w:rsidRPr="00C0441A">
        <w:rPr>
          <w:rFonts w:ascii="Garamond" w:hAnsi="Garamond"/>
        </w:rPr>
        <w:t xml:space="preserve">, there may be circumstances where </w:t>
      </w:r>
      <w:r w:rsidR="00E076CF">
        <w:rPr>
          <w:rFonts w:ascii="Garamond" w:hAnsi="Garamond"/>
        </w:rPr>
        <w:t xml:space="preserve">a remote </w:t>
      </w:r>
      <w:r w:rsidR="003C506F" w:rsidRPr="00C0441A">
        <w:rPr>
          <w:rFonts w:ascii="Garamond" w:hAnsi="Garamond"/>
        </w:rPr>
        <w:t>hearing is justified</w:t>
      </w:r>
      <w:r>
        <w:rPr>
          <w:rFonts w:ascii="Garamond" w:hAnsi="Garamond"/>
        </w:rPr>
        <w:t xml:space="preserve"> and it is a matter for the judge to determine whether and how that is done</w:t>
      </w:r>
      <w:r w:rsidR="003C506F" w:rsidRPr="00C0441A">
        <w:rPr>
          <w:rFonts w:ascii="Garamond" w:hAnsi="Garamond"/>
        </w:rPr>
        <w:t xml:space="preserve">. </w:t>
      </w:r>
      <w:r w:rsidR="00054EE4">
        <w:rPr>
          <w:rFonts w:ascii="Garamond" w:hAnsi="Garamond"/>
        </w:rPr>
        <w:t xml:space="preserve">All these matters </w:t>
      </w:r>
      <w:r w:rsidR="003C506F" w:rsidRPr="00C0441A">
        <w:rPr>
          <w:rFonts w:ascii="Garamond" w:hAnsi="Garamond"/>
        </w:rPr>
        <w:t xml:space="preserve">are best left for the </w:t>
      </w:r>
      <w:r w:rsidR="00054EE4">
        <w:rPr>
          <w:rFonts w:ascii="Garamond" w:hAnsi="Garamond"/>
        </w:rPr>
        <w:t xml:space="preserve">trial </w:t>
      </w:r>
      <w:r w:rsidR="003C506F" w:rsidRPr="00C0441A">
        <w:rPr>
          <w:rFonts w:ascii="Garamond" w:hAnsi="Garamond"/>
        </w:rPr>
        <w:t>judge</w:t>
      </w:r>
      <w:r w:rsidR="00054EE4">
        <w:rPr>
          <w:rFonts w:ascii="Garamond" w:hAnsi="Garamond"/>
        </w:rPr>
        <w:t>, with his long experience</w:t>
      </w:r>
      <w:r w:rsidR="00154195">
        <w:rPr>
          <w:rFonts w:ascii="Garamond" w:hAnsi="Garamond"/>
        </w:rPr>
        <w:t xml:space="preserve"> of</w:t>
      </w:r>
      <w:r w:rsidR="003C506F" w:rsidRPr="00C0441A">
        <w:rPr>
          <w:rFonts w:ascii="Garamond" w:hAnsi="Garamond"/>
        </w:rPr>
        <w:t xml:space="preserve"> the case at hand. </w:t>
      </w:r>
    </w:p>
    <w:p w14:paraId="62680BE0" w14:textId="77777777" w:rsidR="00C92844" w:rsidRPr="00C0441A" w:rsidRDefault="00C92844" w:rsidP="00197F97">
      <w:pPr>
        <w:jc w:val="both"/>
        <w:rPr>
          <w:rFonts w:ascii="Garamond" w:hAnsi="Garamond"/>
        </w:rPr>
      </w:pPr>
    </w:p>
    <w:p w14:paraId="4C9C7D3F" w14:textId="77777777" w:rsidR="00840498" w:rsidRPr="00C0441A" w:rsidRDefault="00840498" w:rsidP="00197F97">
      <w:pPr>
        <w:jc w:val="both"/>
        <w:rPr>
          <w:rFonts w:ascii="Garamond" w:hAnsi="Garamond"/>
          <w:i/>
          <w:iCs/>
          <w:sz w:val="22"/>
          <w:szCs w:val="22"/>
        </w:rPr>
      </w:pPr>
      <w:r w:rsidRPr="00C0441A">
        <w:rPr>
          <w:rFonts w:ascii="Garamond" w:hAnsi="Garamond"/>
          <w:i/>
          <w:iCs/>
          <w:sz w:val="22"/>
          <w:szCs w:val="22"/>
        </w:rPr>
        <w:lastRenderedPageBreak/>
        <w:t>References in square brackets are to paragraphs in the judgment.</w:t>
      </w:r>
    </w:p>
    <w:p w14:paraId="2A7DB0CE" w14:textId="77777777" w:rsidR="00197F97" w:rsidRPr="00C0441A" w:rsidRDefault="00197F97" w:rsidP="00197F97">
      <w:pPr>
        <w:jc w:val="both"/>
        <w:rPr>
          <w:rFonts w:ascii="Garamond" w:hAnsi="Garamond"/>
          <w:b/>
          <w:sz w:val="22"/>
          <w:szCs w:val="22"/>
          <w:u w:val="single"/>
        </w:rPr>
      </w:pPr>
      <w:r w:rsidRPr="00C0441A">
        <w:rPr>
          <w:rFonts w:ascii="Garamond" w:hAnsi="Garamond"/>
          <w:b/>
          <w:sz w:val="22"/>
          <w:szCs w:val="22"/>
          <w:u w:val="single"/>
        </w:rPr>
        <w:t>NOTE</w:t>
      </w:r>
    </w:p>
    <w:p w14:paraId="32F49D49" w14:textId="77777777" w:rsidR="00C61327" w:rsidRPr="00C0441A" w:rsidRDefault="00197F97" w:rsidP="00475473">
      <w:pPr>
        <w:jc w:val="both"/>
        <w:rPr>
          <w:rFonts w:ascii="Garamond" w:hAnsi="Garamond"/>
          <w:sz w:val="22"/>
          <w:szCs w:val="22"/>
        </w:rPr>
      </w:pPr>
      <w:r w:rsidRPr="00C0441A">
        <w:rPr>
          <w:rFonts w:ascii="Garamond" w:hAnsi="Garamond"/>
          <w:b/>
          <w:sz w:val="22"/>
          <w:szCs w:val="22"/>
        </w:rPr>
        <w:t>This summary is provided to a</w:t>
      </w:r>
      <w:r w:rsidR="000558D1" w:rsidRPr="00C0441A">
        <w:rPr>
          <w:rFonts w:ascii="Garamond" w:hAnsi="Garamond"/>
          <w:b/>
          <w:sz w:val="22"/>
          <w:szCs w:val="22"/>
        </w:rPr>
        <w:t>ssist in understanding the Committee</w:t>
      </w:r>
      <w:r w:rsidRPr="00C0441A">
        <w:rPr>
          <w:rFonts w:ascii="Garamond" w:hAnsi="Garamond"/>
          <w:b/>
          <w:sz w:val="22"/>
          <w:szCs w:val="22"/>
        </w:rPr>
        <w:t>’s decision. It does not form part of the reasons for that decision. The full opinion of the Co</w:t>
      </w:r>
      <w:r w:rsidR="000558D1" w:rsidRPr="00C0441A">
        <w:rPr>
          <w:rFonts w:ascii="Garamond" w:hAnsi="Garamond"/>
          <w:b/>
          <w:sz w:val="22"/>
          <w:szCs w:val="22"/>
        </w:rPr>
        <w:t>mmittee</w:t>
      </w:r>
      <w:r w:rsidRPr="00C0441A">
        <w:rPr>
          <w:rFonts w:ascii="Garamond" w:hAnsi="Garamond"/>
          <w:b/>
          <w:sz w:val="22"/>
          <w:szCs w:val="22"/>
        </w:rPr>
        <w:t xml:space="preserve"> is the only authoritative document.</w:t>
      </w:r>
      <w:r w:rsidRPr="00C0441A">
        <w:rPr>
          <w:rFonts w:ascii="Garamond" w:hAnsi="Garamond"/>
          <w:sz w:val="22"/>
          <w:szCs w:val="22"/>
        </w:rPr>
        <w:t xml:space="preserve"> </w:t>
      </w:r>
      <w:r w:rsidRPr="00C0441A">
        <w:rPr>
          <w:rFonts w:ascii="Garamond" w:hAnsi="Garamond"/>
          <w:b/>
          <w:sz w:val="22"/>
          <w:szCs w:val="22"/>
        </w:rPr>
        <w:t xml:space="preserve">Judgments are public documents and are available at: </w:t>
      </w:r>
      <w:hyperlink r:id="rId12" w:history="1">
        <w:r w:rsidR="00D26432" w:rsidRPr="00C0441A">
          <w:rPr>
            <w:rStyle w:val="Hyperlink"/>
            <w:rFonts w:ascii="Garamond" w:hAnsi="Garamond"/>
            <w:sz w:val="22"/>
            <w:szCs w:val="22"/>
          </w:rPr>
          <w:t>www.jcpc.uk/decided-cases/index.html</w:t>
        </w:r>
      </w:hyperlink>
      <w:r w:rsidR="000558D1" w:rsidRPr="00C0441A">
        <w:rPr>
          <w:rFonts w:ascii="Garamond" w:hAnsi="Garamond"/>
          <w:color w:val="0000FF"/>
          <w:sz w:val="22"/>
          <w:szCs w:val="22"/>
        </w:rPr>
        <w:t xml:space="preserve">. </w:t>
      </w:r>
    </w:p>
    <w:sectPr w:rsidR="00C61327" w:rsidRPr="00C0441A" w:rsidSect="00197F97">
      <w:footerReference w:type="default" r:id="rId13"/>
      <w:pgSz w:w="11906" w:h="16838" w:code="9"/>
      <w:pgMar w:top="567" w:right="964" w:bottom="964" w:left="232" w:header="0" w:footer="0" w:gutter="113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DFD947" w14:textId="77777777" w:rsidR="00F71F0F" w:rsidRDefault="00F71F0F">
      <w:r>
        <w:separator/>
      </w:r>
    </w:p>
  </w:endnote>
  <w:endnote w:type="continuationSeparator" w:id="0">
    <w:p w14:paraId="08E191A9" w14:textId="77777777" w:rsidR="00F71F0F" w:rsidRDefault="00F71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Shaker 2 Regula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DC10A" w14:textId="77777777" w:rsidR="00ED19C1" w:rsidRDefault="00ED19C1" w:rsidP="00197F97">
    <w:pPr>
      <w:pStyle w:val="Footer"/>
      <w:jc w:val="center"/>
      <w:rPr>
        <w:rFonts w:ascii="Shaker 2 Regular" w:hAnsi="Shaker 2 Regular"/>
        <w:b/>
        <w:sz w:val="20"/>
      </w:rPr>
    </w:pPr>
    <w:r w:rsidRPr="00821EB9">
      <w:rPr>
        <w:rFonts w:ascii="Shaker 2 Regular" w:hAnsi="Shaker 2 Regular"/>
        <w:b/>
        <w:sz w:val="20"/>
      </w:rPr>
      <w:t>T</w:t>
    </w:r>
    <w:r w:rsidR="00E81D58">
      <w:rPr>
        <w:rFonts w:ascii="Shaker 2 Regular" w:hAnsi="Shaker 2 Regular"/>
        <w:b/>
        <w:sz w:val="20"/>
      </w:rPr>
      <w:t>he Judicial Committee of the Privy Council</w:t>
    </w:r>
  </w:p>
  <w:p w14:paraId="556384C8" w14:textId="77777777" w:rsidR="00ED19C1" w:rsidRPr="00821EB9" w:rsidRDefault="00ED19C1" w:rsidP="00197F97">
    <w:pPr>
      <w:pStyle w:val="Footer"/>
      <w:jc w:val="center"/>
      <w:rPr>
        <w:rFonts w:ascii="Shaker 2 Regular" w:hAnsi="Shaker 2 Regular"/>
        <w:sz w:val="20"/>
      </w:rPr>
    </w:pPr>
    <w:r w:rsidRPr="00821EB9">
      <w:rPr>
        <w:rFonts w:ascii="Shaker 2 Regular" w:hAnsi="Shaker 2 Regular"/>
        <w:b/>
        <w:sz w:val="20"/>
      </w:rPr>
      <w:t xml:space="preserve"> </w:t>
    </w:r>
    <w:r w:rsidRPr="00821EB9">
      <w:rPr>
        <w:rFonts w:ascii="Shaker 2 Regular" w:hAnsi="Shaker 2 Regular"/>
        <w:sz w:val="20"/>
      </w:rPr>
      <w:t xml:space="preserve">Parliament Square London SW1P 3BD </w:t>
    </w:r>
    <w:r w:rsidRPr="00821EB9">
      <w:rPr>
        <w:rFonts w:ascii="Shaker 2 Regular" w:hAnsi="Shaker 2 Regular"/>
        <w:b/>
        <w:sz w:val="20"/>
      </w:rPr>
      <w:t xml:space="preserve">T: </w:t>
    </w:r>
    <w:r>
      <w:rPr>
        <w:rFonts w:ascii="Shaker 2 Regular" w:hAnsi="Shaker 2 Regular"/>
        <w:sz w:val="20"/>
      </w:rPr>
      <w:t>020 7960 1886/1887</w:t>
    </w:r>
    <w:r w:rsidRPr="00821EB9">
      <w:rPr>
        <w:rFonts w:ascii="Shaker 2 Regular" w:hAnsi="Shaker 2 Regular"/>
        <w:sz w:val="20"/>
      </w:rPr>
      <w:t xml:space="preserve"> </w:t>
    </w:r>
    <w:r w:rsidRPr="00821EB9">
      <w:rPr>
        <w:rFonts w:ascii="Shaker 2 Regular" w:hAnsi="Shaker 2 Regular"/>
        <w:b/>
        <w:sz w:val="20"/>
      </w:rPr>
      <w:t xml:space="preserve">F: </w:t>
    </w:r>
    <w:r w:rsidRPr="00821EB9">
      <w:rPr>
        <w:rFonts w:ascii="Shaker 2 Regular" w:hAnsi="Shaker 2 Regular"/>
        <w:sz w:val="20"/>
      </w:rPr>
      <w:t xml:space="preserve">020 7960 1901 </w:t>
    </w:r>
    <w:r w:rsidR="00E81D58">
      <w:rPr>
        <w:rFonts w:ascii="Shaker 2 Regular" w:hAnsi="Shaker 2 Regular"/>
        <w:b/>
        <w:sz w:val="20"/>
      </w:rPr>
      <w:t>www.jcpc</w:t>
    </w:r>
    <w:r w:rsidRPr="00821EB9">
      <w:rPr>
        <w:rFonts w:ascii="Shaker 2 Regular" w:hAnsi="Shaker 2 Regular"/>
        <w:b/>
        <w:sz w:val="20"/>
      </w:rPr>
      <w:t>.uk</w:t>
    </w:r>
  </w:p>
  <w:p w14:paraId="65E9D8ED" w14:textId="77777777" w:rsidR="00ED19C1" w:rsidRDefault="00ED19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42DA2D" w14:textId="77777777" w:rsidR="00F71F0F" w:rsidRDefault="00F71F0F">
      <w:r>
        <w:separator/>
      </w:r>
    </w:p>
  </w:footnote>
  <w:footnote w:type="continuationSeparator" w:id="0">
    <w:p w14:paraId="2603103C" w14:textId="77777777" w:rsidR="00F71F0F" w:rsidRDefault="00F71F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8F2728"/>
    <w:multiLevelType w:val="hybridMultilevel"/>
    <w:tmpl w:val="C2AA8B3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F97"/>
    <w:rsid w:val="00010EB5"/>
    <w:rsid w:val="000400CE"/>
    <w:rsid w:val="00041E37"/>
    <w:rsid w:val="00054EE4"/>
    <w:rsid w:val="000558D1"/>
    <w:rsid w:val="000663D6"/>
    <w:rsid w:val="00066906"/>
    <w:rsid w:val="00076BEB"/>
    <w:rsid w:val="00076E61"/>
    <w:rsid w:val="00080C40"/>
    <w:rsid w:val="000B195C"/>
    <w:rsid w:val="000B4D34"/>
    <w:rsid w:val="000E3CEC"/>
    <w:rsid w:val="00121124"/>
    <w:rsid w:val="001264A1"/>
    <w:rsid w:val="001435DB"/>
    <w:rsid w:val="001436AC"/>
    <w:rsid w:val="00152D4B"/>
    <w:rsid w:val="00154195"/>
    <w:rsid w:val="00172937"/>
    <w:rsid w:val="00180481"/>
    <w:rsid w:val="00197F97"/>
    <w:rsid w:val="001B02FF"/>
    <w:rsid w:val="001C113A"/>
    <w:rsid w:val="001C49A3"/>
    <w:rsid w:val="001E526D"/>
    <w:rsid w:val="002C52FE"/>
    <w:rsid w:val="002C5D86"/>
    <w:rsid w:val="0031165B"/>
    <w:rsid w:val="0031667E"/>
    <w:rsid w:val="00327FBC"/>
    <w:rsid w:val="00334A83"/>
    <w:rsid w:val="00340722"/>
    <w:rsid w:val="003407AE"/>
    <w:rsid w:val="00353611"/>
    <w:rsid w:val="0037176A"/>
    <w:rsid w:val="0037236E"/>
    <w:rsid w:val="00390DE9"/>
    <w:rsid w:val="00393AF9"/>
    <w:rsid w:val="003C1DD7"/>
    <w:rsid w:val="003C506F"/>
    <w:rsid w:val="003E002F"/>
    <w:rsid w:val="00401B01"/>
    <w:rsid w:val="00475473"/>
    <w:rsid w:val="00546868"/>
    <w:rsid w:val="00551AAA"/>
    <w:rsid w:val="00573D9A"/>
    <w:rsid w:val="00577C62"/>
    <w:rsid w:val="005D2427"/>
    <w:rsid w:val="0061548A"/>
    <w:rsid w:val="00624426"/>
    <w:rsid w:val="00674AFF"/>
    <w:rsid w:val="0070669E"/>
    <w:rsid w:val="00715424"/>
    <w:rsid w:val="00715B92"/>
    <w:rsid w:val="00770037"/>
    <w:rsid w:val="007B3C09"/>
    <w:rsid w:val="00807BB8"/>
    <w:rsid w:val="0081141D"/>
    <w:rsid w:val="00821D4E"/>
    <w:rsid w:val="00840498"/>
    <w:rsid w:val="00842DC7"/>
    <w:rsid w:val="008A0A16"/>
    <w:rsid w:val="008F18BB"/>
    <w:rsid w:val="009148DC"/>
    <w:rsid w:val="0093632D"/>
    <w:rsid w:val="0094784F"/>
    <w:rsid w:val="00984943"/>
    <w:rsid w:val="00996DCD"/>
    <w:rsid w:val="009A543F"/>
    <w:rsid w:val="009D0CD6"/>
    <w:rsid w:val="00A14FCF"/>
    <w:rsid w:val="00A24759"/>
    <w:rsid w:val="00A44AD4"/>
    <w:rsid w:val="00AF2764"/>
    <w:rsid w:val="00B87A19"/>
    <w:rsid w:val="00BA21A1"/>
    <w:rsid w:val="00BD2E76"/>
    <w:rsid w:val="00BE0DBC"/>
    <w:rsid w:val="00C0441A"/>
    <w:rsid w:val="00C26BCA"/>
    <w:rsid w:val="00C54EA7"/>
    <w:rsid w:val="00C61327"/>
    <w:rsid w:val="00C92844"/>
    <w:rsid w:val="00CA69D1"/>
    <w:rsid w:val="00CC37AA"/>
    <w:rsid w:val="00CD47B6"/>
    <w:rsid w:val="00CD6A24"/>
    <w:rsid w:val="00D05D46"/>
    <w:rsid w:val="00D26432"/>
    <w:rsid w:val="00D63AD7"/>
    <w:rsid w:val="00D72A44"/>
    <w:rsid w:val="00DB6CA2"/>
    <w:rsid w:val="00DC58EC"/>
    <w:rsid w:val="00DF091B"/>
    <w:rsid w:val="00E076CF"/>
    <w:rsid w:val="00E665E7"/>
    <w:rsid w:val="00E81D58"/>
    <w:rsid w:val="00E8474F"/>
    <w:rsid w:val="00E963F5"/>
    <w:rsid w:val="00EC4C12"/>
    <w:rsid w:val="00ED19C1"/>
    <w:rsid w:val="00EE165C"/>
    <w:rsid w:val="00F00775"/>
    <w:rsid w:val="00F0420D"/>
    <w:rsid w:val="00F14B07"/>
    <w:rsid w:val="00F30A3D"/>
    <w:rsid w:val="00F6711E"/>
    <w:rsid w:val="00F71F0F"/>
    <w:rsid w:val="00F852A2"/>
    <w:rsid w:val="00FA2CC9"/>
    <w:rsid w:val="00FF4972"/>
    <w:rsid w:val="00FF59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8FB6A4E"/>
  <w15:chartTrackingRefBased/>
  <w15:docId w15:val="{3169BF52-FCD7-4175-98FD-EBA7E64E4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7F97"/>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link w:val="FooterChar"/>
    <w:rsid w:val="00197F97"/>
    <w:pPr>
      <w:tabs>
        <w:tab w:val="center" w:pos="4153"/>
        <w:tab w:val="right" w:pos="8306"/>
      </w:tabs>
    </w:pPr>
  </w:style>
  <w:style w:type="character" w:customStyle="1" w:styleId="FooterChar">
    <w:name w:val="Footer Char"/>
    <w:link w:val="Footer"/>
    <w:rsid w:val="00197F97"/>
    <w:rPr>
      <w:sz w:val="24"/>
      <w:szCs w:val="24"/>
      <w:lang w:val="en-GB" w:eastAsia="en-GB" w:bidi="ar-SA"/>
    </w:rPr>
  </w:style>
  <w:style w:type="character" w:styleId="Hyperlink">
    <w:name w:val="Hyperlink"/>
    <w:rsid w:val="000558D1"/>
    <w:rPr>
      <w:color w:val="0000FF"/>
      <w:u w:val="single"/>
    </w:rPr>
  </w:style>
  <w:style w:type="paragraph" w:styleId="BalloonText">
    <w:name w:val="Balloon Text"/>
    <w:basedOn w:val="Normal"/>
    <w:link w:val="BalloonTextChar"/>
    <w:rsid w:val="00D05D46"/>
    <w:rPr>
      <w:rFonts w:ascii="Segoe UI" w:hAnsi="Segoe UI" w:cs="Segoe UI"/>
      <w:sz w:val="18"/>
      <w:szCs w:val="18"/>
    </w:rPr>
  </w:style>
  <w:style w:type="character" w:customStyle="1" w:styleId="BalloonTextChar">
    <w:name w:val="Balloon Text Char"/>
    <w:link w:val="BalloonText"/>
    <w:rsid w:val="00D05D46"/>
    <w:rPr>
      <w:rFonts w:ascii="Segoe UI" w:hAnsi="Segoe UI" w:cs="Segoe UI"/>
      <w:sz w:val="18"/>
      <w:szCs w:val="18"/>
    </w:rPr>
  </w:style>
  <w:style w:type="paragraph" w:styleId="Header">
    <w:name w:val="header"/>
    <w:basedOn w:val="Normal"/>
    <w:link w:val="HeaderChar"/>
    <w:rsid w:val="00E81D58"/>
    <w:pPr>
      <w:tabs>
        <w:tab w:val="center" w:pos="4513"/>
        <w:tab w:val="right" w:pos="9026"/>
      </w:tabs>
    </w:pPr>
  </w:style>
  <w:style w:type="character" w:customStyle="1" w:styleId="HeaderChar">
    <w:name w:val="Header Char"/>
    <w:link w:val="Header"/>
    <w:rsid w:val="00E81D5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jcpc.uk/decided-cases/index.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AB251F3824E8E4BABF966FB1FF33114" ma:contentTypeVersion="8" ma:contentTypeDescription="Create a new document." ma:contentTypeScope="" ma:versionID="35ff4edaec662327009a93fff317a5a5">
  <xsd:schema xmlns:xsd="http://www.w3.org/2001/XMLSchema" xmlns:xs="http://www.w3.org/2001/XMLSchema" xmlns:p="http://schemas.microsoft.com/office/2006/metadata/properties" xmlns:ns2="d1912800-d0d5-4897-aa13-fa15486e9ce2" xmlns:ns3="f87e7dc2-70e0-493d-9bcf-91b6939b3a72" targetNamespace="http://schemas.microsoft.com/office/2006/metadata/properties" ma:root="true" ma:fieldsID="54a42eab02f6bfb85084c5824c747c5b" ns2:_="" ns3:_="">
    <xsd:import namespace="d1912800-d0d5-4897-aa13-fa15486e9ce2"/>
    <xsd:import namespace="f87e7dc2-70e0-493d-9bcf-91b6939b3a7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912800-d0d5-4897-aa13-fa15486e9c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87e7dc2-70e0-493d-9bcf-91b6939b3a7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299A73-3E65-42FA-84B0-07447A28BF93}">
  <ds:schemaRefs>
    <ds:schemaRef ds:uri="http://schemas.microsoft.com/office/2006/metadata/longProperties"/>
  </ds:schemaRefs>
</ds:datastoreItem>
</file>

<file path=customXml/itemProps2.xml><?xml version="1.0" encoding="utf-8"?>
<ds:datastoreItem xmlns:ds="http://schemas.openxmlformats.org/officeDocument/2006/customXml" ds:itemID="{7BE8E84D-0F5C-4A79-A47A-CDA3F7275739}">
  <ds:schemaRefs>
    <ds:schemaRef ds:uri="http://schemas.microsoft.com/sharepoint/v3/contenttype/forms"/>
  </ds:schemaRefs>
</ds:datastoreItem>
</file>

<file path=customXml/itemProps3.xml><?xml version="1.0" encoding="utf-8"?>
<ds:datastoreItem xmlns:ds="http://schemas.openxmlformats.org/officeDocument/2006/customXml" ds:itemID="{798BB9E6-C7CE-419E-BC94-7548546C1BD8}">
  <ds:schemaRefs>
    <ds:schemaRef ds:uri="http://schemas.microsoft.com/office/2006/documentManagement/types"/>
    <ds:schemaRef ds:uri="http://purl.org/dc/elements/1.1/"/>
    <ds:schemaRef ds:uri="http://www.w3.org/XML/1998/namespace"/>
    <ds:schemaRef ds:uri="http://purl.org/dc/dcmitype/"/>
    <ds:schemaRef ds:uri="http://purl.org/dc/terms/"/>
    <ds:schemaRef ds:uri="http://schemas.openxmlformats.org/package/2006/metadata/core-properties"/>
    <ds:schemaRef ds:uri="http://schemas.microsoft.com/office/infopath/2007/PartnerControls"/>
    <ds:schemaRef ds:uri="d1912800-d0d5-4897-aa13-fa15486e9ce2"/>
    <ds:schemaRef ds:uri="http://schemas.microsoft.com/office/2006/metadata/properties"/>
  </ds:schemaRefs>
</ds:datastoreItem>
</file>

<file path=customXml/itemProps4.xml><?xml version="1.0" encoding="utf-8"?>
<ds:datastoreItem xmlns:ds="http://schemas.openxmlformats.org/officeDocument/2006/customXml" ds:itemID="{BD9C3DF2-00A4-4284-9250-7492ED9383DB}"/>
</file>

<file path=docProps/app.xml><?xml version="1.0" encoding="utf-8"?>
<Properties xmlns="http://schemas.openxmlformats.org/officeDocument/2006/extended-properties" xmlns:vt="http://schemas.openxmlformats.org/officeDocument/2006/docPropsVTypes">
  <Template>Normal</Template>
  <TotalTime>5</TotalTime>
  <Pages>3</Pages>
  <Words>1397</Words>
  <Characters>7191</Characters>
  <Application>Microsoft Office Word</Application>
  <DocSecurity>0</DocSecurity>
  <Lines>59</Lines>
  <Paragraphs>17</Paragraphs>
  <ScaleCrop>false</ScaleCrop>
  <HeadingPairs>
    <vt:vector size="2" baseType="variant">
      <vt:variant>
        <vt:lpstr>Title</vt:lpstr>
      </vt:variant>
      <vt:variant>
        <vt:i4>1</vt:i4>
      </vt:variant>
    </vt:vector>
  </HeadingPairs>
  <TitlesOfParts>
    <vt:vector size="1" baseType="lpstr">
      <vt:lpstr>Attorney General of the Turks and Caicos Islands (Respondent) v Misick and others (Appellants)</vt:lpstr>
    </vt:vector>
  </TitlesOfParts>
  <Company>Judicial Committee of the Privy Council (JCPC)</Company>
  <LinksUpToDate>false</LinksUpToDate>
  <CharactersWithSpaces>8571</CharactersWithSpaces>
  <SharedDoc>false</SharedDoc>
  <HLinks>
    <vt:vector size="6" baseType="variant">
      <vt:variant>
        <vt:i4>6291508</vt:i4>
      </vt:variant>
      <vt:variant>
        <vt:i4>0</vt:i4>
      </vt:variant>
      <vt:variant>
        <vt:i4>0</vt:i4>
      </vt:variant>
      <vt:variant>
        <vt:i4>5</vt:i4>
      </vt:variant>
      <vt:variant>
        <vt:lpwstr>http://www.jcpc.uk/decided-cases/index.html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Attorney General of the Turks and Caicos Islands (Respondent) v Misick and others (Appellants)</dc:title>
  <dc:subject>Judgment promulgated on 13 November 2020</dc:subject>
  <dc:creator>Judicial Committee of the Privy Council (JCPC)</dc:creator>
  <cp:keywords>JCPC 2020/0072; [2020] UKPC 30</cp:keywords>
  <dc:description/>
  <cp:lastModifiedBy>Limoy Daniel</cp:lastModifiedBy>
  <cp:revision>3</cp:revision>
  <cp:lastPrinted>2015-03-03T09:34:00Z</cp:lastPrinted>
  <dcterms:created xsi:type="dcterms:W3CDTF">2020-11-12T11:31:00Z</dcterms:created>
  <dcterms:modified xsi:type="dcterms:W3CDTF">2020-11-12T11:35:00Z</dcterms:modified>
  <cp:category>Decided Cases; Press Summary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lpwstr>1</vt:lpwstr>
  </property>
  <property fmtid="{D5CDD505-2E9C-101B-9397-08002B2CF9AE}" pid="3" name="ContentTypeId">
    <vt:lpwstr>0x010100AAB251F3824E8E4BABF966FB1FF33114</vt:lpwstr>
  </property>
  <property fmtid="{D5CDD505-2E9C-101B-9397-08002B2CF9AE}" pid="4" name="CaseName">
    <vt:lpwstr>Attorney General of the Turks and Caicos Islands (Respondent) v Misick and others (Appellants)</vt:lpwstr>
  </property>
  <property fmtid="{D5CDD505-2E9C-101B-9397-08002B2CF9AE}" pid="5" name="HandDownDate">
    <vt:lpwstr>13 November 2020</vt:lpwstr>
  </property>
  <property fmtid="{D5CDD505-2E9C-101B-9397-08002B2CF9AE}" pid="6" name="CaseID">
    <vt:lpwstr>JCPC 2020/0072</vt:lpwstr>
  </property>
  <property fmtid="{D5CDD505-2E9C-101B-9397-08002B2CF9AE}" pid="7" name="NeutralCitationNumber">
    <vt:lpwstr>[2020] UKPC 30</vt:lpwstr>
  </property>
  <property fmtid="{D5CDD505-2E9C-101B-9397-08002B2CF9AE}" pid="8" name="Jurisdiction">
    <vt:lpwstr>From the Court of Appeal of the Turks and Caicos Islands</vt:lpwstr>
  </property>
</Properties>
</file>