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5605" w14:textId="71838345" w:rsidR="004D18F6" w:rsidRPr="00AD5664" w:rsidRDefault="00C56D1E" w:rsidP="009D175C">
      <w:pPr>
        <w:jc w:val="center"/>
      </w:pPr>
      <w:r>
        <w:rPr>
          <w:noProof/>
        </w:rPr>
        <w:drawing>
          <wp:inline distT="0" distB="0" distL="0" distR="0" wp14:anchorId="58F2C019" wp14:editId="5428C72B">
            <wp:extent cx="1009650" cy="1214755"/>
            <wp:effectExtent l="0" t="0" r="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214755"/>
                    </a:xfrm>
                    <a:prstGeom prst="rect">
                      <a:avLst/>
                    </a:prstGeom>
                    <a:noFill/>
                    <a:ln>
                      <a:noFill/>
                    </a:ln>
                  </pic:spPr>
                </pic:pic>
              </a:graphicData>
            </a:graphic>
          </wp:inline>
        </w:drawing>
      </w:r>
    </w:p>
    <w:p w14:paraId="5110EE82" w14:textId="4D3F544B" w:rsidR="009D175C" w:rsidRPr="00AD5664" w:rsidRDefault="009D175C" w:rsidP="00F3238F">
      <w:pPr>
        <w:pStyle w:val="PressSummary"/>
      </w:pPr>
      <w:r w:rsidRPr="00AD5664">
        <w:t>Press Summary</w:t>
      </w:r>
      <w:r w:rsidR="003443BA">
        <w:t xml:space="preserve"> </w:t>
      </w:r>
    </w:p>
    <w:p w14:paraId="119AD243" w14:textId="18735E20" w:rsidR="009D175C" w:rsidRPr="00AD5664" w:rsidRDefault="00ED0243" w:rsidP="00D44930">
      <w:pPr>
        <w:pStyle w:val="Date"/>
        <w:jc w:val="left"/>
      </w:pPr>
      <w:r>
        <w:t xml:space="preserve">13 October </w:t>
      </w:r>
      <w:r w:rsidR="009D175C" w:rsidRPr="00AD5664">
        <w:t>202</w:t>
      </w:r>
      <w:r w:rsidR="00D007D2" w:rsidRPr="00AD5664">
        <w:t>2</w:t>
      </w:r>
    </w:p>
    <w:p w14:paraId="60BAEC6D" w14:textId="77777777" w:rsidR="00F318F0" w:rsidRPr="00951DE1" w:rsidRDefault="00F318F0" w:rsidP="00951DE1">
      <w:pPr>
        <w:pStyle w:val="JudgmentTitle"/>
        <w:jc w:val="left"/>
        <w:rPr>
          <w:bCs/>
          <w:sz w:val="32"/>
          <w:szCs w:val="32"/>
        </w:rPr>
      </w:pPr>
      <w:r w:rsidRPr="00951DE1">
        <w:rPr>
          <w:bCs/>
          <w:sz w:val="32"/>
          <w:szCs w:val="32"/>
        </w:rPr>
        <w:t xml:space="preserve">Equity Trust (Jersey) Ltd (Respondent) </w:t>
      </w:r>
      <w:r w:rsidRPr="00951DE1">
        <w:rPr>
          <w:bCs/>
          <w:i/>
          <w:iCs/>
          <w:sz w:val="32"/>
          <w:szCs w:val="32"/>
        </w:rPr>
        <w:t>v</w:t>
      </w:r>
      <w:r w:rsidRPr="00951DE1">
        <w:rPr>
          <w:bCs/>
          <w:sz w:val="32"/>
          <w:szCs w:val="32"/>
        </w:rPr>
        <w:t xml:space="preserve"> Halabi (in his capacity as Executor of the Estate of the late Madam Intisar Nouri) (Appellant) (Jersey)</w:t>
      </w:r>
    </w:p>
    <w:p w14:paraId="7E0D08F4" w14:textId="77777777" w:rsidR="00F318F0" w:rsidRPr="00951DE1" w:rsidRDefault="00F318F0" w:rsidP="00951DE1">
      <w:pPr>
        <w:pStyle w:val="JudgmentTitle"/>
        <w:jc w:val="left"/>
        <w:rPr>
          <w:bCs/>
          <w:sz w:val="32"/>
          <w:szCs w:val="32"/>
        </w:rPr>
      </w:pPr>
      <w:r w:rsidRPr="00951DE1">
        <w:rPr>
          <w:bCs/>
          <w:sz w:val="32"/>
          <w:szCs w:val="32"/>
        </w:rPr>
        <w:t xml:space="preserve">ITG Ltd and others (Respondents) </w:t>
      </w:r>
      <w:r w:rsidRPr="00951DE1">
        <w:rPr>
          <w:bCs/>
          <w:i/>
          <w:iCs/>
          <w:sz w:val="32"/>
          <w:szCs w:val="32"/>
        </w:rPr>
        <w:t>v</w:t>
      </w:r>
      <w:r w:rsidRPr="00951DE1">
        <w:rPr>
          <w:bCs/>
          <w:sz w:val="32"/>
          <w:szCs w:val="32"/>
        </w:rPr>
        <w:t xml:space="preserve"> Fort Trustees Ltd and another (Appellants) (Guernsey)</w:t>
      </w:r>
    </w:p>
    <w:p w14:paraId="21603FBA" w14:textId="471CCBF2" w:rsidR="008914AB" w:rsidRPr="00AD5664" w:rsidRDefault="008914AB" w:rsidP="008914AB">
      <w:pPr>
        <w:pStyle w:val="CaseDetails"/>
      </w:pPr>
      <w:r w:rsidRPr="00AD5664">
        <w:t>[202</w:t>
      </w:r>
      <w:r w:rsidR="00D007D2" w:rsidRPr="00AD5664">
        <w:t>2</w:t>
      </w:r>
      <w:r w:rsidRPr="00AD5664">
        <w:t xml:space="preserve">] </w:t>
      </w:r>
      <w:r w:rsidR="00FA4EA4">
        <w:t>UK</w:t>
      </w:r>
      <w:r w:rsidR="004F095F">
        <w:t xml:space="preserve">PC </w:t>
      </w:r>
      <w:r w:rsidR="00A10338">
        <w:t>36</w:t>
      </w:r>
    </w:p>
    <w:p w14:paraId="04798E7A" w14:textId="53BF8455" w:rsidR="009D175C" w:rsidRPr="00AD5664" w:rsidRDefault="009D175C" w:rsidP="00D44930">
      <w:pPr>
        <w:pStyle w:val="CaseDetails"/>
        <w:rPr>
          <w:i/>
          <w:iCs/>
        </w:rPr>
      </w:pPr>
      <w:r w:rsidRPr="00AD5664">
        <w:rPr>
          <w:i/>
          <w:iCs/>
        </w:rPr>
        <w:t>On appeal from</w:t>
      </w:r>
      <w:r w:rsidR="005A7CDD">
        <w:rPr>
          <w:i/>
          <w:iCs/>
        </w:rPr>
        <w:t>:</w:t>
      </w:r>
      <w:r w:rsidRPr="00AD5664">
        <w:rPr>
          <w:i/>
          <w:iCs/>
        </w:rPr>
        <w:t xml:space="preserve"> </w:t>
      </w:r>
      <w:r w:rsidR="00E3314A">
        <w:rPr>
          <w:i/>
          <w:iCs/>
        </w:rPr>
        <w:t xml:space="preserve">[2019] </w:t>
      </w:r>
      <w:r w:rsidR="004A1BC0">
        <w:rPr>
          <w:i/>
          <w:iCs/>
        </w:rPr>
        <w:t xml:space="preserve">JCA 106 &amp; </w:t>
      </w:r>
      <w:r w:rsidR="00FB43A5">
        <w:rPr>
          <w:i/>
          <w:iCs/>
        </w:rPr>
        <w:t>[2020] GCA043</w:t>
      </w:r>
    </w:p>
    <w:p w14:paraId="465B91DF" w14:textId="1AADD4E6" w:rsidR="009D175C" w:rsidRPr="00AD5664" w:rsidRDefault="009D175C" w:rsidP="007E0EBA">
      <w:pPr>
        <w:pStyle w:val="Justices"/>
        <w:rPr>
          <w:b w:val="0"/>
          <w:bCs/>
          <w:sz w:val="24"/>
          <w:szCs w:val="24"/>
        </w:rPr>
      </w:pPr>
      <w:r w:rsidRPr="00AD5664">
        <w:rPr>
          <w:lang w:eastAsia="en-GB"/>
        </w:rPr>
        <w:t>Justices:</w:t>
      </w:r>
      <w:r w:rsidR="00D42F25" w:rsidRPr="00AD5664">
        <w:rPr>
          <w:lang w:eastAsia="en-GB"/>
        </w:rPr>
        <w:t xml:space="preserve"> </w:t>
      </w:r>
      <w:r w:rsidR="008914AB" w:rsidRPr="00AD5664">
        <w:rPr>
          <w:b w:val="0"/>
          <w:bCs/>
          <w:sz w:val="24"/>
          <w:szCs w:val="24"/>
        </w:rPr>
        <w:t xml:space="preserve">Lord </w:t>
      </w:r>
      <w:r w:rsidR="001C2C91">
        <w:rPr>
          <w:b w:val="0"/>
          <w:bCs/>
          <w:sz w:val="24"/>
          <w:szCs w:val="24"/>
        </w:rPr>
        <w:t xml:space="preserve">Reed </w:t>
      </w:r>
      <w:r w:rsidR="00636253">
        <w:rPr>
          <w:b w:val="0"/>
          <w:bCs/>
          <w:sz w:val="24"/>
          <w:szCs w:val="24"/>
        </w:rPr>
        <w:t>(</w:t>
      </w:r>
      <w:r w:rsidR="001C2C91">
        <w:rPr>
          <w:b w:val="0"/>
          <w:bCs/>
          <w:sz w:val="24"/>
          <w:szCs w:val="24"/>
        </w:rPr>
        <w:t>President</w:t>
      </w:r>
      <w:r w:rsidR="00636253">
        <w:rPr>
          <w:b w:val="0"/>
          <w:bCs/>
          <w:sz w:val="24"/>
          <w:szCs w:val="24"/>
        </w:rPr>
        <w:t>),</w:t>
      </w:r>
      <w:r w:rsidR="001C2C91">
        <w:rPr>
          <w:b w:val="0"/>
          <w:bCs/>
          <w:sz w:val="24"/>
          <w:szCs w:val="24"/>
        </w:rPr>
        <w:t xml:space="preserve"> Lord Briggs,</w:t>
      </w:r>
      <w:r w:rsidR="001D0CCE">
        <w:rPr>
          <w:b w:val="0"/>
          <w:bCs/>
          <w:sz w:val="24"/>
          <w:szCs w:val="24"/>
        </w:rPr>
        <w:t xml:space="preserve"> Lady Arden, Lord Stephens, Lady Rose, </w:t>
      </w:r>
      <w:r w:rsidR="00454BC2">
        <w:rPr>
          <w:b w:val="0"/>
          <w:bCs/>
          <w:sz w:val="24"/>
          <w:szCs w:val="24"/>
        </w:rPr>
        <w:t xml:space="preserve">Lord Richards, </w:t>
      </w:r>
      <w:r w:rsidR="001D0CCE">
        <w:rPr>
          <w:b w:val="0"/>
          <w:bCs/>
          <w:sz w:val="24"/>
          <w:szCs w:val="24"/>
        </w:rPr>
        <w:t>Sir Nicholas Patten</w:t>
      </w:r>
    </w:p>
    <w:p w14:paraId="41F7F0A7" w14:textId="3F71EA86" w:rsidR="009D175C" w:rsidRDefault="009D175C" w:rsidP="003322A9">
      <w:pPr>
        <w:pStyle w:val="SectionHeading"/>
      </w:pPr>
      <w:r w:rsidRPr="00AD5664">
        <w:t>Background to the Appeal</w:t>
      </w:r>
    </w:p>
    <w:p w14:paraId="34D18054" w14:textId="391EDDB7" w:rsidR="00660C49" w:rsidRDefault="00F63E40" w:rsidP="005B548D">
      <w:pPr>
        <w:jc w:val="both"/>
        <w:rPr>
          <w:rFonts w:cstheme="minorHAnsi"/>
        </w:rPr>
      </w:pPr>
      <w:r w:rsidRPr="0063411A">
        <w:rPr>
          <w:rFonts w:cstheme="minorBidi"/>
          <w:szCs w:val="24"/>
        </w:rPr>
        <w:t xml:space="preserve">These appeals concern the rights of indemnity of successive trustees against the assets of trusts where </w:t>
      </w:r>
      <w:r w:rsidR="00967EF7">
        <w:rPr>
          <w:rFonts w:cstheme="minorBidi"/>
          <w:szCs w:val="24"/>
        </w:rPr>
        <w:t xml:space="preserve">they </w:t>
      </w:r>
      <w:r w:rsidRPr="0063411A">
        <w:rPr>
          <w:rFonts w:cstheme="minorBidi"/>
          <w:szCs w:val="24"/>
        </w:rPr>
        <w:t>have become insolvent, in the sense that the trust assets are inadequate to meet in full the liabilities incurred by the trustees in their capacities as trustees. The applicable law in both appeals is the law of Jersey which, as the Board holds, is the same in all relevant respects as English law.</w:t>
      </w:r>
    </w:p>
    <w:p w14:paraId="44277AB8" w14:textId="702C82CE" w:rsidR="001D2F9D" w:rsidRDefault="00660C49" w:rsidP="005B548D">
      <w:pPr>
        <w:jc w:val="both"/>
        <w:rPr>
          <w:rFonts w:cstheme="minorHAnsi"/>
        </w:rPr>
      </w:pPr>
      <w:r>
        <w:rPr>
          <w:rFonts w:cstheme="minorHAnsi"/>
        </w:rPr>
        <w:t>The first appeal</w:t>
      </w:r>
      <w:r w:rsidR="006E49B9">
        <w:rPr>
          <w:rFonts w:cstheme="minorHAnsi"/>
        </w:rPr>
        <w:t xml:space="preserve"> </w:t>
      </w:r>
      <w:r w:rsidR="00204C47">
        <w:rPr>
          <w:rFonts w:cstheme="minorHAnsi"/>
        </w:rPr>
        <w:t>is from Jersey (the “</w:t>
      </w:r>
      <w:r w:rsidR="00204C47" w:rsidRPr="00204C47">
        <w:rPr>
          <w:rFonts w:cstheme="minorHAnsi"/>
          <w:b/>
          <w:bCs/>
        </w:rPr>
        <w:t>Jersey Appeal</w:t>
      </w:r>
      <w:r w:rsidR="00204C47">
        <w:rPr>
          <w:rFonts w:cstheme="minorHAnsi"/>
        </w:rPr>
        <w:t>”)</w:t>
      </w:r>
      <w:r>
        <w:rPr>
          <w:rFonts w:cstheme="minorHAnsi"/>
        </w:rPr>
        <w:t>; the second</w:t>
      </w:r>
      <w:r w:rsidR="000E6098">
        <w:rPr>
          <w:rFonts w:cstheme="minorHAnsi"/>
        </w:rPr>
        <w:t xml:space="preserve"> is from </w:t>
      </w:r>
      <w:r w:rsidR="005A21B6">
        <w:rPr>
          <w:rFonts w:cstheme="minorHAnsi"/>
        </w:rPr>
        <w:t>Guernsey (the “</w:t>
      </w:r>
      <w:r w:rsidR="005A21B6" w:rsidRPr="005A21B6">
        <w:rPr>
          <w:rFonts w:cstheme="minorHAnsi"/>
          <w:b/>
          <w:bCs/>
        </w:rPr>
        <w:t>Guernsey Appeal</w:t>
      </w:r>
      <w:r w:rsidR="005A21B6">
        <w:rPr>
          <w:rFonts w:cstheme="minorHAnsi"/>
        </w:rPr>
        <w:t>”)</w:t>
      </w:r>
      <w:r w:rsidR="0009138D">
        <w:rPr>
          <w:rFonts w:cstheme="minorHAnsi"/>
        </w:rPr>
        <w:t xml:space="preserve">. </w:t>
      </w:r>
      <w:r w:rsidR="003817D3">
        <w:rPr>
          <w:rFonts w:cstheme="minorHAnsi"/>
        </w:rPr>
        <w:t>Under section 26(2) of the Trusts (Jersey) Law 1984 (the “</w:t>
      </w:r>
      <w:r w:rsidR="003817D3" w:rsidRPr="00D50C24">
        <w:rPr>
          <w:rFonts w:cstheme="minorHAnsi"/>
          <w:b/>
          <w:bCs/>
        </w:rPr>
        <w:t>T</w:t>
      </w:r>
      <w:r w:rsidR="00D50C24" w:rsidRPr="00D50C24">
        <w:rPr>
          <w:rFonts w:cstheme="minorHAnsi"/>
          <w:b/>
          <w:bCs/>
        </w:rPr>
        <w:t>JL</w:t>
      </w:r>
      <w:r w:rsidR="00D50C24">
        <w:rPr>
          <w:rFonts w:cstheme="minorHAnsi"/>
        </w:rPr>
        <w:t>”)</w:t>
      </w:r>
      <w:r w:rsidR="00D10831">
        <w:rPr>
          <w:rFonts w:cstheme="minorHAnsi"/>
        </w:rPr>
        <w:t>,</w:t>
      </w:r>
      <w:r w:rsidR="00D50C24">
        <w:rPr>
          <w:rFonts w:cstheme="minorHAnsi"/>
        </w:rPr>
        <w:t xml:space="preserve"> trustees have</w:t>
      </w:r>
      <w:r w:rsidR="00677CA7">
        <w:rPr>
          <w:rFonts w:cstheme="minorHAnsi"/>
        </w:rPr>
        <w:t xml:space="preserve"> </w:t>
      </w:r>
      <w:r w:rsidR="00F06467">
        <w:rPr>
          <w:rFonts w:cstheme="minorHAnsi"/>
        </w:rPr>
        <w:t>a</w:t>
      </w:r>
      <w:r w:rsidR="0054574F">
        <w:rPr>
          <w:rFonts w:cstheme="minorHAnsi"/>
        </w:rPr>
        <w:t xml:space="preserve"> right to be indemnified out of the trust assets for their proper </w:t>
      </w:r>
      <w:r w:rsidR="00586E35">
        <w:rPr>
          <w:rFonts w:cstheme="minorHAnsi"/>
        </w:rPr>
        <w:t>expenditure</w:t>
      </w:r>
      <w:r w:rsidR="0054574F">
        <w:rPr>
          <w:rFonts w:cstheme="minorHAnsi"/>
        </w:rPr>
        <w:t xml:space="preserve">. </w:t>
      </w:r>
    </w:p>
    <w:p w14:paraId="2E603FE8" w14:textId="366DD7B3" w:rsidR="003817D3" w:rsidRPr="001D2F9D" w:rsidRDefault="001D2F9D" w:rsidP="005B548D">
      <w:pPr>
        <w:jc w:val="both"/>
        <w:rPr>
          <w:rFonts w:cstheme="minorHAnsi"/>
          <w:i/>
          <w:iCs/>
        </w:rPr>
      </w:pPr>
      <w:r w:rsidRPr="001D2F9D">
        <w:rPr>
          <w:rFonts w:cstheme="minorHAnsi"/>
          <w:i/>
          <w:iCs/>
        </w:rPr>
        <w:t>The Jersey Appeal</w:t>
      </w:r>
      <w:r w:rsidR="00CE6BBB" w:rsidRPr="001D2F9D">
        <w:rPr>
          <w:rFonts w:cstheme="minorHAnsi"/>
          <w:i/>
          <w:iCs/>
        </w:rPr>
        <w:t xml:space="preserve"> </w:t>
      </w:r>
    </w:p>
    <w:p w14:paraId="119041C8" w14:textId="66DF8A97" w:rsidR="001E12F3" w:rsidRDefault="00670396" w:rsidP="005B548D">
      <w:pPr>
        <w:jc w:val="both"/>
        <w:rPr>
          <w:rFonts w:cstheme="minorHAnsi"/>
        </w:rPr>
      </w:pPr>
      <w:r>
        <w:rPr>
          <w:rFonts w:cstheme="minorHAnsi"/>
        </w:rPr>
        <w:t>The Jersey Appeal arises from Jersey trusts</w:t>
      </w:r>
      <w:r w:rsidR="001B02AE">
        <w:rPr>
          <w:rFonts w:cstheme="minorHAnsi"/>
        </w:rPr>
        <w:t>,</w:t>
      </w:r>
      <w:r w:rsidR="004C312A">
        <w:rPr>
          <w:rFonts w:cstheme="minorHAnsi"/>
        </w:rPr>
        <w:t xml:space="preserve"> </w:t>
      </w:r>
      <w:r w:rsidR="001B02AE">
        <w:rPr>
          <w:rFonts w:cstheme="minorHAnsi"/>
        </w:rPr>
        <w:t>t</w:t>
      </w:r>
      <w:r w:rsidR="004C312A">
        <w:rPr>
          <w:rFonts w:cstheme="minorHAnsi"/>
        </w:rPr>
        <w:t>he original sole trust</w:t>
      </w:r>
      <w:r w:rsidR="0029621B">
        <w:rPr>
          <w:rFonts w:cstheme="minorHAnsi"/>
        </w:rPr>
        <w:t xml:space="preserve">ee of </w:t>
      </w:r>
      <w:r w:rsidR="001B02AE">
        <w:rPr>
          <w:rFonts w:cstheme="minorHAnsi"/>
        </w:rPr>
        <w:t>which</w:t>
      </w:r>
      <w:r w:rsidR="0029621B">
        <w:rPr>
          <w:rFonts w:cstheme="minorHAnsi"/>
        </w:rPr>
        <w:t xml:space="preserve"> was Equity Trust (Jersey) Ltd (“</w:t>
      </w:r>
      <w:r w:rsidR="0029621B" w:rsidRPr="0029621B">
        <w:rPr>
          <w:rFonts w:cstheme="minorHAnsi"/>
          <w:b/>
          <w:bCs/>
        </w:rPr>
        <w:t>ETJL</w:t>
      </w:r>
      <w:r w:rsidR="0029621B">
        <w:rPr>
          <w:rFonts w:cstheme="minorHAnsi"/>
        </w:rPr>
        <w:t>”)</w:t>
      </w:r>
      <w:r w:rsidR="007F2D02">
        <w:rPr>
          <w:rFonts w:cstheme="minorHAnsi"/>
        </w:rPr>
        <w:t xml:space="preserve">, the </w:t>
      </w:r>
      <w:r w:rsidR="00D77681">
        <w:rPr>
          <w:rFonts w:cstheme="minorHAnsi"/>
        </w:rPr>
        <w:t>f</w:t>
      </w:r>
      <w:r w:rsidR="007F2D02">
        <w:rPr>
          <w:rFonts w:cstheme="minorHAnsi"/>
        </w:rPr>
        <w:t xml:space="preserve">irst </w:t>
      </w:r>
      <w:r w:rsidR="00D77681">
        <w:rPr>
          <w:rFonts w:cstheme="minorHAnsi"/>
        </w:rPr>
        <w:t>r</w:t>
      </w:r>
      <w:r w:rsidR="007F2D02">
        <w:rPr>
          <w:rFonts w:cstheme="minorHAnsi"/>
        </w:rPr>
        <w:t xml:space="preserve">espondent. </w:t>
      </w:r>
      <w:r w:rsidR="00F54D41">
        <w:rPr>
          <w:rFonts w:cstheme="minorHAnsi"/>
        </w:rPr>
        <w:t>Under the TJ</w:t>
      </w:r>
      <w:r w:rsidR="006411F0">
        <w:rPr>
          <w:rFonts w:cstheme="minorHAnsi"/>
        </w:rPr>
        <w:t>L in its 2006 form, E</w:t>
      </w:r>
      <w:r w:rsidR="00762300">
        <w:rPr>
          <w:rFonts w:cstheme="minorHAnsi"/>
        </w:rPr>
        <w:t>TJ</w:t>
      </w:r>
      <w:r w:rsidR="006411F0">
        <w:rPr>
          <w:rFonts w:cstheme="minorHAnsi"/>
        </w:rPr>
        <w:t xml:space="preserve">L was obliged to transfer </w:t>
      </w:r>
      <w:r w:rsidR="004B093A">
        <w:rPr>
          <w:rFonts w:cstheme="minorHAnsi"/>
        </w:rPr>
        <w:t>the trust assets to a new trustee</w:t>
      </w:r>
      <w:r w:rsidR="00C33EB5">
        <w:rPr>
          <w:rFonts w:cstheme="minorHAnsi"/>
        </w:rPr>
        <w:t>.</w:t>
      </w:r>
      <w:r w:rsidR="004B093A">
        <w:rPr>
          <w:rFonts w:cstheme="minorHAnsi"/>
        </w:rPr>
        <w:t xml:space="preserve"> </w:t>
      </w:r>
      <w:r w:rsidR="00C33EB5">
        <w:rPr>
          <w:rFonts w:cstheme="minorHAnsi"/>
        </w:rPr>
        <w:t>ETJL</w:t>
      </w:r>
      <w:r w:rsidR="001E12F3">
        <w:rPr>
          <w:rFonts w:cstheme="minorHAnsi"/>
        </w:rPr>
        <w:t xml:space="preserve"> entered into a deed of retirement and </w:t>
      </w:r>
      <w:r w:rsidR="00FE149A">
        <w:rPr>
          <w:rFonts w:cstheme="minorHAnsi"/>
        </w:rPr>
        <w:t xml:space="preserve">removal </w:t>
      </w:r>
      <w:r w:rsidR="001E12F3">
        <w:rPr>
          <w:rFonts w:cstheme="minorHAnsi"/>
        </w:rPr>
        <w:t>with its successor, Volaw Corporate Trustee Ltd (“</w:t>
      </w:r>
      <w:r w:rsidR="001E12F3" w:rsidRPr="00DC5BA2">
        <w:rPr>
          <w:rFonts w:cstheme="minorHAnsi"/>
          <w:b/>
          <w:bCs/>
        </w:rPr>
        <w:t>Volaw</w:t>
      </w:r>
      <w:r w:rsidR="001E12F3">
        <w:rPr>
          <w:rFonts w:cstheme="minorHAnsi"/>
        </w:rPr>
        <w:t>”)</w:t>
      </w:r>
      <w:r w:rsidR="00C95D17">
        <w:rPr>
          <w:rFonts w:cstheme="minorHAnsi"/>
        </w:rPr>
        <w:t>. Volaw</w:t>
      </w:r>
      <w:r w:rsidR="001E12F3">
        <w:rPr>
          <w:rFonts w:cstheme="minorHAnsi"/>
        </w:rPr>
        <w:t xml:space="preserve"> held £2.5 million as security</w:t>
      </w:r>
      <w:r w:rsidR="00FE149A">
        <w:rPr>
          <w:rFonts w:cstheme="minorHAnsi"/>
        </w:rPr>
        <w:t xml:space="preserve"> for its indemnity to EJTL for liabilities properly incurred as trustee</w:t>
      </w:r>
      <w:r w:rsidR="001E12F3">
        <w:rPr>
          <w:rFonts w:cstheme="minorHAnsi"/>
        </w:rPr>
        <w:t>. Volaw was later replaced by a further trustee, Geneva Trust Company.</w:t>
      </w:r>
    </w:p>
    <w:p w14:paraId="330B81C6" w14:textId="4F874ADA" w:rsidR="003555C8" w:rsidRDefault="00377DCF" w:rsidP="001D0CCE">
      <w:pPr>
        <w:jc w:val="both"/>
        <w:rPr>
          <w:rFonts w:cstheme="minorHAnsi"/>
        </w:rPr>
      </w:pPr>
      <w:r>
        <w:rPr>
          <w:rFonts w:cstheme="minorHAnsi"/>
        </w:rPr>
        <w:t>I</w:t>
      </w:r>
      <w:r w:rsidR="00CD1F7B">
        <w:rPr>
          <w:rFonts w:cstheme="minorHAnsi"/>
        </w:rPr>
        <w:t xml:space="preserve">n 2012, ETJL was sued </w:t>
      </w:r>
      <w:r w:rsidR="006004C3">
        <w:rPr>
          <w:rFonts w:cstheme="minorHAnsi"/>
        </w:rPr>
        <w:t xml:space="preserve">for £53 million </w:t>
      </w:r>
      <w:r w:rsidR="00CD1F7B">
        <w:rPr>
          <w:rFonts w:cstheme="minorHAnsi"/>
        </w:rPr>
        <w:t>by liquidators of a company in the trust structure</w:t>
      </w:r>
      <w:r w:rsidR="00C036F5">
        <w:rPr>
          <w:rFonts w:cstheme="minorHAnsi"/>
        </w:rPr>
        <w:t>, Angelmist Limited</w:t>
      </w:r>
      <w:r w:rsidR="006004C3">
        <w:rPr>
          <w:rFonts w:cstheme="minorHAnsi"/>
        </w:rPr>
        <w:t xml:space="preserve">. </w:t>
      </w:r>
      <w:r w:rsidR="00D22BF4">
        <w:rPr>
          <w:rFonts w:cstheme="minorHAnsi"/>
        </w:rPr>
        <w:t xml:space="preserve">Following the settlement of the proceedings, ETJL sought to recover £18.9 </w:t>
      </w:r>
      <w:r w:rsidR="00D22BF4">
        <w:rPr>
          <w:rFonts w:cstheme="minorHAnsi"/>
        </w:rPr>
        <w:lastRenderedPageBreak/>
        <w:t xml:space="preserve">million under its indemnity, comprising £16.5 million </w:t>
      </w:r>
      <w:r w:rsidR="00096234">
        <w:rPr>
          <w:rFonts w:cstheme="minorHAnsi"/>
        </w:rPr>
        <w:t xml:space="preserve">paid by way of settlement and £2.4 million in costs. </w:t>
      </w:r>
      <w:r w:rsidR="00D25672">
        <w:rPr>
          <w:rFonts w:cstheme="minorHAnsi"/>
        </w:rPr>
        <w:t xml:space="preserve">This gave rise to a </w:t>
      </w:r>
      <w:r w:rsidR="00D056FB">
        <w:rPr>
          <w:rFonts w:cstheme="minorHAnsi"/>
        </w:rPr>
        <w:t xml:space="preserve">trial before the Royal Court, which held </w:t>
      </w:r>
      <w:r w:rsidR="00B26A3C">
        <w:rPr>
          <w:rFonts w:cstheme="minorHAnsi"/>
        </w:rPr>
        <w:t xml:space="preserve">that successive trustees and the creditors claiming through them by way of subrogation ranked </w:t>
      </w:r>
      <w:r w:rsidR="008745E4">
        <w:rPr>
          <w:rFonts w:cstheme="minorHAnsi"/>
          <w:i/>
          <w:iCs/>
        </w:rPr>
        <w:t>pari passu</w:t>
      </w:r>
      <w:r w:rsidR="00B26A3C">
        <w:rPr>
          <w:rFonts w:cstheme="minorHAnsi"/>
        </w:rPr>
        <w:t xml:space="preserve"> (or</w:t>
      </w:r>
      <w:r w:rsidR="008745E4">
        <w:rPr>
          <w:rFonts w:cstheme="minorHAnsi"/>
        </w:rPr>
        <w:t xml:space="preserve"> equally</w:t>
      </w:r>
      <w:r w:rsidR="00B26A3C">
        <w:rPr>
          <w:rFonts w:cstheme="minorHAnsi"/>
        </w:rPr>
        <w:t>)</w:t>
      </w:r>
      <w:r w:rsidR="008273F2">
        <w:rPr>
          <w:rFonts w:cstheme="minorHAnsi"/>
        </w:rPr>
        <w:t xml:space="preserve"> in their claims on the trust assets. </w:t>
      </w:r>
      <w:r w:rsidR="002A0AAE">
        <w:rPr>
          <w:rFonts w:cstheme="minorHAnsi"/>
        </w:rPr>
        <w:t xml:space="preserve">The </w:t>
      </w:r>
      <w:r w:rsidR="00A00434">
        <w:rPr>
          <w:rFonts w:cstheme="minorHAnsi"/>
        </w:rPr>
        <w:t xml:space="preserve">Court also </w:t>
      </w:r>
      <w:r w:rsidR="00C248E0">
        <w:rPr>
          <w:rFonts w:cstheme="minorHAnsi"/>
        </w:rPr>
        <w:t>held that E</w:t>
      </w:r>
      <w:r w:rsidR="00762300">
        <w:rPr>
          <w:rFonts w:cstheme="minorHAnsi"/>
        </w:rPr>
        <w:t>TJ</w:t>
      </w:r>
      <w:r w:rsidR="00C248E0">
        <w:rPr>
          <w:rFonts w:cstheme="minorHAnsi"/>
        </w:rPr>
        <w:t xml:space="preserve">L was not entitled to the costs of proving its claim. </w:t>
      </w:r>
    </w:p>
    <w:p w14:paraId="4CA926AD" w14:textId="7A8E6432" w:rsidR="00C248E0" w:rsidRDefault="00C248E0" w:rsidP="001D0CCE">
      <w:pPr>
        <w:jc w:val="both"/>
        <w:rPr>
          <w:rFonts w:cstheme="minorHAnsi"/>
        </w:rPr>
      </w:pPr>
      <w:r>
        <w:rPr>
          <w:rFonts w:cstheme="minorHAnsi"/>
        </w:rPr>
        <w:t>On appeal, the Jersey Court of Appeal reversed</w:t>
      </w:r>
      <w:r w:rsidR="00896107">
        <w:rPr>
          <w:rFonts w:cstheme="minorHAnsi"/>
        </w:rPr>
        <w:t xml:space="preserve"> this </w:t>
      </w:r>
      <w:r>
        <w:rPr>
          <w:rFonts w:cstheme="minorHAnsi"/>
        </w:rPr>
        <w:t>decision</w:t>
      </w:r>
      <w:r w:rsidR="00D57AA9">
        <w:rPr>
          <w:rFonts w:cstheme="minorHAnsi"/>
        </w:rPr>
        <w:t>,</w:t>
      </w:r>
      <w:r w:rsidR="004406D3">
        <w:rPr>
          <w:rFonts w:cstheme="minorHAnsi"/>
        </w:rPr>
        <w:t xml:space="preserve"> holding that </w:t>
      </w:r>
      <w:r w:rsidR="00DD58C2">
        <w:rPr>
          <w:rFonts w:cstheme="minorHAnsi"/>
        </w:rPr>
        <w:t>ET</w:t>
      </w:r>
      <w:r w:rsidR="001550F7">
        <w:rPr>
          <w:rFonts w:cstheme="minorHAnsi"/>
        </w:rPr>
        <w:t xml:space="preserve">JL’s </w:t>
      </w:r>
      <w:r w:rsidR="00843803">
        <w:rPr>
          <w:rFonts w:cstheme="minorHAnsi"/>
        </w:rPr>
        <w:t xml:space="preserve">right of indemnity ranked </w:t>
      </w:r>
      <w:r w:rsidR="00194975">
        <w:rPr>
          <w:rFonts w:cstheme="minorHAnsi"/>
        </w:rPr>
        <w:t>ahead of those of successor trustees on a first in time basis</w:t>
      </w:r>
      <w:r w:rsidR="00B95D37">
        <w:rPr>
          <w:rFonts w:cstheme="minorHAnsi"/>
        </w:rPr>
        <w:t>.</w:t>
      </w:r>
      <w:r w:rsidR="00194975">
        <w:rPr>
          <w:rFonts w:cstheme="minorHAnsi"/>
        </w:rPr>
        <w:t xml:space="preserve"> </w:t>
      </w:r>
      <w:r w:rsidR="008478CF">
        <w:rPr>
          <w:rFonts w:cstheme="minorHAnsi"/>
        </w:rPr>
        <w:t>The Court of Appeal also held that E</w:t>
      </w:r>
      <w:r w:rsidR="00762300">
        <w:rPr>
          <w:rFonts w:cstheme="minorHAnsi"/>
        </w:rPr>
        <w:t>TJ</w:t>
      </w:r>
      <w:r w:rsidR="008478CF">
        <w:rPr>
          <w:rFonts w:cstheme="minorHAnsi"/>
        </w:rPr>
        <w:t xml:space="preserve">L’s costs of proving its claim were recoverable </w:t>
      </w:r>
      <w:r w:rsidR="00FE149A">
        <w:rPr>
          <w:rFonts w:cstheme="minorHAnsi"/>
        </w:rPr>
        <w:t>under</w:t>
      </w:r>
      <w:r w:rsidR="008478CF">
        <w:rPr>
          <w:rFonts w:cstheme="minorHAnsi"/>
        </w:rPr>
        <w:t xml:space="preserve"> the indemnity. </w:t>
      </w:r>
    </w:p>
    <w:p w14:paraId="5DB0B213" w14:textId="32DDCFB0" w:rsidR="001D2F9D" w:rsidRDefault="001D2F9D" w:rsidP="001D0CCE">
      <w:pPr>
        <w:jc w:val="both"/>
        <w:rPr>
          <w:rFonts w:cstheme="minorHAnsi"/>
          <w:i/>
          <w:iCs/>
        </w:rPr>
      </w:pPr>
      <w:r w:rsidRPr="001D2F9D">
        <w:rPr>
          <w:rFonts w:cstheme="minorHAnsi"/>
          <w:i/>
          <w:iCs/>
        </w:rPr>
        <w:t>The Guernsey Appeal</w:t>
      </w:r>
    </w:p>
    <w:p w14:paraId="02756600" w14:textId="41E4CB15" w:rsidR="007C12D2" w:rsidRDefault="00DA0D66" w:rsidP="001D0CCE">
      <w:pPr>
        <w:jc w:val="both"/>
        <w:rPr>
          <w:rFonts w:cstheme="minorHAnsi"/>
        </w:rPr>
      </w:pPr>
      <w:r>
        <w:rPr>
          <w:rFonts w:cstheme="minorHAnsi"/>
        </w:rPr>
        <w:t xml:space="preserve">The Guernsey Appeal concerns </w:t>
      </w:r>
      <w:r w:rsidR="00F053DC">
        <w:rPr>
          <w:rFonts w:cstheme="minorHAnsi"/>
        </w:rPr>
        <w:t xml:space="preserve">the Tchenguiz Discretionary Trust </w:t>
      </w:r>
      <w:r w:rsidR="00F360C9">
        <w:rPr>
          <w:rFonts w:cstheme="minorHAnsi"/>
        </w:rPr>
        <w:t>(“</w:t>
      </w:r>
      <w:r w:rsidR="00F360C9" w:rsidRPr="00F360C9">
        <w:rPr>
          <w:rFonts w:cstheme="minorHAnsi"/>
          <w:b/>
          <w:bCs/>
        </w:rPr>
        <w:t>TDT</w:t>
      </w:r>
      <w:r w:rsidR="00F360C9">
        <w:rPr>
          <w:rFonts w:cstheme="minorHAnsi"/>
        </w:rPr>
        <w:t xml:space="preserve">”) </w:t>
      </w:r>
      <w:r w:rsidR="00F053DC">
        <w:rPr>
          <w:rFonts w:cstheme="minorHAnsi"/>
        </w:rPr>
        <w:t>of which Investec Trust (Guernsey) Ltd (“</w:t>
      </w:r>
      <w:r w:rsidR="00F053DC" w:rsidRPr="00940645">
        <w:rPr>
          <w:rFonts w:cstheme="minorHAnsi"/>
          <w:b/>
          <w:bCs/>
        </w:rPr>
        <w:t>ITG</w:t>
      </w:r>
      <w:r w:rsidR="00F053DC">
        <w:rPr>
          <w:rFonts w:cstheme="minorHAnsi"/>
        </w:rPr>
        <w:t xml:space="preserve">”) </w:t>
      </w:r>
      <w:r w:rsidR="00904DB5">
        <w:rPr>
          <w:rFonts w:cstheme="minorHAnsi"/>
        </w:rPr>
        <w:t>was the original trustee</w:t>
      </w:r>
      <w:r w:rsidR="00A2099A">
        <w:rPr>
          <w:rFonts w:cstheme="minorHAnsi"/>
        </w:rPr>
        <w:t>.</w:t>
      </w:r>
      <w:r w:rsidR="00830421">
        <w:rPr>
          <w:rFonts w:cstheme="minorHAnsi"/>
        </w:rPr>
        <w:t xml:space="preserve"> Bayeux Trustees Ltd </w:t>
      </w:r>
      <w:r w:rsidR="00F53EDF">
        <w:rPr>
          <w:rFonts w:cstheme="minorHAnsi"/>
        </w:rPr>
        <w:t>(“</w:t>
      </w:r>
      <w:r w:rsidR="00F53EDF" w:rsidRPr="00F53EDF">
        <w:rPr>
          <w:rFonts w:cstheme="minorHAnsi"/>
          <w:b/>
          <w:bCs/>
        </w:rPr>
        <w:t>Bayeux</w:t>
      </w:r>
      <w:r w:rsidR="00F53EDF">
        <w:rPr>
          <w:rFonts w:cstheme="minorHAnsi"/>
        </w:rPr>
        <w:t xml:space="preserve">”) </w:t>
      </w:r>
      <w:r w:rsidR="00FE149A">
        <w:rPr>
          <w:rFonts w:cstheme="minorHAnsi"/>
        </w:rPr>
        <w:t>became its</w:t>
      </w:r>
      <w:r w:rsidR="00830421">
        <w:rPr>
          <w:rFonts w:cstheme="minorHAnsi"/>
        </w:rPr>
        <w:t xml:space="preserve"> co-trustee. </w:t>
      </w:r>
      <w:r w:rsidR="00481A10">
        <w:rPr>
          <w:rFonts w:cstheme="minorHAnsi"/>
        </w:rPr>
        <w:t xml:space="preserve">Over the following years, three further trustees held office. </w:t>
      </w:r>
      <w:r w:rsidR="00F53EDF">
        <w:rPr>
          <w:rFonts w:cstheme="minorHAnsi"/>
        </w:rPr>
        <w:t xml:space="preserve"> ITG and Bayeux</w:t>
      </w:r>
      <w:r w:rsidR="00FF6560">
        <w:rPr>
          <w:rFonts w:cstheme="minorHAnsi"/>
        </w:rPr>
        <w:t xml:space="preserve">, in their capacity as </w:t>
      </w:r>
      <w:r w:rsidR="00DC7AF8">
        <w:rPr>
          <w:rFonts w:cstheme="minorHAnsi"/>
        </w:rPr>
        <w:t xml:space="preserve">trustees of the TDT, </w:t>
      </w:r>
      <w:r w:rsidR="00717DC3">
        <w:rPr>
          <w:rFonts w:cstheme="minorHAnsi"/>
        </w:rPr>
        <w:t xml:space="preserve">assumed </w:t>
      </w:r>
      <w:r w:rsidR="00F64970">
        <w:rPr>
          <w:rFonts w:cstheme="minorHAnsi"/>
        </w:rPr>
        <w:t xml:space="preserve">liabilities </w:t>
      </w:r>
      <w:r w:rsidR="004909C9">
        <w:rPr>
          <w:rFonts w:cstheme="minorHAnsi"/>
        </w:rPr>
        <w:t>under a loan agreement with Kaupthing Bank HF (“</w:t>
      </w:r>
      <w:r w:rsidR="004909C9" w:rsidRPr="004909C9">
        <w:rPr>
          <w:rFonts w:cstheme="minorHAnsi"/>
          <w:b/>
          <w:bCs/>
        </w:rPr>
        <w:t>Kaupthing</w:t>
      </w:r>
      <w:r w:rsidR="004909C9">
        <w:rPr>
          <w:rFonts w:cstheme="minorHAnsi"/>
        </w:rPr>
        <w:t xml:space="preserve">”) </w:t>
      </w:r>
      <w:r w:rsidR="006B1AEC">
        <w:rPr>
          <w:rFonts w:cstheme="minorHAnsi"/>
        </w:rPr>
        <w:t xml:space="preserve">totalling </w:t>
      </w:r>
      <w:r w:rsidR="004909C9">
        <w:rPr>
          <w:rFonts w:cstheme="minorHAnsi"/>
        </w:rPr>
        <w:t>approximately £100 million</w:t>
      </w:r>
      <w:r w:rsidR="008053E6">
        <w:rPr>
          <w:rFonts w:cstheme="minorHAnsi"/>
        </w:rPr>
        <w:t xml:space="preserve"> and further loans </w:t>
      </w:r>
      <w:r w:rsidR="004B1410">
        <w:rPr>
          <w:rFonts w:cstheme="minorHAnsi"/>
        </w:rPr>
        <w:t xml:space="preserve">due to two BVI companies, Glenalla Properties Ltd and Thorson Investment Limited </w:t>
      </w:r>
      <w:r w:rsidR="00A0306E">
        <w:rPr>
          <w:rFonts w:cstheme="minorHAnsi"/>
        </w:rPr>
        <w:t>(together the “</w:t>
      </w:r>
      <w:r w:rsidR="00A0306E" w:rsidRPr="00A0306E">
        <w:rPr>
          <w:rFonts w:cstheme="minorHAnsi"/>
          <w:b/>
          <w:bCs/>
        </w:rPr>
        <w:t>BVI Companies</w:t>
      </w:r>
      <w:r w:rsidR="00A0306E">
        <w:rPr>
          <w:rFonts w:cstheme="minorHAnsi"/>
        </w:rPr>
        <w:t>”)</w:t>
      </w:r>
      <w:r w:rsidR="004B1410">
        <w:rPr>
          <w:rFonts w:cstheme="minorHAnsi"/>
        </w:rPr>
        <w:t xml:space="preserve"> </w:t>
      </w:r>
      <w:r w:rsidR="006B1AEC">
        <w:rPr>
          <w:rFonts w:cstheme="minorHAnsi"/>
        </w:rPr>
        <w:t>totalling</w:t>
      </w:r>
      <w:r w:rsidR="004B1410">
        <w:rPr>
          <w:rFonts w:cstheme="minorHAnsi"/>
        </w:rPr>
        <w:t xml:space="preserve"> €78</w:t>
      </w:r>
      <w:r w:rsidR="008D2BEC">
        <w:rPr>
          <w:rFonts w:cstheme="minorHAnsi"/>
        </w:rPr>
        <w:t>.</w:t>
      </w:r>
      <w:r w:rsidR="004B1410">
        <w:rPr>
          <w:rFonts w:cstheme="minorHAnsi"/>
        </w:rPr>
        <w:t>825</w:t>
      </w:r>
      <w:r w:rsidR="008D2BEC">
        <w:rPr>
          <w:rFonts w:cstheme="minorHAnsi"/>
        </w:rPr>
        <w:t xml:space="preserve"> million </w:t>
      </w:r>
      <w:r w:rsidR="004B1410">
        <w:rPr>
          <w:rFonts w:cstheme="minorHAnsi"/>
        </w:rPr>
        <w:t>and £80</w:t>
      </w:r>
      <w:r w:rsidR="008D2BEC">
        <w:rPr>
          <w:rFonts w:cstheme="minorHAnsi"/>
        </w:rPr>
        <w:t>.</w:t>
      </w:r>
      <w:r w:rsidR="004B1410">
        <w:rPr>
          <w:rFonts w:cstheme="minorHAnsi"/>
        </w:rPr>
        <w:t>541</w:t>
      </w:r>
      <w:r w:rsidR="008D2BEC">
        <w:rPr>
          <w:rFonts w:cstheme="minorHAnsi"/>
        </w:rPr>
        <w:t xml:space="preserve"> million</w:t>
      </w:r>
      <w:r w:rsidR="004B1410">
        <w:rPr>
          <w:rFonts w:cstheme="minorHAnsi"/>
        </w:rPr>
        <w:t xml:space="preserve"> respectively. </w:t>
      </w:r>
    </w:p>
    <w:p w14:paraId="18CF0025" w14:textId="12049E53" w:rsidR="00661397" w:rsidRDefault="00FB094B" w:rsidP="001D0CCE">
      <w:pPr>
        <w:jc w:val="both"/>
        <w:rPr>
          <w:rFonts w:cstheme="minorHAnsi"/>
        </w:rPr>
      </w:pPr>
      <w:r>
        <w:rPr>
          <w:rFonts w:cstheme="minorHAnsi"/>
        </w:rPr>
        <w:t xml:space="preserve">In October 2018, the BVI Companies commenced proceedings </w:t>
      </w:r>
      <w:r w:rsidR="006F5836">
        <w:rPr>
          <w:rFonts w:cstheme="minorHAnsi"/>
        </w:rPr>
        <w:t>to identify and resolve the various claims against the assets of TDT</w:t>
      </w:r>
      <w:r w:rsidR="00451FF8">
        <w:rPr>
          <w:rFonts w:cstheme="minorHAnsi"/>
        </w:rPr>
        <w:t xml:space="preserve">. As part of a settlement with </w:t>
      </w:r>
      <w:r w:rsidR="00BA31C4">
        <w:rPr>
          <w:rFonts w:cstheme="minorHAnsi"/>
        </w:rPr>
        <w:t>Kaupthing, the then trustees of the TDT</w:t>
      </w:r>
      <w:r w:rsidR="00B22993">
        <w:rPr>
          <w:rFonts w:cstheme="minorHAnsi"/>
        </w:rPr>
        <w:t xml:space="preserve"> </w:t>
      </w:r>
      <w:r w:rsidR="00A337B6">
        <w:rPr>
          <w:rFonts w:cstheme="minorHAnsi"/>
        </w:rPr>
        <w:t xml:space="preserve">took an assignment of the (now) judgment debts due to the BVI Companies and </w:t>
      </w:r>
      <w:r w:rsidR="00DF7F6D">
        <w:rPr>
          <w:rFonts w:cstheme="minorHAnsi"/>
        </w:rPr>
        <w:t>submitted proofs of debt</w:t>
      </w:r>
      <w:r w:rsidR="00046E51">
        <w:rPr>
          <w:rFonts w:cstheme="minorHAnsi"/>
        </w:rPr>
        <w:t xml:space="preserve"> in respect</w:t>
      </w:r>
      <w:r w:rsidR="00E93830">
        <w:rPr>
          <w:rFonts w:cstheme="minorHAnsi"/>
        </w:rPr>
        <w:t xml:space="preserve"> of the judgment</w:t>
      </w:r>
      <w:r w:rsidR="00046E51">
        <w:rPr>
          <w:rFonts w:cstheme="minorHAnsi"/>
        </w:rPr>
        <w:t xml:space="preserve"> debts</w:t>
      </w:r>
      <w:r w:rsidR="00A337B6">
        <w:rPr>
          <w:rFonts w:cstheme="minorHAnsi"/>
        </w:rPr>
        <w:t xml:space="preserve">. </w:t>
      </w:r>
      <w:r w:rsidR="0015217A">
        <w:rPr>
          <w:rFonts w:cstheme="minorHAnsi"/>
        </w:rPr>
        <w:t xml:space="preserve">The TDT </w:t>
      </w:r>
      <w:r w:rsidR="0054205B">
        <w:rPr>
          <w:rFonts w:cstheme="minorHAnsi"/>
        </w:rPr>
        <w:t>did not have sufficient assets to satisfy the claims against it</w:t>
      </w:r>
      <w:r w:rsidR="00661397">
        <w:rPr>
          <w:rFonts w:cstheme="minorHAnsi"/>
        </w:rPr>
        <w:t xml:space="preserve">, giving rise to a trial before the Royal Court. </w:t>
      </w:r>
    </w:p>
    <w:p w14:paraId="7A3B757A" w14:textId="094FC349" w:rsidR="00FB094B" w:rsidRPr="007C12D2" w:rsidRDefault="004C7EFC" w:rsidP="001D0CCE">
      <w:pPr>
        <w:jc w:val="both"/>
        <w:rPr>
          <w:rFonts w:cstheme="minorHAnsi"/>
        </w:rPr>
      </w:pPr>
      <w:r>
        <w:rPr>
          <w:rFonts w:cstheme="minorHAnsi"/>
        </w:rPr>
        <w:t xml:space="preserve">The Royal Court </w:t>
      </w:r>
      <w:r w:rsidR="00661397">
        <w:rPr>
          <w:rFonts w:cstheme="minorHAnsi"/>
        </w:rPr>
        <w:t xml:space="preserve">held </w:t>
      </w:r>
      <w:r>
        <w:rPr>
          <w:rFonts w:cstheme="minorHAnsi"/>
        </w:rPr>
        <w:t xml:space="preserve">that </w:t>
      </w:r>
      <w:r w:rsidR="00734F0A">
        <w:rPr>
          <w:rFonts w:cstheme="minorHAnsi"/>
        </w:rPr>
        <w:t xml:space="preserve">the claims of a former trustee </w:t>
      </w:r>
      <w:r w:rsidR="00BE6A33">
        <w:rPr>
          <w:rFonts w:cstheme="minorHAnsi"/>
        </w:rPr>
        <w:t>and its trust creditors had priority over those of successor trustee</w:t>
      </w:r>
      <w:r w:rsidR="009060E7">
        <w:rPr>
          <w:rFonts w:cstheme="minorHAnsi"/>
        </w:rPr>
        <w:t>s</w:t>
      </w:r>
      <w:r w:rsidR="00BE6A33">
        <w:rPr>
          <w:rFonts w:cstheme="minorHAnsi"/>
        </w:rPr>
        <w:t xml:space="preserve"> </w:t>
      </w:r>
      <w:r w:rsidR="00AD5FA7">
        <w:rPr>
          <w:rFonts w:cstheme="minorHAnsi"/>
        </w:rPr>
        <w:t xml:space="preserve">and that trustee claims had priority over </w:t>
      </w:r>
      <w:r w:rsidR="00102A26">
        <w:rPr>
          <w:rFonts w:cstheme="minorHAnsi"/>
        </w:rPr>
        <w:t xml:space="preserve">creditors claiming through them as subrogated to their lien. </w:t>
      </w:r>
      <w:r w:rsidR="00661397">
        <w:rPr>
          <w:rFonts w:cstheme="minorHAnsi"/>
        </w:rPr>
        <w:t>This</w:t>
      </w:r>
      <w:r w:rsidR="00102A26">
        <w:rPr>
          <w:rFonts w:cstheme="minorHAnsi"/>
        </w:rPr>
        <w:t xml:space="preserve"> was upheld by the Guernsey Court of Appeal. </w:t>
      </w:r>
    </w:p>
    <w:p w14:paraId="3E80C437" w14:textId="31BDD366" w:rsidR="00FF1D53" w:rsidRDefault="00D42F25" w:rsidP="00AD5664">
      <w:pPr>
        <w:pStyle w:val="SectionHeading"/>
      </w:pPr>
      <w:r>
        <w:t>Judgment</w:t>
      </w:r>
    </w:p>
    <w:p w14:paraId="7C8F6B35" w14:textId="2CB20F9B" w:rsidR="00182DBE" w:rsidRDefault="00182DBE" w:rsidP="008C047B">
      <w:pPr>
        <w:spacing w:after="240"/>
        <w:jc w:val="both"/>
        <w:rPr>
          <w:rFonts w:cstheme="minorHAnsi"/>
        </w:rPr>
      </w:pPr>
      <w:r>
        <w:rPr>
          <w:rFonts w:cstheme="minorHAnsi"/>
        </w:rPr>
        <w:t>There</w:t>
      </w:r>
      <w:r w:rsidR="0076452E">
        <w:rPr>
          <w:rFonts w:cstheme="minorHAnsi"/>
        </w:rPr>
        <w:t xml:space="preserve"> were four issues in the two appeals, as described more fully below. </w:t>
      </w:r>
      <w:r w:rsidR="004C090E">
        <w:rPr>
          <w:rFonts w:cstheme="minorHAnsi"/>
        </w:rPr>
        <w:t xml:space="preserve">Lord Reed gives a brief judgment which acts as a guide to the other judgments. </w:t>
      </w:r>
      <w:r w:rsidR="00EB71FD">
        <w:rPr>
          <w:rFonts w:cstheme="minorHAnsi"/>
        </w:rPr>
        <w:t xml:space="preserve">Lord Richards and Sir Nicholas Patten give the </w:t>
      </w:r>
      <w:r w:rsidR="00DC7BCA">
        <w:rPr>
          <w:rFonts w:cstheme="minorHAnsi"/>
        </w:rPr>
        <w:t>only</w:t>
      </w:r>
      <w:r w:rsidR="00EB71FD">
        <w:rPr>
          <w:rFonts w:cstheme="minorHAnsi"/>
        </w:rPr>
        <w:t xml:space="preserve"> judgment on the first, second and fourth issues</w:t>
      </w:r>
      <w:r w:rsidR="004A571F">
        <w:rPr>
          <w:rFonts w:cstheme="minorHAnsi"/>
        </w:rPr>
        <w:t>, with which all members of the Board agree</w:t>
      </w:r>
      <w:r w:rsidR="009F25F6">
        <w:rPr>
          <w:rFonts w:cstheme="minorHAnsi"/>
        </w:rPr>
        <w:t xml:space="preserve">. </w:t>
      </w:r>
      <w:r w:rsidR="00712B0D">
        <w:rPr>
          <w:rFonts w:cstheme="minorHAnsi"/>
        </w:rPr>
        <w:t xml:space="preserve">Lord Briggs gives the lead judgment on the third issue, </w:t>
      </w:r>
      <w:r w:rsidR="002E103E" w:rsidRPr="002E103E">
        <w:rPr>
          <w:rFonts w:cstheme="minorHAnsi"/>
        </w:rPr>
        <w:t>with wh</w:t>
      </w:r>
      <w:r w:rsidR="004A571F">
        <w:rPr>
          <w:rFonts w:cstheme="minorHAnsi"/>
        </w:rPr>
        <w:t>ich</w:t>
      </w:r>
      <w:r w:rsidR="002E103E" w:rsidRPr="002E103E">
        <w:rPr>
          <w:rFonts w:cstheme="minorHAnsi"/>
        </w:rPr>
        <w:t xml:space="preserve"> Lord Reed and Lady Rose agree</w:t>
      </w:r>
      <w:r w:rsidR="00FE149A">
        <w:rPr>
          <w:rFonts w:cstheme="minorHAnsi"/>
        </w:rPr>
        <w:t xml:space="preserve"> and Lady Arden agrees in part</w:t>
      </w:r>
      <w:r w:rsidR="004A571F">
        <w:rPr>
          <w:rFonts w:cstheme="minorHAnsi"/>
        </w:rPr>
        <w:t>.</w:t>
      </w:r>
      <w:r w:rsidR="002E103E" w:rsidRPr="002E103E">
        <w:rPr>
          <w:rFonts w:cstheme="minorHAnsi"/>
        </w:rPr>
        <w:t xml:space="preserve"> Lady Arden </w:t>
      </w:r>
      <w:r w:rsidR="004A571F">
        <w:rPr>
          <w:rFonts w:cstheme="minorHAnsi"/>
        </w:rPr>
        <w:t>gives a concurring judgment on this issue</w:t>
      </w:r>
      <w:r w:rsidR="00AC6E9D">
        <w:rPr>
          <w:rFonts w:cstheme="minorHAnsi"/>
        </w:rPr>
        <w:t>. Lord Richards and Sir Nicholas Patten give a dissenting judgment on th</w:t>
      </w:r>
      <w:r w:rsidR="0019322C">
        <w:rPr>
          <w:rFonts w:cstheme="minorHAnsi"/>
        </w:rPr>
        <w:t>e third</w:t>
      </w:r>
      <w:r w:rsidR="00AC6E9D">
        <w:rPr>
          <w:rFonts w:cstheme="minorHAnsi"/>
        </w:rPr>
        <w:t xml:space="preserve"> issue</w:t>
      </w:r>
      <w:r w:rsidR="00490933">
        <w:rPr>
          <w:rFonts w:cstheme="minorHAnsi"/>
        </w:rPr>
        <w:t xml:space="preserve"> with which Lord Stephens agrees</w:t>
      </w:r>
      <w:r w:rsidR="00AC6E9D">
        <w:rPr>
          <w:rFonts w:cstheme="minorHAnsi"/>
        </w:rPr>
        <w:t xml:space="preserve">. </w:t>
      </w:r>
    </w:p>
    <w:p w14:paraId="28A2F20D" w14:textId="5CB1ABDA" w:rsidR="00365D6E" w:rsidRDefault="00D42F25" w:rsidP="006513B0">
      <w:pPr>
        <w:pStyle w:val="SectionHeading"/>
      </w:pPr>
      <w:r>
        <w:t>Reasons for the Judgment</w:t>
      </w:r>
    </w:p>
    <w:p w14:paraId="6E359B25" w14:textId="014FC61D" w:rsidR="0092605D" w:rsidRPr="004D4955" w:rsidRDefault="0092605D" w:rsidP="0092605D">
      <w:pPr>
        <w:rPr>
          <w:b/>
          <w:bCs/>
          <w:i/>
          <w:iCs/>
          <w:lang w:eastAsia="en-GB"/>
        </w:rPr>
      </w:pPr>
      <w:r w:rsidRPr="004D4955">
        <w:rPr>
          <w:b/>
          <w:bCs/>
          <w:i/>
          <w:iCs/>
          <w:lang w:eastAsia="en-GB"/>
        </w:rPr>
        <w:t>Issue One</w:t>
      </w:r>
      <w:r w:rsidR="008A185F">
        <w:rPr>
          <w:b/>
          <w:bCs/>
          <w:i/>
          <w:iCs/>
          <w:lang w:eastAsia="en-GB"/>
        </w:rPr>
        <w:t xml:space="preserve">: </w:t>
      </w:r>
      <w:r w:rsidR="009A48C2">
        <w:rPr>
          <w:b/>
          <w:bCs/>
          <w:i/>
          <w:iCs/>
          <w:lang w:eastAsia="en-GB"/>
        </w:rPr>
        <w:t>does the right of indemnity confer on the trustee a</w:t>
      </w:r>
      <w:r w:rsidR="001B3937">
        <w:rPr>
          <w:b/>
          <w:bCs/>
          <w:i/>
          <w:iCs/>
          <w:lang w:eastAsia="en-GB"/>
        </w:rPr>
        <w:t xml:space="preserve"> </w:t>
      </w:r>
      <w:r w:rsidR="008A185F">
        <w:rPr>
          <w:b/>
          <w:bCs/>
          <w:i/>
          <w:iCs/>
          <w:lang w:eastAsia="en-GB"/>
        </w:rPr>
        <w:t xml:space="preserve">proprietary </w:t>
      </w:r>
      <w:r w:rsidR="001B3937">
        <w:rPr>
          <w:b/>
          <w:bCs/>
          <w:i/>
          <w:iCs/>
          <w:lang w:eastAsia="en-GB"/>
        </w:rPr>
        <w:t>interest in the trust assets rather than being merely possessory?</w:t>
      </w:r>
    </w:p>
    <w:p w14:paraId="0824A6FC" w14:textId="20A5E1F2" w:rsidR="00D1572A" w:rsidRDefault="006D347C" w:rsidP="00CE0C16">
      <w:pPr>
        <w:jc w:val="both"/>
        <w:rPr>
          <w:lang w:eastAsia="en-GB"/>
        </w:rPr>
      </w:pPr>
      <w:r>
        <w:rPr>
          <w:lang w:eastAsia="en-GB"/>
        </w:rPr>
        <w:t>T</w:t>
      </w:r>
      <w:r w:rsidR="00FC4FB3" w:rsidRPr="009A48C2">
        <w:rPr>
          <w:lang w:eastAsia="en-GB"/>
        </w:rPr>
        <w:t>he Board unanimously h</w:t>
      </w:r>
      <w:r w:rsidR="006D3C90">
        <w:rPr>
          <w:lang w:eastAsia="en-GB"/>
        </w:rPr>
        <w:t>olds</w:t>
      </w:r>
      <w:r w:rsidR="00FC4FB3" w:rsidRPr="009A48C2">
        <w:rPr>
          <w:lang w:eastAsia="en-GB"/>
        </w:rPr>
        <w:t xml:space="preserve"> that </w:t>
      </w:r>
      <w:r w:rsidR="003E48D8">
        <w:rPr>
          <w:lang w:eastAsia="en-GB"/>
        </w:rPr>
        <w:t xml:space="preserve">the </w:t>
      </w:r>
      <w:r w:rsidR="00FC4FB3" w:rsidRPr="009A48C2">
        <w:rPr>
          <w:lang w:eastAsia="en-GB"/>
        </w:rPr>
        <w:t xml:space="preserve">right of indemnity confers on the trustee a proprietary (rather than merely possessory) interest in the trust </w:t>
      </w:r>
      <w:r w:rsidR="00FC4FB3" w:rsidRPr="00C000CF">
        <w:rPr>
          <w:szCs w:val="24"/>
          <w:lang w:eastAsia="en-GB"/>
        </w:rPr>
        <w:t>assets</w:t>
      </w:r>
      <w:r w:rsidR="00FE149A" w:rsidRPr="00C000CF">
        <w:rPr>
          <w:szCs w:val="24"/>
          <w:lang w:eastAsia="en-GB"/>
        </w:rPr>
        <w:t xml:space="preserve"> </w:t>
      </w:r>
      <w:r w:rsidR="00FE149A" w:rsidRPr="0063411A">
        <w:rPr>
          <w:b/>
          <w:bCs/>
          <w:szCs w:val="24"/>
          <w:lang w:eastAsia="en-GB"/>
        </w:rPr>
        <w:t>[4]</w:t>
      </w:r>
      <w:r w:rsidR="00FE149A" w:rsidRPr="0063411A">
        <w:rPr>
          <w:szCs w:val="24"/>
          <w:lang w:eastAsia="en-GB"/>
        </w:rPr>
        <w:t>,</w:t>
      </w:r>
      <w:r w:rsidR="004A1BD4" w:rsidRPr="00C000CF">
        <w:rPr>
          <w:szCs w:val="24"/>
          <w:lang w:eastAsia="en-GB"/>
        </w:rPr>
        <w:t xml:space="preserve"> </w:t>
      </w:r>
      <w:r w:rsidR="004A1BD4" w:rsidRPr="00C000CF">
        <w:rPr>
          <w:b/>
          <w:bCs/>
          <w:szCs w:val="24"/>
          <w:lang w:eastAsia="en-GB"/>
        </w:rPr>
        <w:t>[105]</w:t>
      </w:r>
      <w:r w:rsidR="00FE149A" w:rsidRPr="0063411A">
        <w:rPr>
          <w:szCs w:val="24"/>
          <w:lang w:eastAsia="en-GB"/>
        </w:rPr>
        <w:t>,</w:t>
      </w:r>
      <w:r w:rsidR="00FE149A">
        <w:rPr>
          <w:b/>
          <w:bCs/>
          <w:lang w:eastAsia="en-GB"/>
        </w:rPr>
        <w:t xml:space="preserve"> [238]</w:t>
      </w:r>
      <w:r w:rsidR="00FE149A" w:rsidRPr="0063411A">
        <w:rPr>
          <w:lang w:eastAsia="en-GB"/>
        </w:rPr>
        <w:t>,</w:t>
      </w:r>
      <w:r w:rsidR="00FE149A">
        <w:rPr>
          <w:b/>
          <w:bCs/>
          <w:lang w:eastAsia="en-GB"/>
        </w:rPr>
        <w:t xml:space="preserve"> [279]</w:t>
      </w:r>
      <w:r w:rsidR="004A1BD4" w:rsidRPr="009A48C2">
        <w:rPr>
          <w:lang w:eastAsia="en-GB"/>
        </w:rPr>
        <w:t xml:space="preserve">. </w:t>
      </w:r>
    </w:p>
    <w:p w14:paraId="40AD50F8" w14:textId="60FC1F40" w:rsidR="00DF1363" w:rsidRPr="004A1BD4" w:rsidRDefault="00B71570" w:rsidP="00CE0C16">
      <w:pPr>
        <w:jc w:val="both"/>
        <w:rPr>
          <w:lang w:eastAsia="en-GB"/>
        </w:rPr>
      </w:pPr>
      <w:r>
        <w:rPr>
          <w:szCs w:val="24"/>
          <w:lang w:eastAsia="en-GB"/>
        </w:rPr>
        <w:t>A</w:t>
      </w:r>
      <w:r w:rsidR="00DC7036" w:rsidRPr="004D4955">
        <w:rPr>
          <w:szCs w:val="24"/>
          <w:lang w:eastAsia="en-GB"/>
        </w:rPr>
        <w:t xml:space="preserve"> trustees’ </w:t>
      </w:r>
      <w:r w:rsidR="002B6365">
        <w:rPr>
          <w:szCs w:val="24"/>
          <w:lang w:eastAsia="en-GB"/>
        </w:rPr>
        <w:t>right of indemnity</w:t>
      </w:r>
      <w:r w:rsidR="00DC7036" w:rsidRPr="004D4955">
        <w:rPr>
          <w:szCs w:val="24"/>
          <w:lang w:eastAsia="en-GB"/>
        </w:rPr>
        <w:t xml:space="preserve"> is an equitable lien which is not </w:t>
      </w:r>
      <w:r w:rsidR="0030459D" w:rsidRPr="004D4955">
        <w:rPr>
          <w:szCs w:val="24"/>
          <w:lang w:eastAsia="en-GB"/>
        </w:rPr>
        <w:t>dependent</w:t>
      </w:r>
      <w:r w:rsidR="00DC7036" w:rsidRPr="004D4955">
        <w:rPr>
          <w:szCs w:val="24"/>
          <w:lang w:eastAsia="en-GB"/>
        </w:rPr>
        <w:t xml:space="preserve"> upon possession but </w:t>
      </w:r>
      <w:r w:rsidR="0054769E" w:rsidRPr="0054769E">
        <w:rPr>
          <w:szCs w:val="24"/>
          <w:lang w:eastAsia="en-GB"/>
        </w:rPr>
        <w:t>arises</w:t>
      </w:r>
      <w:r w:rsidR="00DC7036" w:rsidRPr="004D4955">
        <w:rPr>
          <w:szCs w:val="24"/>
          <w:lang w:eastAsia="en-GB"/>
        </w:rPr>
        <w:t xml:space="preserve"> by operation of law </w:t>
      </w:r>
      <w:r w:rsidR="006E3329" w:rsidRPr="004D4955">
        <w:rPr>
          <w:b/>
          <w:bCs/>
          <w:szCs w:val="24"/>
          <w:lang w:eastAsia="en-GB"/>
        </w:rPr>
        <w:t>[94]</w:t>
      </w:r>
      <w:r w:rsidR="009D719A" w:rsidRPr="004D4955">
        <w:rPr>
          <w:szCs w:val="24"/>
          <w:lang w:eastAsia="en-GB"/>
        </w:rPr>
        <w:t xml:space="preserve">. Such an approach </w:t>
      </w:r>
      <w:r w:rsidR="00D1572A">
        <w:rPr>
          <w:szCs w:val="24"/>
          <w:lang w:eastAsia="en-GB"/>
        </w:rPr>
        <w:t>is</w:t>
      </w:r>
      <w:r w:rsidR="009D719A" w:rsidRPr="004D4955">
        <w:rPr>
          <w:szCs w:val="24"/>
          <w:lang w:eastAsia="en-GB"/>
        </w:rPr>
        <w:t xml:space="preserve"> consistent with</w:t>
      </w:r>
      <w:r w:rsidR="003A22E8" w:rsidRPr="004D4955">
        <w:rPr>
          <w:szCs w:val="24"/>
          <w:lang w:eastAsia="en-GB"/>
        </w:rPr>
        <w:t xml:space="preserve"> English</w:t>
      </w:r>
      <w:r w:rsidR="00F33A29">
        <w:rPr>
          <w:szCs w:val="24"/>
          <w:lang w:eastAsia="en-GB"/>
        </w:rPr>
        <w:t xml:space="preserve"> authorit</w:t>
      </w:r>
      <w:r w:rsidR="00396CBE">
        <w:rPr>
          <w:szCs w:val="24"/>
          <w:lang w:eastAsia="en-GB"/>
        </w:rPr>
        <w:t>ies</w:t>
      </w:r>
      <w:r w:rsidR="00B427A0">
        <w:rPr>
          <w:szCs w:val="24"/>
          <w:lang w:eastAsia="en-GB"/>
        </w:rPr>
        <w:t xml:space="preserve"> which ha</w:t>
      </w:r>
      <w:r w:rsidR="00396CBE">
        <w:rPr>
          <w:szCs w:val="24"/>
          <w:lang w:eastAsia="en-GB"/>
        </w:rPr>
        <w:t>ve</w:t>
      </w:r>
      <w:r w:rsidR="00B427A0">
        <w:rPr>
          <w:szCs w:val="24"/>
          <w:lang w:eastAsia="en-GB"/>
        </w:rPr>
        <w:t xml:space="preserve"> treated the right of indemnity as a </w:t>
      </w:r>
      <w:r w:rsidR="00114D1F">
        <w:rPr>
          <w:szCs w:val="24"/>
          <w:lang w:eastAsia="en-GB"/>
        </w:rPr>
        <w:t xml:space="preserve">charge or lien on the trust assets </w:t>
      </w:r>
      <w:r w:rsidR="006618D2">
        <w:rPr>
          <w:b/>
          <w:bCs/>
          <w:szCs w:val="24"/>
          <w:lang w:eastAsia="en-GB"/>
        </w:rPr>
        <w:t xml:space="preserve">[71]-[94] </w:t>
      </w:r>
      <w:r w:rsidR="006618D2">
        <w:rPr>
          <w:szCs w:val="24"/>
          <w:lang w:eastAsia="en-GB"/>
        </w:rPr>
        <w:t xml:space="preserve">and with </w:t>
      </w:r>
      <w:r w:rsidR="006618D2">
        <w:rPr>
          <w:szCs w:val="24"/>
          <w:lang w:eastAsia="en-GB"/>
        </w:rPr>
        <w:lastRenderedPageBreak/>
        <w:t>Australian authorit</w:t>
      </w:r>
      <w:r w:rsidR="00396CBE">
        <w:rPr>
          <w:szCs w:val="24"/>
          <w:lang w:eastAsia="en-GB"/>
        </w:rPr>
        <w:t>ies</w:t>
      </w:r>
      <w:r w:rsidR="00366E80">
        <w:rPr>
          <w:szCs w:val="24"/>
          <w:lang w:eastAsia="en-GB"/>
        </w:rPr>
        <w:t xml:space="preserve"> which ha</w:t>
      </w:r>
      <w:r w:rsidR="009E0ADF">
        <w:rPr>
          <w:szCs w:val="24"/>
          <w:lang w:eastAsia="en-GB"/>
        </w:rPr>
        <w:t>ve</w:t>
      </w:r>
      <w:r w:rsidR="00366E80">
        <w:rPr>
          <w:szCs w:val="24"/>
          <w:lang w:eastAsia="en-GB"/>
        </w:rPr>
        <w:t xml:space="preserve"> explicitly held that the trustee</w:t>
      </w:r>
      <w:r w:rsidR="00BC11B0">
        <w:rPr>
          <w:szCs w:val="24"/>
          <w:lang w:eastAsia="en-GB"/>
        </w:rPr>
        <w:t>’s</w:t>
      </w:r>
      <w:r w:rsidR="00366E80">
        <w:rPr>
          <w:szCs w:val="24"/>
          <w:lang w:eastAsia="en-GB"/>
        </w:rPr>
        <w:t xml:space="preserve"> right </w:t>
      </w:r>
      <w:r w:rsidR="00664F04">
        <w:rPr>
          <w:szCs w:val="24"/>
          <w:lang w:eastAsia="en-GB"/>
        </w:rPr>
        <w:t>creates a proprietary interest</w:t>
      </w:r>
      <w:r w:rsidR="003E675D">
        <w:rPr>
          <w:szCs w:val="24"/>
          <w:lang w:eastAsia="en-GB"/>
        </w:rPr>
        <w:t xml:space="preserve"> in the trust assets </w:t>
      </w:r>
      <w:r w:rsidR="003E675D">
        <w:rPr>
          <w:b/>
          <w:bCs/>
          <w:szCs w:val="24"/>
          <w:lang w:eastAsia="en-GB"/>
        </w:rPr>
        <w:t>[95]-[97]</w:t>
      </w:r>
      <w:r w:rsidR="00D61690">
        <w:rPr>
          <w:b/>
          <w:bCs/>
          <w:szCs w:val="24"/>
          <w:lang w:eastAsia="en-GB"/>
        </w:rPr>
        <w:t>.</w:t>
      </w:r>
      <w:r w:rsidR="003A22E8" w:rsidRPr="004D4955">
        <w:rPr>
          <w:szCs w:val="24"/>
          <w:lang w:eastAsia="en-GB"/>
        </w:rPr>
        <w:t xml:space="preserve"> </w:t>
      </w:r>
    </w:p>
    <w:p w14:paraId="451DB2D2" w14:textId="5A497748" w:rsidR="0081705C" w:rsidRPr="004D4955" w:rsidRDefault="0081705C" w:rsidP="00CE0C16">
      <w:pPr>
        <w:jc w:val="both"/>
        <w:rPr>
          <w:b/>
          <w:bCs/>
          <w:i/>
          <w:iCs/>
          <w:szCs w:val="24"/>
          <w:lang w:eastAsia="en-GB"/>
        </w:rPr>
      </w:pPr>
      <w:r w:rsidRPr="004D4955">
        <w:rPr>
          <w:b/>
          <w:bCs/>
          <w:i/>
          <w:iCs/>
          <w:szCs w:val="24"/>
          <w:lang w:eastAsia="en-GB"/>
        </w:rPr>
        <w:t>Issue Two</w:t>
      </w:r>
      <w:r w:rsidR="001B3937">
        <w:rPr>
          <w:b/>
          <w:bCs/>
          <w:i/>
          <w:iCs/>
          <w:szCs w:val="24"/>
          <w:lang w:eastAsia="en-GB"/>
        </w:rPr>
        <w:t>:</w:t>
      </w:r>
      <w:r w:rsidRPr="004D4955">
        <w:rPr>
          <w:b/>
          <w:bCs/>
          <w:i/>
          <w:iCs/>
          <w:szCs w:val="24"/>
          <w:lang w:eastAsia="en-GB"/>
        </w:rPr>
        <w:t xml:space="preserve"> </w:t>
      </w:r>
      <w:r w:rsidR="001B3937" w:rsidRPr="001B3937">
        <w:rPr>
          <w:b/>
          <w:bCs/>
          <w:i/>
          <w:iCs/>
          <w:szCs w:val="24"/>
          <w:lang w:eastAsia="en-GB"/>
        </w:rPr>
        <w:t>does the proprietary interest of a trustee survive the transfer of the trust assets to a successor trustee?</w:t>
      </w:r>
    </w:p>
    <w:p w14:paraId="77F7667E" w14:textId="7B5814F6" w:rsidR="006D347C" w:rsidRPr="007D76D2" w:rsidRDefault="006D347C" w:rsidP="00CE0C16">
      <w:pPr>
        <w:jc w:val="both"/>
        <w:rPr>
          <w:szCs w:val="24"/>
          <w:lang w:eastAsia="en-GB"/>
        </w:rPr>
      </w:pPr>
      <w:r>
        <w:rPr>
          <w:szCs w:val="24"/>
          <w:lang w:eastAsia="en-GB"/>
        </w:rPr>
        <w:t>The Board unanimously h</w:t>
      </w:r>
      <w:r w:rsidR="00AA64DF">
        <w:rPr>
          <w:szCs w:val="24"/>
          <w:lang w:eastAsia="en-GB"/>
        </w:rPr>
        <w:t>olds</w:t>
      </w:r>
      <w:r>
        <w:rPr>
          <w:szCs w:val="24"/>
          <w:lang w:eastAsia="en-GB"/>
        </w:rPr>
        <w:t xml:space="preserve"> that the proprietary interest of a trustee </w:t>
      </w:r>
      <w:r w:rsidR="000E5B38">
        <w:rPr>
          <w:szCs w:val="24"/>
          <w:lang w:eastAsia="en-GB"/>
        </w:rPr>
        <w:t>survives</w:t>
      </w:r>
      <w:r w:rsidR="007D76D2">
        <w:rPr>
          <w:szCs w:val="24"/>
          <w:lang w:eastAsia="en-GB"/>
        </w:rPr>
        <w:t xml:space="preserve"> the transfer </w:t>
      </w:r>
      <w:r w:rsidR="00184344">
        <w:rPr>
          <w:szCs w:val="24"/>
          <w:lang w:eastAsia="en-GB"/>
        </w:rPr>
        <w:t xml:space="preserve">of the trust assets </w:t>
      </w:r>
      <w:r w:rsidR="007D76D2">
        <w:rPr>
          <w:szCs w:val="24"/>
          <w:lang w:eastAsia="en-GB"/>
        </w:rPr>
        <w:t>to a successor trustee</w:t>
      </w:r>
      <w:r w:rsidR="00FE149A">
        <w:rPr>
          <w:szCs w:val="24"/>
          <w:lang w:eastAsia="en-GB"/>
        </w:rPr>
        <w:t xml:space="preserve"> </w:t>
      </w:r>
      <w:r w:rsidR="00FE149A">
        <w:rPr>
          <w:b/>
          <w:bCs/>
          <w:szCs w:val="24"/>
          <w:lang w:eastAsia="en-GB"/>
        </w:rPr>
        <w:t>[4]</w:t>
      </w:r>
      <w:r w:rsidR="00FE149A">
        <w:rPr>
          <w:szCs w:val="24"/>
          <w:lang w:eastAsia="en-GB"/>
        </w:rPr>
        <w:t>,</w:t>
      </w:r>
      <w:r w:rsidR="007D76D2">
        <w:rPr>
          <w:szCs w:val="24"/>
          <w:lang w:eastAsia="en-GB"/>
        </w:rPr>
        <w:t xml:space="preserve"> </w:t>
      </w:r>
      <w:r w:rsidR="007D76D2">
        <w:rPr>
          <w:b/>
          <w:bCs/>
          <w:szCs w:val="24"/>
          <w:lang w:eastAsia="en-GB"/>
        </w:rPr>
        <w:t>[166]</w:t>
      </w:r>
      <w:r w:rsidR="00FE149A">
        <w:rPr>
          <w:b/>
          <w:bCs/>
          <w:szCs w:val="24"/>
          <w:lang w:eastAsia="en-GB"/>
        </w:rPr>
        <w:t>, [238]</w:t>
      </w:r>
      <w:r w:rsidR="00FE149A">
        <w:rPr>
          <w:szCs w:val="24"/>
          <w:lang w:eastAsia="en-GB"/>
        </w:rPr>
        <w:t xml:space="preserve">, </w:t>
      </w:r>
      <w:r w:rsidR="00FE149A">
        <w:rPr>
          <w:b/>
          <w:bCs/>
          <w:szCs w:val="24"/>
          <w:lang w:eastAsia="en-GB"/>
        </w:rPr>
        <w:t>[279]</w:t>
      </w:r>
      <w:r w:rsidR="007D76D2">
        <w:rPr>
          <w:szCs w:val="24"/>
          <w:lang w:eastAsia="en-GB"/>
        </w:rPr>
        <w:t xml:space="preserve">. </w:t>
      </w:r>
    </w:p>
    <w:p w14:paraId="58B49F5A" w14:textId="4669E0CF" w:rsidR="00B2549B" w:rsidRPr="000A6DDA" w:rsidRDefault="00266D8E" w:rsidP="00CE0C16">
      <w:pPr>
        <w:jc w:val="both"/>
        <w:rPr>
          <w:lang w:eastAsia="en-GB"/>
        </w:rPr>
      </w:pPr>
      <w:r>
        <w:rPr>
          <w:szCs w:val="24"/>
          <w:lang w:eastAsia="en-GB"/>
        </w:rPr>
        <w:t>As</w:t>
      </w:r>
      <w:r w:rsidR="000D74BD" w:rsidRPr="001D3BCC">
        <w:rPr>
          <w:szCs w:val="24"/>
          <w:lang w:eastAsia="en-GB"/>
        </w:rPr>
        <w:t xml:space="preserve"> the indemnity create</w:t>
      </w:r>
      <w:r>
        <w:rPr>
          <w:szCs w:val="24"/>
          <w:lang w:eastAsia="en-GB"/>
        </w:rPr>
        <w:t>s</w:t>
      </w:r>
      <w:r w:rsidR="000D74BD" w:rsidRPr="001D3BCC">
        <w:rPr>
          <w:szCs w:val="24"/>
          <w:lang w:eastAsia="en-GB"/>
        </w:rPr>
        <w:t xml:space="preserve"> a proprietary </w:t>
      </w:r>
      <w:r w:rsidR="008F4935">
        <w:rPr>
          <w:szCs w:val="24"/>
          <w:lang w:eastAsia="en-GB"/>
        </w:rPr>
        <w:t>interest in the trust assets</w:t>
      </w:r>
      <w:r w:rsidR="000D74BD" w:rsidRPr="001D3BCC">
        <w:rPr>
          <w:szCs w:val="24"/>
          <w:lang w:eastAsia="en-GB"/>
        </w:rPr>
        <w:t xml:space="preserve">, it would be </w:t>
      </w:r>
      <w:r w:rsidR="008F4935">
        <w:rPr>
          <w:szCs w:val="24"/>
          <w:lang w:eastAsia="en-GB"/>
        </w:rPr>
        <w:t>contrary to</w:t>
      </w:r>
      <w:r w:rsidR="00E60B7B">
        <w:rPr>
          <w:szCs w:val="24"/>
          <w:lang w:eastAsia="en-GB"/>
        </w:rPr>
        <w:t xml:space="preserve"> </w:t>
      </w:r>
      <w:r w:rsidR="000D74BD" w:rsidRPr="001D3BCC">
        <w:rPr>
          <w:szCs w:val="24"/>
          <w:lang w:eastAsia="en-GB"/>
        </w:rPr>
        <w:t xml:space="preserve">ordinary equitable principles </w:t>
      </w:r>
      <w:r w:rsidR="000D74BD">
        <w:rPr>
          <w:lang w:eastAsia="en-GB"/>
        </w:rPr>
        <w:t>if it automatically ceased to exist when the trustee parted wi</w:t>
      </w:r>
      <w:r w:rsidR="00026679">
        <w:rPr>
          <w:lang w:eastAsia="en-GB"/>
        </w:rPr>
        <w:t xml:space="preserve">th legal title </w:t>
      </w:r>
      <w:r w:rsidR="00CA19A5">
        <w:rPr>
          <w:lang w:eastAsia="en-GB"/>
        </w:rPr>
        <w:t xml:space="preserve">to </w:t>
      </w:r>
      <w:r w:rsidR="00026679">
        <w:rPr>
          <w:lang w:eastAsia="en-GB"/>
        </w:rPr>
        <w:t xml:space="preserve">and/or possession </w:t>
      </w:r>
      <w:r w:rsidR="00CA19A5">
        <w:rPr>
          <w:lang w:eastAsia="en-GB"/>
        </w:rPr>
        <w:t>of</w:t>
      </w:r>
      <w:r w:rsidR="00026679">
        <w:rPr>
          <w:lang w:eastAsia="en-GB"/>
        </w:rPr>
        <w:t xml:space="preserve"> the trust property</w:t>
      </w:r>
      <w:r w:rsidR="006108EF">
        <w:rPr>
          <w:lang w:eastAsia="en-GB"/>
        </w:rPr>
        <w:t xml:space="preserve"> </w:t>
      </w:r>
      <w:r w:rsidR="006108EF">
        <w:rPr>
          <w:b/>
          <w:bCs/>
          <w:lang w:eastAsia="en-GB"/>
        </w:rPr>
        <w:t>[106]-[115]</w:t>
      </w:r>
      <w:r w:rsidR="006E6D81">
        <w:rPr>
          <w:b/>
          <w:bCs/>
          <w:lang w:eastAsia="en-GB"/>
        </w:rPr>
        <w:t>.</w:t>
      </w:r>
      <w:r w:rsidR="00026679">
        <w:rPr>
          <w:lang w:eastAsia="en-GB"/>
        </w:rPr>
        <w:t xml:space="preserve"> </w:t>
      </w:r>
      <w:r w:rsidR="001C71B0">
        <w:rPr>
          <w:lang w:eastAsia="en-GB"/>
        </w:rPr>
        <w:t>Th</w:t>
      </w:r>
      <w:r w:rsidR="00AA64DF">
        <w:rPr>
          <w:lang w:eastAsia="en-GB"/>
        </w:rPr>
        <w:t>is position</w:t>
      </w:r>
      <w:r w:rsidR="001C71B0">
        <w:rPr>
          <w:lang w:eastAsia="en-GB"/>
        </w:rPr>
        <w:t xml:space="preserve"> </w:t>
      </w:r>
      <w:r w:rsidR="00184344">
        <w:rPr>
          <w:lang w:eastAsia="en-GB"/>
        </w:rPr>
        <w:t>i</w:t>
      </w:r>
      <w:r w:rsidR="001C71B0">
        <w:rPr>
          <w:lang w:eastAsia="en-GB"/>
        </w:rPr>
        <w:t>s supported by</w:t>
      </w:r>
      <w:r w:rsidR="0080093D">
        <w:rPr>
          <w:lang w:eastAsia="en-GB"/>
        </w:rPr>
        <w:t xml:space="preserve"> Australian authorities</w:t>
      </w:r>
      <w:r w:rsidR="001037C2">
        <w:rPr>
          <w:lang w:eastAsia="en-GB"/>
        </w:rPr>
        <w:t xml:space="preserve"> and the leading textbooks</w:t>
      </w:r>
      <w:r w:rsidR="00082A14">
        <w:rPr>
          <w:lang w:eastAsia="en-GB"/>
        </w:rPr>
        <w:t xml:space="preserve"> </w:t>
      </w:r>
      <w:r w:rsidR="00082A14">
        <w:rPr>
          <w:b/>
          <w:bCs/>
          <w:lang w:eastAsia="en-GB"/>
        </w:rPr>
        <w:t>[118]-</w:t>
      </w:r>
      <w:r w:rsidR="007028F6">
        <w:rPr>
          <w:b/>
          <w:bCs/>
          <w:lang w:eastAsia="en-GB"/>
        </w:rPr>
        <w:t>[165]</w:t>
      </w:r>
      <w:r w:rsidR="001037C2">
        <w:rPr>
          <w:lang w:eastAsia="en-GB"/>
        </w:rPr>
        <w:t xml:space="preserve">. </w:t>
      </w:r>
    </w:p>
    <w:p w14:paraId="0EA4BD8F" w14:textId="506967D6" w:rsidR="0081705C" w:rsidRDefault="0081705C" w:rsidP="001D0CCE">
      <w:pPr>
        <w:jc w:val="both"/>
        <w:rPr>
          <w:b/>
          <w:bCs/>
          <w:i/>
          <w:iCs/>
          <w:lang w:eastAsia="en-GB"/>
        </w:rPr>
      </w:pPr>
      <w:r w:rsidRPr="004D4955">
        <w:rPr>
          <w:b/>
          <w:bCs/>
          <w:i/>
          <w:iCs/>
          <w:lang w:eastAsia="en-GB"/>
        </w:rPr>
        <w:t>Issue Three</w:t>
      </w:r>
      <w:r w:rsidR="00530E80">
        <w:rPr>
          <w:b/>
          <w:bCs/>
          <w:i/>
          <w:iCs/>
          <w:lang w:eastAsia="en-GB"/>
        </w:rPr>
        <w:t xml:space="preserve">: </w:t>
      </w:r>
      <w:r w:rsidR="00530E80" w:rsidRPr="00530E80">
        <w:rPr>
          <w:b/>
          <w:bCs/>
          <w:i/>
          <w:iCs/>
          <w:lang w:eastAsia="en-GB"/>
        </w:rPr>
        <w:t>does a former trustee’s proprietary interest in the trust assets take priority over the equivalent interests of successor trustees?</w:t>
      </w:r>
    </w:p>
    <w:p w14:paraId="306DDEA8" w14:textId="2B6723BD" w:rsidR="0017262C" w:rsidRDefault="00184344" w:rsidP="001D0CCE">
      <w:pPr>
        <w:jc w:val="both"/>
        <w:rPr>
          <w:lang w:eastAsia="en-GB"/>
        </w:rPr>
      </w:pPr>
      <w:r>
        <w:rPr>
          <w:lang w:eastAsia="en-GB"/>
        </w:rPr>
        <w:t>T</w:t>
      </w:r>
      <w:r w:rsidR="00DB6830">
        <w:rPr>
          <w:lang w:eastAsia="en-GB"/>
        </w:rPr>
        <w:t>he majority f</w:t>
      </w:r>
      <w:r w:rsidR="00771D2C">
        <w:rPr>
          <w:lang w:eastAsia="en-GB"/>
        </w:rPr>
        <w:t>inds</w:t>
      </w:r>
      <w:r w:rsidR="00DB6830" w:rsidRPr="00DB6830">
        <w:rPr>
          <w:lang w:eastAsia="en-GB"/>
        </w:rPr>
        <w:t xml:space="preserve"> that the successive trustees’ interest in the trust assets rank </w:t>
      </w:r>
      <w:r w:rsidR="00DB6830" w:rsidRPr="004D4955">
        <w:rPr>
          <w:i/>
          <w:iCs/>
          <w:lang w:eastAsia="en-GB"/>
        </w:rPr>
        <w:t>pari passu</w:t>
      </w:r>
      <w:r w:rsidR="00DB6830" w:rsidRPr="00DB6830">
        <w:rPr>
          <w:lang w:eastAsia="en-GB"/>
        </w:rPr>
        <w:t xml:space="preserve"> </w:t>
      </w:r>
      <w:r>
        <w:rPr>
          <w:lang w:eastAsia="en-GB"/>
        </w:rPr>
        <w:t xml:space="preserve">(or equally) </w:t>
      </w:r>
      <w:r w:rsidR="00DB6830" w:rsidRPr="00DB6830">
        <w:rPr>
          <w:lang w:eastAsia="en-GB"/>
        </w:rPr>
        <w:t xml:space="preserve">where those assets are insufficient to meet all the claims on them made by or through the trustees pursuant to their indemnities </w:t>
      </w:r>
      <w:r w:rsidR="00DB6830" w:rsidRPr="004D4955">
        <w:rPr>
          <w:b/>
          <w:bCs/>
          <w:lang w:eastAsia="en-GB"/>
        </w:rPr>
        <w:t>[238]-[278]</w:t>
      </w:r>
      <w:r w:rsidR="00DB6830" w:rsidRPr="00DB6830">
        <w:rPr>
          <w:lang w:eastAsia="en-GB"/>
        </w:rPr>
        <w:t>.</w:t>
      </w:r>
      <w:r w:rsidR="000E557C">
        <w:rPr>
          <w:lang w:eastAsia="en-GB"/>
        </w:rPr>
        <w:t xml:space="preserve"> </w:t>
      </w:r>
    </w:p>
    <w:p w14:paraId="3C80CEC3" w14:textId="67BBC14D" w:rsidR="005D4107" w:rsidRDefault="00184344" w:rsidP="001D0CCE">
      <w:pPr>
        <w:jc w:val="both"/>
        <w:rPr>
          <w:lang w:eastAsia="en-GB"/>
        </w:rPr>
      </w:pPr>
      <w:r>
        <w:rPr>
          <w:lang w:eastAsia="en-GB"/>
        </w:rPr>
        <w:t>Giving the majority judgment on this issue,</w:t>
      </w:r>
      <w:r w:rsidR="007509A8">
        <w:rPr>
          <w:lang w:eastAsia="en-GB"/>
        </w:rPr>
        <w:t xml:space="preserve"> </w:t>
      </w:r>
      <w:r w:rsidR="0017262C">
        <w:rPr>
          <w:lang w:eastAsia="en-GB"/>
        </w:rPr>
        <w:t xml:space="preserve">Lord Briggs </w:t>
      </w:r>
      <w:r w:rsidR="008921B6">
        <w:rPr>
          <w:lang w:eastAsia="en-GB"/>
        </w:rPr>
        <w:t>notes</w:t>
      </w:r>
      <w:r w:rsidR="000F1C9F">
        <w:rPr>
          <w:lang w:eastAsia="en-GB"/>
        </w:rPr>
        <w:t xml:space="preserve"> a lack of authority on this </w:t>
      </w:r>
      <w:r w:rsidR="00F81B63">
        <w:rPr>
          <w:lang w:eastAsia="en-GB"/>
        </w:rPr>
        <w:t>point</w:t>
      </w:r>
      <w:r w:rsidR="000F1C9F">
        <w:rPr>
          <w:lang w:eastAsia="en-GB"/>
        </w:rPr>
        <w:t xml:space="preserve"> </w:t>
      </w:r>
      <w:r w:rsidR="000F1C9F">
        <w:rPr>
          <w:b/>
          <w:bCs/>
          <w:lang w:eastAsia="en-GB"/>
        </w:rPr>
        <w:t>[246]</w:t>
      </w:r>
      <w:r w:rsidR="000F1C9F">
        <w:rPr>
          <w:lang w:eastAsia="en-GB"/>
        </w:rPr>
        <w:t xml:space="preserve">. The trustees’ lien, not being like other kinds of equitable interest, is not amenable to the application of some </w:t>
      </w:r>
      <w:r w:rsidR="005D4107">
        <w:rPr>
          <w:lang w:eastAsia="en-GB"/>
        </w:rPr>
        <w:t xml:space="preserve">existing </w:t>
      </w:r>
      <w:r w:rsidR="000F1C9F">
        <w:rPr>
          <w:lang w:eastAsia="en-GB"/>
        </w:rPr>
        <w:t xml:space="preserve">priority rule by analogy and requires a carefully worked out rule of its own </w:t>
      </w:r>
      <w:r w:rsidR="000F1C9F">
        <w:rPr>
          <w:b/>
          <w:bCs/>
          <w:lang w:eastAsia="en-GB"/>
        </w:rPr>
        <w:t>[250]</w:t>
      </w:r>
      <w:r w:rsidR="000F1C9F">
        <w:rPr>
          <w:lang w:eastAsia="en-GB"/>
        </w:rPr>
        <w:t>.</w:t>
      </w:r>
      <w:r w:rsidR="007509A8">
        <w:rPr>
          <w:lang w:eastAsia="en-GB"/>
        </w:rPr>
        <w:t xml:space="preserve"> </w:t>
      </w:r>
      <w:r w:rsidR="00295475">
        <w:rPr>
          <w:lang w:eastAsia="en-GB"/>
        </w:rPr>
        <w:t>Equity takes a pra</w:t>
      </w:r>
      <w:r w:rsidR="005D4107">
        <w:rPr>
          <w:lang w:eastAsia="en-GB"/>
        </w:rPr>
        <w:t>gmatic</w:t>
      </w:r>
      <w:r w:rsidR="006E6B0A">
        <w:rPr>
          <w:lang w:eastAsia="en-GB"/>
        </w:rPr>
        <w:t xml:space="preserve"> and flexible</w:t>
      </w:r>
      <w:r w:rsidR="00295475">
        <w:rPr>
          <w:lang w:eastAsia="en-GB"/>
        </w:rPr>
        <w:t xml:space="preserve"> approach to questions such as this</w:t>
      </w:r>
      <w:r w:rsidR="005D4107">
        <w:rPr>
          <w:lang w:eastAsia="en-GB"/>
        </w:rPr>
        <w:t>,</w:t>
      </w:r>
      <w:r w:rsidR="00295475">
        <w:rPr>
          <w:lang w:eastAsia="en-GB"/>
        </w:rPr>
        <w:t xml:space="preserve"> </w:t>
      </w:r>
      <w:r w:rsidR="005D4107">
        <w:rPr>
          <w:lang w:eastAsia="en-GB"/>
        </w:rPr>
        <w:t>as is illustrated by</w:t>
      </w:r>
      <w:r w:rsidR="00F15994">
        <w:rPr>
          <w:lang w:eastAsia="en-GB"/>
        </w:rPr>
        <w:t xml:space="preserve"> cases </w:t>
      </w:r>
      <w:r w:rsidR="00895722">
        <w:rPr>
          <w:lang w:eastAsia="en-GB"/>
        </w:rPr>
        <w:t xml:space="preserve">concerned </w:t>
      </w:r>
      <w:r w:rsidR="00F15994">
        <w:rPr>
          <w:lang w:eastAsia="en-GB"/>
        </w:rPr>
        <w:t>with mixed funds</w:t>
      </w:r>
      <w:r w:rsidR="00AF47AF">
        <w:rPr>
          <w:lang w:eastAsia="en-GB"/>
        </w:rPr>
        <w:t xml:space="preserve"> which were inadequate to meet all the claims on them</w:t>
      </w:r>
      <w:r w:rsidR="00800F0E">
        <w:rPr>
          <w:lang w:eastAsia="en-GB"/>
        </w:rPr>
        <w:t xml:space="preserve"> </w:t>
      </w:r>
      <w:r w:rsidR="00800F0E">
        <w:rPr>
          <w:b/>
          <w:bCs/>
          <w:lang w:eastAsia="en-GB"/>
        </w:rPr>
        <w:t>[251]-[</w:t>
      </w:r>
      <w:r w:rsidR="00E22E10">
        <w:rPr>
          <w:b/>
          <w:bCs/>
          <w:lang w:eastAsia="en-GB"/>
        </w:rPr>
        <w:t>252</w:t>
      </w:r>
      <w:r w:rsidR="005B264E">
        <w:rPr>
          <w:b/>
          <w:bCs/>
          <w:lang w:eastAsia="en-GB"/>
        </w:rPr>
        <w:t>]</w:t>
      </w:r>
      <w:r w:rsidR="008A1D0C">
        <w:rPr>
          <w:lang w:eastAsia="en-GB"/>
        </w:rPr>
        <w:t>.</w:t>
      </w:r>
      <w:r w:rsidR="00991EDB">
        <w:rPr>
          <w:lang w:eastAsia="en-GB"/>
        </w:rPr>
        <w:t xml:space="preserve"> </w:t>
      </w:r>
      <w:r w:rsidR="005D4107">
        <w:rPr>
          <w:lang w:eastAsia="en-GB"/>
        </w:rPr>
        <w:t xml:space="preserve">Finding an appropriate rule of priority requires a </w:t>
      </w:r>
      <w:r w:rsidR="005D4107" w:rsidRPr="005D4107">
        <w:rPr>
          <w:lang w:eastAsia="en-GB"/>
        </w:rPr>
        <w:t>faithful dedication to the fulfilment of the purposes for which the law confers this lien, a recognition of the nature of the fiduciary office of which it is an incident, a reflective consideration of its likely effects over the whole range of fact-situations in which it may be applied, and a stand-back appreciation of which, as between potential competitors, does better justice or equity</w:t>
      </w:r>
      <w:r w:rsidR="005D4107">
        <w:rPr>
          <w:lang w:eastAsia="en-GB"/>
        </w:rPr>
        <w:t xml:space="preserve"> [</w:t>
      </w:r>
      <w:r w:rsidR="006E6B0A" w:rsidRPr="0063411A">
        <w:rPr>
          <w:b/>
          <w:bCs/>
          <w:lang w:eastAsia="en-GB"/>
        </w:rPr>
        <w:t>250</w:t>
      </w:r>
      <w:r w:rsidR="006E6B0A">
        <w:rPr>
          <w:lang w:eastAsia="en-GB"/>
        </w:rPr>
        <w:t>]</w:t>
      </w:r>
      <w:r w:rsidR="00656D24">
        <w:rPr>
          <w:lang w:eastAsia="en-GB"/>
        </w:rPr>
        <w:t>.</w:t>
      </w:r>
    </w:p>
    <w:p w14:paraId="0222D7DB" w14:textId="32F001C6" w:rsidR="00295475" w:rsidRDefault="00616E81" w:rsidP="001D0CCE">
      <w:pPr>
        <w:jc w:val="both"/>
        <w:rPr>
          <w:lang w:eastAsia="en-GB"/>
        </w:rPr>
      </w:pPr>
      <w:r>
        <w:rPr>
          <w:lang w:eastAsia="en-GB"/>
        </w:rPr>
        <w:t xml:space="preserve">The </w:t>
      </w:r>
      <w:r w:rsidR="005D4107">
        <w:rPr>
          <w:lang w:eastAsia="en-GB"/>
        </w:rPr>
        <w:t xml:space="preserve">trustees’ </w:t>
      </w:r>
      <w:r>
        <w:rPr>
          <w:lang w:eastAsia="en-GB"/>
        </w:rPr>
        <w:t xml:space="preserve">liens were not </w:t>
      </w:r>
      <w:r w:rsidR="005D4107">
        <w:rPr>
          <w:lang w:eastAsia="en-GB"/>
        </w:rPr>
        <w:t xml:space="preserve">intended to be </w:t>
      </w:r>
      <w:r>
        <w:rPr>
          <w:lang w:eastAsia="en-GB"/>
        </w:rPr>
        <w:t xml:space="preserve">in competition </w:t>
      </w:r>
      <w:r w:rsidR="005D4107">
        <w:rPr>
          <w:lang w:eastAsia="en-GB"/>
        </w:rPr>
        <w:t xml:space="preserve">with each other </w:t>
      </w:r>
      <w:r>
        <w:rPr>
          <w:lang w:eastAsia="en-GB"/>
        </w:rPr>
        <w:t>and successive trustees of a trust</w:t>
      </w:r>
      <w:r w:rsidR="00132C7D">
        <w:rPr>
          <w:lang w:eastAsia="en-GB"/>
        </w:rPr>
        <w:t>,</w:t>
      </w:r>
      <w:r>
        <w:rPr>
          <w:lang w:eastAsia="en-GB"/>
        </w:rPr>
        <w:t xml:space="preserve"> where the trust assets were inadequate to satisfy their indemnities</w:t>
      </w:r>
      <w:r w:rsidR="00132C7D">
        <w:rPr>
          <w:lang w:eastAsia="en-GB"/>
        </w:rPr>
        <w:t>,</w:t>
      </w:r>
      <w:r>
        <w:rPr>
          <w:lang w:eastAsia="en-GB"/>
        </w:rPr>
        <w:t xml:space="preserve"> had</w:t>
      </w:r>
      <w:r w:rsidR="00AC320C">
        <w:rPr>
          <w:lang w:eastAsia="en-GB"/>
        </w:rPr>
        <w:t xml:space="preserve"> </w:t>
      </w:r>
      <w:r w:rsidR="00B71CDD">
        <w:rPr>
          <w:lang w:eastAsia="en-GB"/>
        </w:rPr>
        <w:t xml:space="preserve">suffered a shared misfortune </w:t>
      </w:r>
      <w:r w:rsidR="000138F4">
        <w:rPr>
          <w:lang w:eastAsia="en-GB"/>
        </w:rPr>
        <w:t xml:space="preserve">in relation to the trust, which </w:t>
      </w:r>
      <w:r w:rsidR="0054769E">
        <w:rPr>
          <w:lang w:eastAsia="en-GB"/>
        </w:rPr>
        <w:t>is</w:t>
      </w:r>
      <w:r w:rsidR="000138F4">
        <w:rPr>
          <w:lang w:eastAsia="en-GB"/>
        </w:rPr>
        <w:t xml:space="preserve"> “</w:t>
      </w:r>
      <w:r w:rsidR="000138F4" w:rsidRPr="002C1354">
        <w:rPr>
          <w:i/>
          <w:iCs/>
          <w:lang w:eastAsia="en-GB"/>
        </w:rPr>
        <w:t xml:space="preserve">a form of continuing </w:t>
      </w:r>
      <w:r w:rsidR="00996B09" w:rsidRPr="002C1354">
        <w:rPr>
          <w:i/>
          <w:iCs/>
          <w:lang w:eastAsia="en-GB"/>
        </w:rPr>
        <w:t>inst</w:t>
      </w:r>
      <w:r w:rsidR="00996B09">
        <w:rPr>
          <w:i/>
          <w:iCs/>
          <w:lang w:eastAsia="en-GB"/>
        </w:rPr>
        <w:t>i</w:t>
      </w:r>
      <w:r w:rsidR="00996B09" w:rsidRPr="002C1354">
        <w:rPr>
          <w:i/>
          <w:iCs/>
          <w:lang w:eastAsia="en-GB"/>
        </w:rPr>
        <w:t>t</w:t>
      </w:r>
      <w:r w:rsidR="00E1791A">
        <w:rPr>
          <w:i/>
          <w:iCs/>
          <w:lang w:eastAsia="en-GB"/>
        </w:rPr>
        <w:t>ution</w:t>
      </w:r>
      <w:r w:rsidR="00996B09" w:rsidRPr="002C1354">
        <w:rPr>
          <w:i/>
          <w:iCs/>
          <w:lang w:eastAsia="en-GB"/>
        </w:rPr>
        <w:t xml:space="preserve"> </w:t>
      </w:r>
      <w:r w:rsidR="002C1354" w:rsidRPr="002C1354">
        <w:rPr>
          <w:i/>
          <w:iCs/>
          <w:lang w:eastAsia="en-GB"/>
        </w:rPr>
        <w:t>or scheme</w:t>
      </w:r>
      <w:r w:rsidR="002C1354">
        <w:rPr>
          <w:lang w:eastAsia="en-GB"/>
        </w:rPr>
        <w:t xml:space="preserve">” </w:t>
      </w:r>
      <w:r w:rsidR="00B71CDD">
        <w:rPr>
          <w:lang w:eastAsia="en-GB"/>
        </w:rPr>
        <w:t xml:space="preserve">and </w:t>
      </w:r>
      <w:r w:rsidR="005D4107">
        <w:rPr>
          <w:lang w:eastAsia="en-GB"/>
        </w:rPr>
        <w:t xml:space="preserve">they </w:t>
      </w:r>
      <w:r w:rsidR="00B71CDD">
        <w:rPr>
          <w:lang w:eastAsia="en-GB"/>
        </w:rPr>
        <w:t xml:space="preserve">should </w:t>
      </w:r>
      <w:r w:rsidR="005D4107">
        <w:rPr>
          <w:lang w:eastAsia="en-GB"/>
        </w:rPr>
        <w:t xml:space="preserve">therefore </w:t>
      </w:r>
      <w:r w:rsidR="00B71CDD">
        <w:rPr>
          <w:lang w:eastAsia="en-GB"/>
        </w:rPr>
        <w:t xml:space="preserve">recover </w:t>
      </w:r>
      <w:r w:rsidR="00B71CDD" w:rsidRPr="00B71CDD">
        <w:rPr>
          <w:i/>
          <w:iCs/>
          <w:lang w:eastAsia="en-GB"/>
        </w:rPr>
        <w:t>pari passu</w:t>
      </w:r>
      <w:r w:rsidR="0011378E">
        <w:rPr>
          <w:i/>
          <w:iCs/>
          <w:lang w:eastAsia="en-GB"/>
        </w:rPr>
        <w:t xml:space="preserve"> </w:t>
      </w:r>
      <w:r w:rsidR="0011378E">
        <w:rPr>
          <w:b/>
          <w:bCs/>
          <w:lang w:eastAsia="en-GB"/>
        </w:rPr>
        <w:t>[256]</w:t>
      </w:r>
      <w:r w:rsidR="00B71CDD">
        <w:rPr>
          <w:lang w:eastAsia="en-GB"/>
        </w:rPr>
        <w:t xml:space="preserve">. </w:t>
      </w:r>
      <w:r w:rsidR="0021727E">
        <w:rPr>
          <w:lang w:eastAsia="en-GB"/>
        </w:rPr>
        <w:t>If the lien of the first appointed trustee prevailed</w:t>
      </w:r>
      <w:r w:rsidR="00B33CF2">
        <w:rPr>
          <w:lang w:eastAsia="en-GB"/>
        </w:rPr>
        <w:t>,</w:t>
      </w:r>
      <w:r w:rsidR="0021727E">
        <w:rPr>
          <w:lang w:eastAsia="en-GB"/>
        </w:rPr>
        <w:t xml:space="preserve"> it </w:t>
      </w:r>
      <w:r w:rsidR="004225FB">
        <w:rPr>
          <w:lang w:eastAsia="en-GB"/>
        </w:rPr>
        <w:t>could</w:t>
      </w:r>
      <w:r w:rsidR="0021727E">
        <w:rPr>
          <w:lang w:eastAsia="en-GB"/>
        </w:rPr>
        <w:t xml:space="preserve"> give rise to very odd </w:t>
      </w:r>
      <w:r w:rsidR="005D4107">
        <w:rPr>
          <w:lang w:eastAsia="en-GB"/>
        </w:rPr>
        <w:t xml:space="preserve">and unjust </w:t>
      </w:r>
      <w:r w:rsidR="0021727E">
        <w:rPr>
          <w:lang w:eastAsia="en-GB"/>
        </w:rPr>
        <w:t xml:space="preserve">results </w:t>
      </w:r>
      <w:r w:rsidR="00B33CF2">
        <w:rPr>
          <w:lang w:eastAsia="en-GB"/>
        </w:rPr>
        <w:t>between the successive trustees based on the precise timing of their appointment and retirement</w:t>
      </w:r>
      <w:r w:rsidR="00C0721D">
        <w:rPr>
          <w:lang w:eastAsia="en-GB"/>
        </w:rPr>
        <w:t xml:space="preserve"> </w:t>
      </w:r>
      <w:r w:rsidR="00C0721D">
        <w:rPr>
          <w:b/>
          <w:bCs/>
          <w:lang w:eastAsia="en-GB"/>
        </w:rPr>
        <w:t>[254]</w:t>
      </w:r>
      <w:r w:rsidR="00D07C55">
        <w:rPr>
          <w:lang w:eastAsia="en-GB"/>
        </w:rPr>
        <w:t>.</w:t>
      </w:r>
      <w:r w:rsidR="0033713A">
        <w:rPr>
          <w:lang w:eastAsia="en-GB"/>
        </w:rPr>
        <w:t xml:space="preserve"> </w:t>
      </w:r>
      <w:r w:rsidR="00F81B63">
        <w:rPr>
          <w:lang w:eastAsia="en-GB"/>
        </w:rPr>
        <w:t>H</w:t>
      </w:r>
      <w:r w:rsidR="00193725">
        <w:rPr>
          <w:lang w:eastAsia="en-GB"/>
        </w:rPr>
        <w:t>owever</w:t>
      </w:r>
      <w:r w:rsidR="008D29B3">
        <w:rPr>
          <w:lang w:eastAsia="en-GB"/>
        </w:rPr>
        <w:t>,</w:t>
      </w:r>
      <w:r w:rsidR="00193725">
        <w:rPr>
          <w:lang w:eastAsia="en-GB"/>
        </w:rPr>
        <w:t xml:space="preserve"> it might be appropriate to depart from </w:t>
      </w:r>
      <w:r w:rsidR="00193725" w:rsidRPr="00193725">
        <w:rPr>
          <w:i/>
          <w:iCs/>
          <w:lang w:eastAsia="en-GB"/>
        </w:rPr>
        <w:t>pari passu</w:t>
      </w:r>
      <w:r w:rsidR="00193725">
        <w:rPr>
          <w:lang w:eastAsia="en-GB"/>
        </w:rPr>
        <w:t xml:space="preserve"> in </w:t>
      </w:r>
      <w:r w:rsidR="008201CF">
        <w:rPr>
          <w:lang w:eastAsia="en-GB"/>
        </w:rPr>
        <w:t xml:space="preserve">this context in </w:t>
      </w:r>
      <w:r w:rsidR="005D4107">
        <w:rPr>
          <w:lang w:eastAsia="en-GB"/>
        </w:rPr>
        <w:t xml:space="preserve">very </w:t>
      </w:r>
      <w:r w:rsidR="008201CF">
        <w:rPr>
          <w:lang w:eastAsia="en-GB"/>
        </w:rPr>
        <w:t xml:space="preserve">exceptional </w:t>
      </w:r>
      <w:r w:rsidR="00193725">
        <w:rPr>
          <w:lang w:eastAsia="en-GB"/>
        </w:rPr>
        <w:t xml:space="preserve">circumstances </w:t>
      </w:r>
      <w:r w:rsidR="00FD27D1">
        <w:rPr>
          <w:b/>
          <w:bCs/>
          <w:lang w:eastAsia="en-GB"/>
        </w:rPr>
        <w:t>[269]</w:t>
      </w:r>
      <w:r w:rsidR="00193725">
        <w:rPr>
          <w:lang w:eastAsia="en-GB"/>
        </w:rPr>
        <w:t xml:space="preserve">. </w:t>
      </w:r>
    </w:p>
    <w:p w14:paraId="16F29542" w14:textId="7F9CF278" w:rsidR="00DA0928" w:rsidRDefault="00DA0928" w:rsidP="001D0CCE">
      <w:pPr>
        <w:jc w:val="both"/>
        <w:rPr>
          <w:lang w:eastAsia="en-GB"/>
        </w:rPr>
      </w:pPr>
      <w:r>
        <w:rPr>
          <w:lang w:eastAsia="en-GB"/>
        </w:rPr>
        <w:t xml:space="preserve">It was also significant that the trustees’ lien was the vehicle for trust creditors to be paid by way of subrogation to the lien. </w:t>
      </w:r>
      <w:r w:rsidR="00CA62A3">
        <w:rPr>
          <w:lang w:eastAsia="en-GB"/>
        </w:rPr>
        <w:t>That made first in time based on the date of the trustees’ appointment even less appropriate</w:t>
      </w:r>
      <w:r w:rsidR="00FF10FA">
        <w:rPr>
          <w:lang w:eastAsia="en-GB"/>
        </w:rPr>
        <w:t>,</w:t>
      </w:r>
      <w:r w:rsidR="00CA62A3">
        <w:rPr>
          <w:lang w:eastAsia="en-GB"/>
        </w:rPr>
        <w:t xml:space="preserve"> </w:t>
      </w:r>
      <w:r w:rsidR="00D4510B">
        <w:rPr>
          <w:lang w:eastAsia="en-GB"/>
        </w:rPr>
        <w:t xml:space="preserve">since trust creditors </w:t>
      </w:r>
      <w:r w:rsidR="006E6B0A">
        <w:rPr>
          <w:lang w:eastAsia="en-GB"/>
        </w:rPr>
        <w:t xml:space="preserve">would naturally </w:t>
      </w:r>
      <w:r w:rsidR="00D4510B">
        <w:rPr>
          <w:lang w:eastAsia="en-GB"/>
        </w:rPr>
        <w:t xml:space="preserve">expect that they would share </w:t>
      </w:r>
      <w:r w:rsidR="00D4510B" w:rsidRPr="001A5206">
        <w:rPr>
          <w:i/>
          <w:iCs/>
          <w:lang w:eastAsia="en-GB"/>
        </w:rPr>
        <w:t>pari passu</w:t>
      </w:r>
      <w:r w:rsidR="00D4510B">
        <w:rPr>
          <w:lang w:eastAsia="en-GB"/>
        </w:rPr>
        <w:t xml:space="preserve"> in in</w:t>
      </w:r>
      <w:r w:rsidR="001A5206">
        <w:rPr>
          <w:lang w:eastAsia="en-GB"/>
        </w:rPr>
        <w:t xml:space="preserve">sufficient </w:t>
      </w:r>
      <w:r w:rsidR="00D4510B">
        <w:rPr>
          <w:lang w:eastAsia="en-GB"/>
        </w:rPr>
        <w:t>trust assets by way of subrogation to the trustees’ liens irrespective of which of the successive</w:t>
      </w:r>
      <w:r w:rsidR="005D4107">
        <w:rPr>
          <w:lang w:eastAsia="en-GB"/>
        </w:rPr>
        <w:t>ly appointed</w:t>
      </w:r>
      <w:r w:rsidR="00D4510B">
        <w:rPr>
          <w:lang w:eastAsia="en-GB"/>
        </w:rPr>
        <w:t xml:space="preserve"> trustees </w:t>
      </w:r>
      <w:r w:rsidR="00490933">
        <w:rPr>
          <w:lang w:eastAsia="en-GB"/>
        </w:rPr>
        <w:t xml:space="preserve">with whom </w:t>
      </w:r>
      <w:r w:rsidR="00D4510B">
        <w:rPr>
          <w:lang w:eastAsia="en-GB"/>
        </w:rPr>
        <w:t xml:space="preserve">they happened to </w:t>
      </w:r>
      <w:r w:rsidR="001A5206">
        <w:rPr>
          <w:lang w:eastAsia="en-GB"/>
        </w:rPr>
        <w:t xml:space="preserve">have </w:t>
      </w:r>
      <w:r w:rsidR="00D4510B">
        <w:rPr>
          <w:lang w:eastAsia="en-GB"/>
        </w:rPr>
        <w:t>contract</w:t>
      </w:r>
      <w:r w:rsidR="001A5206">
        <w:rPr>
          <w:lang w:eastAsia="en-GB"/>
        </w:rPr>
        <w:t>ed</w:t>
      </w:r>
      <w:r w:rsidR="00D4510B">
        <w:rPr>
          <w:lang w:eastAsia="en-GB"/>
        </w:rPr>
        <w:t xml:space="preserve">. </w:t>
      </w:r>
      <w:r w:rsidR="002763EC">
        <w:rPr>
          <w:lang w:eastAsia="en-GB"/>
        </w:rPr>
        <w:t xml:space="preserve">Such </w:t>
      </w:r>
      <w:r w:rsidR="00FF10FA">
        <w:rPr>
          <w:lang w:eastAsia="en-GB"/>
        </w:rPr>
        <w:t>third-party</w:t>
      </w:r>
      <w:r w:rsidR="002763EC">
        <w:rPr>
          <w:lang w:eastAsia="en-GB"/>
        </w:rPr>
        <w:t xml:space="preserve"> creditors might </w:t>
      </w:r>
      <w:r w:rsidR="005D4107">
        <w:rPr>
          <w:lang w:eastAsia="en-GB"/>
        </w:rPr>
        <w:t>well</w:t>
      </w:r>
      <w:r w:rsidR="002763EC">
        <w:rPr>
          <w:lang w:eastAsia="en-GB"/>
        </w:rPr>
        <w:t xml:space="preserve"> be unaware of the trustees’ dates of appointment</w:t>
      </w:r>
      <w:r w:rsidR="00CC734F">
        <w:rPr>
          <w:lang w:eastAsia="en-GB"/>
        </w:rPr>
        <w:t xml:space="preserve"> </w:t>
      </w:r>
      <w:r w:rsidR="007D5732">
        <w:rPr>
          <w:b/>
          <w:bCs/>
          <w:lang w:eastAsia="en-GB"/>
        </w:rPr>
        <w:t>[276]</w:t>
      </w:r>
      <w:r w:rsidR="002763EC">
        <w:rPr>
          <w:lang w:eastAsia="en-GB"/>
        </w:rPr>
        <w:t xml:space="preserve">. </w:t>
      </w:r>
      <w:r w:rsidR="002C6D68">
        <w:rPr>
          <w:lang w:eastAsia="en-GB"/>
        </w:rPr>
        <w:t xml:space="preserve">Justice, fairness, equity and common sense therefore </w:t>
      </w:r>
      <w:r w:rsidR="00762A0E">
        <w:rPr>
          <w:lang w:eastAsia="en-GB"/>
        </w:rPr>
        <w:t xml:space="preserve">strongly </w:t>
      </w:r>
      <w:r w:rsidR="00FD2D12">
        <w:rPr>
          <w:lang w:eastAsia="en-GB"/>
        </w:rPr>
        <w:t>militate in favour of adopting</w:t>
      </w:r>
      <w:r w:rsidR="00B470DD">
        <w:rPr>
          <w:lang w:eastAsia="en-GB"/>
        </w:rPr>
        <w:t xml:space="preserve"> </w:t>
      </w:r>
      <w:r w:rsidR="00B470DD" w:rsidRPr="00B470DD">
        <w:rPr>
          <w:i/>
          <w:iCs/>
          <w:lang w:eastAsia="en-GB"/>
        </w:rPr>
        <w:t>pari passu</w:t>
      </w:r>
      <w:r w:rsidR="00B470DD">
        <w:rPr>
          <w:lang w:eastAsia="en-GB"/>
        </w:rPr>
        <w:t xml:space="preserve"> as the applicable rule of priority</w:t>
      </w:r>
      <w:r w:rsidR="007D5732">
        <w:rPr>
          <w:lang w:eastAsia="en-GB"/>
        </w:rPr>
        <w:t xml:space="preserve"> </w:t>
      </w:r>
      <w:r w:rsidR="007D5732">
        <w:rPr>
          <w:b/>
          <w:bCs/>
          <w:lang w:eastAsia="en-GB"/>
        </w:rPr>
        <w:t>[277]</w:t>
      </w:r>
      <w:r w:rsidR="00B470DD">
        <w:rPr>
          <w:lang w:eastAsia="en-GB"/>
        </w:rPr>
        <w:t xml:space="preserve">. </w:t>
      </w:r>
    </w:p>
    <w:p w14:paraId="51872454" w14:textId="6086E6ED" w:rsidR="00362DD5" w:rsidRDefault="00362DD5" w:rsidP="001D0CCE">
      <w:pPr>
        <w:jc w:val="both"/>
        <w:rPr>
          <w:lang w:eastAsia="en-GB"/>
        </w:rPr>
      </w:pPr>
      <w:r>
        <w:rPr>
          <w:lang w:eastAsia="en-GB"/>
        </w:rPr>
        <w:t>Lady Arden</w:t>
      </w:r>
      <w:r w:rsidR="00D86F80">
        <w:rPr>
          <w:lang w:eastAsia="en-GB"/>
        </w:rPr>
        <w:t xml:space="preserve">, in a concurring judgment, agrees that </w:t>
      </w:r>
      <w:r w:rsidR="00D86F80" w:rsidRPr="00BB00AE">
        <w:rPr>
          <w:i/>
          <w:iCs/>
          <w:lang w:eastAsia="en-GB"/>
        </w:rPr>
        <w:t>pari passu</w:t>
      </w:r>
      <w:r w:rsidR="00D86F80">
        <w:rPr>
          <w:lang w:eastAsia="en-GB"/>
        </w:rPr>
        <w:t xml:space="preserve"> is the appropriate rule</w:t>
      </w:r>
      <w:r w:rsidR="00F81B63">
        <w:rPr>
          <w:lang w:eastAsia="en-GB"/>
        </w:rPr>
        <w:t xml:space="preserve"> of priority</w:t>
      </w:r>
      <w:r w:rsidR="00D86F80">
        <w:rPr>
          <w:lang w:eastAsia="en-GB"/>
        </w:rPr>
        <w:t xml:space="preserve"> but</w:t>
      </w:r>
      <w:r w:rsidR="00221127">
        <w:rPr>
          <w:lang w:eastAsia="en-GB"/>
        </w:rPr>
        <w:t>, in part,</w:t>
      </w:r>
      <w:r w:rsidR="00D86F80">
        <w:rPr>
          <w:lang w:eastAsia="en-GB"/>
        </w:rPr>
        <w:t xml:space="preserve"> for different reasons. </w:t>
      </w:r>
      <w:r w:rsidR="00BB00AE">
        <w:rPr>
          <w:lang w:eastAsia="en-GB"/>
        </w:rPr>
        <w:t>To adopt first in time instead would be inconsistent with equitable principle</w:t>
      </w:r>
      <w:r w:rsidR="00D402C9">
        <w:rPr>
          <w:lang w:eastAsia="en-GB"/>
        </w:rPr>
        <w:t xml:space="preserve"> and lack any logical basis </w:t>
      </w:r>
      <w:r w:rsidR="00D31C0A" w:rsidRPr="00E2330C">
        <w:rPr>
          <w:b/>
          <w:bCs/>
          <w:lang w:eastAsia="en-GB"/>
        </w:rPr>
        <w:t>[279]</w:t>
      </w:r>
      <w:r w:rsidR="0074402A">
        <w:rPr>
          <w:lang w:eastAsia="en-GB"/>
        </w:rPr>
        <w:t>,</w:t>
      </w:r>
      <w:r w:rsidR="007E4FCD">
        <w:rPr>
          <w:lang w:eastAsia="en-GB"/>
        </w:rPr>
        <w:t xml:space="preserve"> </w:t>
      </w:r>
      <w:r w:rsidR="0074402A">
        <w:rPr>
          <w:b/>
          <w:bCs/>
          <w:lang w:eastAsia="en-GB"/>
        </w:rPr>
        <w:t>[289]</w:t>
      </w:r>
      <w:r w:rsidR="00956665">
        <w:rPr>
          <w:b/>
          <w:bCs/>
          <w:lang w:eastAsia="en-GB"/>
        </w:rPr>
        <w:t>-[290]</w:t>
      </w:r>
      <w:r w:rsidR="00D402C9">
        <w:rPr>
          <w:lang w:eastAsia="en-GB"/>
        </w:rPr>
        <w:t xml:space="preserve">. </w:t>
      </w:r>
      <w:r w:rsidR="00FE149A">
        <w:rPr>
          <w:lang w:eastAsia="en-GB"/>
        </w:rPr>
        <w:t xml:space="preserve">A trustee has priority for his </w:t>
      </w:r>
      <w:r w:rsidR="00FE149A">
        <w:rPr>
          <w:lang w:eastAsia="en-GB"/>
        </w:rPr>
        <w:lastRenderedPageBreak/>
        <w:t xml:space="preserve">properly incurred liabilities as against the beneficiaries only, not as against subsequent trustees </w:t>
      </w:r>
      <w:r w:rsidR="00FE149A" w:rsidRPr="0063411A">
        <w:rPr>
          <w:b/>
          <w:bCs/>
          <w:lang w:eastAsia="en-GB"/>
        </w:rPr>
        <w:t>[284]</w:t>
      </w:r>
      <w:r w:rsidR="00FE149A">
        <w:rPr>
          <w:lang w:eastAsia="en-GB"/>
        </w:rPr>
        <w:t xml:space="preserve">. </w:t>
      </w:r>
      <w:r w:rsidR="005328C9">
        <w:rPr>
          <w:lang w:eastAsia="en-GB"/>
        </w:rPr>
        <w:t xml:space="preserve">It </w:t>
      </w:r>
      <w:r w:rsidR="008360E8">
        <w:rPr>
          <w:lang w:eastAsia="en-GB"/>
        </w:rPr>
        <w:t>would also cause practical difficulties whilst disputes over priority position</w:t>
      </w:r>
      <w:r w:rsidR="002C04FB">
        <w:rPr>
          <w:lang w:eastAsia="en-GB"/>
        </w:rPr>
        <w:t xml:space="preserve"> were</w:t>
      </w:r>
      <w:r w:rsidR="008360E8">
        <w:rPr>
          <w:lang w:eastAsia="en-GB"/>
        </w:rPr>
        <w:t xml:space="preserve"> </w:t>
      </w:r>
      <w:r w:rsidR="00F441C1">
        <w:rPr>
          <w:lang w:eastAsia="en-GB"/>
        </w:rPr>
        <w:t>resolved, thereby diminishing the usefulness of the trust and disrupting its administration</w:t>
      </w:r>
      <w:r w:rsidR="00D66264">
        <w:rPr>
          <w:lang w:eastAsia="en-GB"/>
        </w:rPr>
        <w:t xml:space="preserve"> </w:t>
      </w:r>
      <w:r w:rsidR="00D66264">
        <w:rPr>
          <w:b/>
          <w:bCs/>
          <w:lang w:eastAsia="en-GB"/>
        </w:rPr>
        <w:t>[291]-[</w:t>
      </w:r>
      <w:r w:rsidR="00F56E4F">
        <w:rPr>
          <w:b/>
          <w:bCs/>
          <w:lang w:eastAsia="en-GB"/>
        </w:rPr>
        <w:t>292]</w:t>
      </w:r>
      <w:r w:rsidR="00F441C1">
        <w:rPr>
          <w:lang w:eastAsia="en-GB"/>
        </w:rPr>
        <w:t xml:space="preserve">. </w:t>
      </w:r>
    </w:p>
    <w:p w14:paraId="4A0ABCAD" w14:textId="29AD3773" w:rsidR="00B171F1" w:rsidRDefault="006B4126" w:rsidP="001D0CCE">
      <w:pPr>
        <w:jc w:val="both"/>
        <w:rPr>
          <w:lang w:eastAsia="en-GB"/>
        </w:rPr>
      </w:pPr>
      <w:r>
        <w:rPr>
          <w:lang w:eastAsia="en-GB"/>
        </w:rPr>
        <w:t xml:space="preserve">Lord Richards and </w:t>
      </w:r>
      <w:r w:rsidR="00F03BCB">
        <w:rPr>
          <w:lang w:eastAsia="en-GB"/>
        </w:rPr>
        <w:t>Sir Nicholas Patten</w:t>
      </w:r>
      <w:r w:rsidR="00B80D0C">
        <w:rPr>
          <w:lang w:eastAsia="en-GB"/>
        </w:rPr>
        <w:t xml:space="preserve"> (with whom Lord Stephens agrees)</w:t>
      </w:r>
      <w:r w:rsidR="00F03BCB">
        <w:rPr>
          <w:lang w:eastAsia="en-GB"/>
        </w:rPr>
        <w:t xml:space="preserve">, </w:t>
      </w:r>
      <w:r w:rsidR="00F81B63">
        <w:rPr>
          <w:lang w:eastAsia="en-GB"/>
        </w:rPr>
        <w:t>dissenting</w:t>
      </w:r>
      <w:r w:rsidR="00810A76">
        <w:rPr>
          <w:lang w:eastAsia="en-GB"/>
        </w:rPr>
        <w:t xml:space="preserve"> on this issue, </w:t>
      </w:r>
      <w:r w:rsidR="00BA1FDE">
        <w:rPr>
          <w:lang w:eastAsia="en-GB"/>
        </w:rPr>
        <w:t>emphasis</w:t>
      </w:r>
      <w:r w:rsidR="00896A2C">
        <w:rPr>
          <w:lang w:eastAsia="en-GB"/>
        </w:rPr>
        <w:t>e</w:t>
      </w:r>
      <w:r w:rsidR="00BA1FDE">
        <w:rPr>
          <w:lang w:eastAsia="en-GB"/>
        </w:rPr>
        <w:t xml:space="preserve"> that the</w:t>
      </w:r>
      <w:r w:rsidR="00B01456">
        <w:rPr>
          <w:lang w:eastAsia="en-GB"/>
        </w:rPr>
        <w:t xml:space="preserve"> trustee’s</w:t>
      </w:r>
      <w:r w:rsidR="001F6AFB">
        <w:rPr>
          <w:lang w:eastAsia="en-GB"/>
        </w:rPr>
        <w:t xml:space="preserve"> right of</w:t>
      </w:r>
      <w:r w:rsidR="00BA1FDE">
        <w:rPr>
          <w:lang w:eastAsia="en-GB"/>
        </w:rPr>
        <w:t xml:space="preserve"> indemnity</w:t>
      </w:r>
      <w:r w:rsidR="001F6AFB">
        <w:rPr>
          <w:lang w:eastAsia="en-GB"/>
        </w:rPr>
        <w:t xml:space="preserve"> is</w:t>
      </w:r>
      <w:r w:rsidR="00334CF3" w:rsidRPr="00D177D4">
        <w:rPr>
          <w:szCs w:val="24"/>
          <w:lang w:eastAsia="en-GB"/>
        </w:rPr>
        <w:t xml:space="preserve"> not security for the payment of a debt</w:t>
      </w:r>
      <w:r w:rsidR="00D038AC" w:rsidRPr="00D177D4">
        <w:rPr>
          <w:szCs w:val="24"/>
          <w:lang w:eastAsia="en-GB"/>
        </w:rPr>
        <w:t xml:space="preserve"> but arise</w:t>
      </w:r>
      <w:r w:rsidR="00DB7CCF">
        <w:rPr>
          <w:szCs w:val="24"/>
          <w:lang w:eastAsia="en-GB"/>
        </w:rPr>
        <w:t>s</w:t>
      </w:r>
      <w:r w:rsidR="00D038AC" w:rsidRPr="00D177D4">
        <w:rPr>
          <w:szCs w:val="24"/>
          <w:lang w:eastAsia="en-GB"/>
        </w:rPr>
        <w:t xml:space="preserve"> so as to protect the personal position of each trustee by </w:t>
      </w:r>
      <w:r w:rsidR="00AB0C58" w:rsidRPr="00D177D4">
        <w:rPr>
          <w:szCs w:val="24"/>
          <w:lang w:eastAsia="en-GB"/>
        </w:rPr>
        <w:t xml:space="preserve">giving them the right to seek </w:t>
      </w:r>
      <w:r w:rsidR="00D038AC" w:rsidRPr="00D177D4">
        <w:rPr>
          <w:szCs w:val="24"/>
          <w:lang w:eastAsia="en-GB"/>
        </w:rPr>
        <w:t xml:space="preserve">an order for the trust assets to be applied in </w:t>
      </w:r>
      <w:r w:rsidR="006C4A3F">
        <w:rPr>
          <w:szCs w:val="24"/>
          <w:lang w:eastAsia="en-GB"/>
        </w:rPr>
        <w:t>indemnifying or reimbursing them</w:t>
      </w:r>
      <w:r w:rsidR="00FD1F8D" w:rsidRPr="00D177D4">
        <w:rPr>
          <w:szCs w:val="24"/>
          <w:lang w:eastAsia="en-GB"/>
        </w:rPr>
        <w:t xml:space="preserve"> </w:t>
      </w:r>
      <w:r w:rsidR="00FD1F8D" w:rsidRPr="00D177D4">
        <w:rPr>
          <w:b/>
          <w:bCs/>
          <w:szCs w:val="24"/>
          <w:lang w:eastAsia="en-GB"/>
        </w:rPr>
        <w:t>[170]-[17</w:t>
      </w:r>
      <w:r w:rsidR="00B23A9D" w:rsidRPr="00D177D4">
        <w:rPr>
          <w:b/>
          <w:bCs/>
          <w:szCs w:val="24"/>
          <w:lang w:eastAsia="en-GB"/>
        </w:rPr>
        <w:t>2</w:t>
      </w:r>
      <w:r w:rsidR="00FD1F8D" w:rsidRPr="00D177D4">
        <w:rPr>
          <w:b/>
          <w:bCs/>
          <w:szCs w:val="24"/>
          <w:lang w:eastAsia="en-GB"/>
        </w:rPr>
        <w:t>]</w:t>
      </w:r>
      <w:r w:rsidR="00D038AC" w:rsidRPr="00D177D4">
        <w:rPr>
          <w:szCs w:val="24"/>
          <w:lang w:eastAsia="en-GB"/>
        </w:rPr>
        <w:t>.</w:t>
      </w:r>
      <w:r w:rsidR="00110921">
        <w:rPr>
          <w:szCs w:val="24"/>
          <w:lang w:eastAsia="en-GB"/>
        </w:rPr>
        <w:t xml:space="preserve"> In this respect</w:t>
      </w:r>
      <w:r w:rsidR="00FD49DE">
        <w:rPr>
          <w:szCs w:val="24"/>
          <w:lang w:eastAsia="en-GB"/>
        </w:rPr>
        <w:t xml:space="preserve">, the interests of successive trustees are competing </w:t>
      </w:r>
      <w:r w:rsidR="00966F58">
        <w:rPr>
          <w:szCs w:val="24"/>
          <w:lang w:eastAsia="en-GB"/>
        </w:rPr>
        <w:t xml:space="preserve">or equal and accordingly the general principle applies that the first in time has </w:t>
      </w:r>
      <w:r w:rsidR="00B83C9B">
        <w:rPr>
          <w:szCs w:val="24"/>
          <w:lang w:eastAsia="en-GB"/>
        </w:rPr>
        <w:t>priority</w:t>
      </w:r>
      <w:r w:rsidR="001C0F57">
        <w:rPr>
          <w:szCs w:val="24"/>
          <w:lang w:eastAsia="en-GB"/>
        </w:rPr>
        <w:t xml:space="preserve"> </w:t>
      </w:r>
      <w:r w:rsidR="00306230">
        <w:rPr>
          <w:b/>
          <w:bCs/>
          <w:szCs w:val="24"/>
          <w:lang w:eastAsia="en-GB"/>
        </w:rPr>
        <w:t>[175]-[177]</w:t>
      </w:r>
      <w:r w:rsidR="00B83C9B">
        <w:rPr>
          <w:szCs w:val="24"/>
          <w:lang w:eastAsia="en-GB"/>
        </w:rPr>
        <w:t>.</w:t>
      </w:r>
      <w:r w:rsidR="00D038AC" w:rsidRPr="00D177D4">
        <w:rPr>
          <w:szCs w:val="24"/>
          <w:lang w:eastAsia="en-GB"/>
        </w:rPr>
        <w:t xml:space="preserve"> </w:t>
      </w:r>
      <w:r w:rsidR="00E35616">
        <w:rPr>
          <w:szCs w:val="24"/>
          <w:lang w:eastAsia="en-GB"/>
        </w:rPr>
        <w:t>The right of</w:t>
      </w:r>
      <w:r w:rsidR="00982725" w:rsidRPr="00D177D4">
        <w:rPr>
          <w:szCs w:val="24"/>
          <w:lang w:eastAsia="en-GB"/>
        </w:rPr>
        <w:t xml:space="preserve"> indemnity does </w:t>
      </w:r>
      <w:r w:rsidR="00FE5BFF">
        <w:rPr>
          <w:szCs w:val="24"/>
          <w:lang w:eastAsia="en-GB"/>
        </w:rPr>
        <w:t xml:space="preserve">not </w:t>
      </w:r>
      <w:r w:rsidR="00982725" w:rsidRPr="00D177D4">
        <w:rPr>
          <w:szCs w:val="24"/>
          <w:lang w:eastAsia="en-GB"/>
        </w:rPr>
        <w:t>exist to protect trust creditors by way of subrogation to the trustee</w:t>
      </w:r>
      <w:r w:rsidR="00FE5BFF">
        <w:rPr>
          <w:szCs w:val="24"/>
          <w:lang w:eastAsia="en-GB"/>
        </w:rPr>
        <w:t>’</w:t>
      </w:r>
      <w:r w:rsidR="00982725" w:rsidRPr="00D177D4">
        <w:rPr>
          <w:szCs w:val="24"/>
          <w:lang w:eastAsia="en-GB"/>
        </w:rPr>
        <w:t>s</w:t>
      </w:r>
      <w:r w:rsidR="00FE5BFF">
        <w:rPr>
          <w:szCs w:val="24"/>
          <w:lang w:eastAsia="en-GB"/>
        </w:rPr>
        <w:t xml:space="preserve"> right</w:t>
      </w:r>
      <w:r w:rsidR="00AB0C58" w:rsidRPr="00D177D4">
        <w:rPr>
          <w:szCs w:val="24"/>
          <w:lang w:eastAsia="en-GB"/>
        </w:rPr>
        <w:t>,</w:t>
      </w:r>
      <w:r w:rsidR="00982725" w:rsidRPr="00D177D4">
        <w:rPr>
          <w:szCs w:val="24"/>
          <w:lang w:eastAsia="en-GB"/>
        </w:rPr>
        <w:t xml:space="preserve"> </w:t>
      </w:r>
      <w:r w:rsidR="002772B5">
        <w:rPr>
          <w:szCs w:val="24"/>
          <w:lang w:eastAsia="en-GB"/>
        </w:rPr>
        <w:t>but even if it did</w:t>
      </w:r>
      <w:r w:rsidR="00CB4B3A">
        <w:rPr>
          <w:szCs w:val="24"/>
          <w:lang w:eastAsia="en-GB"/>
        </w:rPr>
        <w:t xml:space="preserve"> </w:t>
      </w:r>
      <w:r w:rsidR="00FB6799" w:rsidRPr="00D177D4">
        <w:rPr>
          <w:szCs w:val="24"/>
          <w:lang w:eastAsia="en-GB"/>
        </w:rPr>
        <w:t xml:space="preserve">that </w:t>
      </w:r>
      <w:r w:rsidR="000865B7">
        <w:rPr>
          <w:szCs w:val="24"/>
          <w:lang w:eastAsia="en-GB"/>
        </w:rPr>
        <w:t xml:space="preserve">would not be a sufficient reason for </w:t>
      </w:r>
      <w:r w:rsidR="000D5876">
        <w:rPr>
          <w:szCs w:val="24"/>
          <w:lang w:eastAsia="en-GB"/>
        </w:rPr>
        <w:t xml:space="preserve">departing from the </w:t>
      </w:r>
      <w:r w:rsidR="00FB6799" w:rsidRPr="00D177D4">
        <w:rPr>
          <w:szCs w:val="24"/>
          <w:lang w:eastAsia="en-GB"/>
        </w:rPr>
        <w:t>first in time</w:t>
      </w:r>
      <w:r w:rsidR="000D5876">
        <w:rPr>
          <w:szCs w:val="24"/>
          <w:lang w:eastAsia="en-GB"/>
        </w:rPr>
        <w:t xml:space="preserve"> principle</w:t>
      </w:r>
      <w:r w:rsidR="00FB6799" w:rsidRPr="00D177D4">
        <w:rPr>
          <w:szCs w:val="24"/>
          <w:lang w:eastAsia="en-GB"/>
        </w:rPr>
        <w:t xml:space="preserve"> </w:t>
      </w:r>
      <w:r w:rsidR="00281244">
        <w:rPr>
          <w:b/>
          <w:bCs/>
          <w:szCs w:val="24"/>
          <w:lang w:eastAsia="en-GB"/>
        </w:rPr>
        <w:t>[181]-</w:t>
      </w:r>
      <w:r w:rsidR="00D177D4" w:rsidRPr="00E2330C">
        <w:rPr>
          <w:b/>
          <w:bCs/>
          <w:szCs w:val="24"/>
          <w:lang w:eastAsia="en-GB"/>
        </w:rPr>
        <w:t>[183]</w:t>
      </w:r>
      <w:r w:rsidR="00FB6799" w:rsidRPr="00D177D4">
        <w:rPr>
          <w:szCs w:val="24"/>
          <w:lang w:eastAsia="en-GB"/>
        </w:rPr>
        <w:t xml:space="preserve">. </w:t>
      </w:r>
      <w:r w:rsidR="00B171F1" w:rsidRPr="00D177D4">
        <w:rPr>
          <w:szCs w:val="24"/>
          <w:lang w:eastAsia="en-GB"/>
        </w:rPr>
        <w:t xml:space="preserve">The protection of retiring trustees by granting them security over trust assets is also inconsistent with successive rights of indemnity ranking </w:t>
      </w:r>
      <w:r w:rsidR="00B171F1" w:rsidRPr="00D177D4">
        <w:rPr>
          <w:i/>
          <w:iCs/>
          <w:szCs w:val="24"/>
          <w:lang w:eastAsia="en-GB"/>
        </w:rPr>
        <w:t>pari passu</w:t>
      </w:r>
      <w:r w:rsidR="00B171F1" w:rsidRPr="00D177D4">
        <w:rPr>
          <w:szCs w:val="24"/>
          <w:lang w:eastAsia="en-GB"/>
        </w:rPr>
        <w:t xml:space="preserve"> upon a</w:t>
      </w:r>
      <w:r w:rsidR="00511B3A" w:rsidRPr="00D177D4">
        <w:rPr>
          <w:szCs w:val="24"/>
          <w:lang w:eastAsia="en-GB"/>
        </w:rPr>
        <w:t xml:space="preserve"> shortfall. </w:t>
      </w:r>
      <w:r w:rsidR="00B01456">
        <w:rPr>
          <w:szCs w:val="24"/>
          <w:lang w:eastAsia="en-GB"/>
        </w:rPr>
        <w:t>If</w:t>
      </w:r>
      <w:r w:rsidR="00876698" w:rsidRPr="00D177D4">
        <w:rPr>
          <w:szCs w:val="24"/>
          <w:lang w:eastAsia="en-GB"/>
        </w:rPr>
        <w:t xml:space="preserve"> </w:t>
      </w:r>
      <w:r w:rsidR="00876698" w:rsidRPr="00D177D4">
        <w:rPr>
          <w:i/>
          <w:iCs/>
          <w:szCs w:val="24"/>
          <w:lang w:eastAsia="en-GB"/>
        </w:rPr>
        <w:t>pari passu</w:t>
      </w:r>
      <w:r w:rsidR="00876698" w:rsidRPr="00D177D4">
        <w:rPr>
          <w:szCs w:val="24"/>
          <w:lang w:eastAsia="en-GB"/>
        </w:rPr>
        <w:t xml:space="preserve"> is applied, trustees </w:t>
      </w:r>
      <w:r w:rsidR="00B01456">
        <w:rPr>
          <w:szCs w:val="24"/>
          <w:lang w:eastAsia="en-GB"/>
        </w:rPr>
        <w:t xml:space="preserve">would </w:t>
      </w:r>
      <w:r w:rsidR="00876698" w:rsidRPr="00D177D4">
        <w:rPr>
          <w:szCs w:val="24"/>
          <w:lang w:eastAsia="en-GB"/>
        </w:rPr>
        <w:t>demand greater security upon retirement</w:t>
      </w:r>
      <w:r w:rsidR="00A51934">
        <w:rPr>
          <w:szCs w:val="24"/>
          <w:lang w:eastAsia="en-GB"/>
        </w:rPr>
        <w:t>,</w:t>
      </w:r>
      <w:r w:rsidR="00876698" w:rsidRPr="00D177D4">
        <w:rPr>
          <w:szCs w:val="24"/>
          <w:lang w:eastAsia="en-GB"/>
        </w:rPr>
        <w:t xml:space="preserve"> since their lien as a prior trustee will not enjoy priority over those of their successors</w:t>
      </w:r>
      <w:r w:rsidR="00A14632">
        <w:rPr>
          <w:szCs w:val="24"/>
          <w:lang w:eastAsia="en-GB"/>
        </w:rPr>
        <w:t xml:space="preserve"> </w:t>
      </w:r>
      <w:r w:rsidR="00BD79EE">
        <w:rPr>
          <w:b/>
          <w:bCs/>
          <w:szCs w:val="24"/>
          <w:lang w:eastAsia="en-GB"/>
        </w:rPr>
        <w:t>[191]</w:t>
      </w:r>
      <w:r w:rsidR="00CB2DE8" w:rsidRPr="00E2330C">
        <w:rPr>
          <w:b/>
          <w:bCs/>
          <w:szCs w:val="24"/>
          <w:lang w:eastAsia="en-GB"/>
        </w:rPr>
        <w:t>-</w:t>
      </w:r>
      <w:r w:rsidR="00A14632" w:rsidRPr="00CB2DE8">
        <w:rPr>
          <w:b/>
          <w:bCs/>
          <w:szCs w:val="24"/>
          <w:lang w:eastAsia="en-GB"/>
        </w:rPr>
        <w:t>[</w:t>
      </w:r>
      <w:r w:rsidR="00A14632">
        <w:rPr>
          <w:b/>
          <w:bCs/>
          <w:szCs w:val="24"/>
          <w:lang w:eastAsia="en-GB"/>
        </w:rPr>
        <w:t>200]</w:t>
      </w:r>
      <w:r w:rsidR="00876698" w:rsidRPr="00D177D4">
        <w:rPr>
          <w:szCs w:val="24"/>
          <w:lang w:eastAsia="en-GB"/>
        </w:rPr>
        <w:t>.</w:t>
      </w:r>
      <w:r w:rsidR="00876698">
        <w:rPr>
          <w:lang w:eastAsia="en-GB"/>
        </w:rPr>
        <w:t xml:space="preserve"> </w:t>
      </w:r>
    </w:p>
    <w:p w14:paraId="73C4AEF5" w14:textId="6F268FB1" w:rsidR="0081705C" w:rsidRPr="004D4955" w:rsidRDefault="0081705C" w:rsidP="001D0CCE">
      <w:pPr>
        <w:jc w:val="both"/>
        <w:rPr>
          <w:b/>
          <w:bCs/>
          <w:i/>
          <w:iCs/>
          <w:lang w:eastAsia="en-GB"/>
        </w:rPr>
      </w:pPr>
      <w:r w:rsidRPr="004D4955">
        <w:rPr>
          <w:b/>
          <w:bCs/>
          <w:i/>
          <w:iCs/>
          <w:lang w:eastAsia="en-GB"/>
        </w:rPr>
        <w:t>Issue Four</w:t>
      </w:r>
      <w:r w:rsidR="004327F5" w:rsidRPr="004D4955">
        <w:rPr>
          <w:b/>
          <w:bCs/>
          <w:i/>
          <w:iCs/>
          <w:lang w:eastAsia="en-GB"/>
        </w:rPr>
        <w:t>: does a trustee’s indemnity/lien extend to the costs of proving its claim against the trust if the trust is “insolvent”, in the sense that trustees’ claims to indemnity exceed the value of the trust fund?</w:t>
      </w:r>
    </w:p>
    <w:p w14:paraId="5276F3A1" w14:textId="5E7831EC" w:rsidR="004327F5" w:rsidRDefault="004327F5" w:rsidP="001D0CCE">
      <w:pPr>
        <w:jc w:val="both"/>
        <w:rPr>
          <w:lang w:eastAsia="en-GB"/>
        </w:rPr>
      </w:pPr>
      <w:r>
        <w:rPr>
          <w:lang w:eastAsia="en-GB"/>
        </w:rPr>
        <w:t xml:space="preserve">The Board unanimously holds </w:t>
      </w:r>
      <w:r w:rsidRPr="004327F5">
        <w:rPr>
          <w:lang w:eastAsia="en-GB"/>
        </w:rPr>
        <w:t>that the indemnity extends to the costs of proving the trustee’s claim against the trust assets</w:t>
      </w:r>
      <w:r w:rsidR="00FE149A">
        <w:rPr>
          <w:lang w:eastAsia="en-GB"/>
        </w:rPr>
        <w:t xml:space="preserve"> </w:t>
      </w:r>
      <w:r w:rsidR="00FE149A">
        <w:rPr>
          <w:b/>
          <w:bCs/>
          <w:lang w:eastAsia="en-GB"/>
        </w:rPr>
        <w:t>[4]</w:t>
      </w:r>
      <w:r w:rsidR="00FE149A">
        <w:rPr>
          <w:lang w:eastAsia="en-GB"/>
        </w:rPr>
        <w:t>,</w:t>
      </w:r>
      <w:r w:rsidRPr="004327F5">
        <w:rPr>
          <w:lang w:eastAsia="en-GB"/>
        </w:rPr>
        <w:t xml:space="preserve"> </w:t>
      </w:r>
      <w:r w:rsidRPr="004D4955">
        <w:rPr>
          <w:b/>
          <w:bCs/>
          <w:lang w:eastAsia="en-GB"/>
        </w:rPr>
        <w:t>[235]-[237]</w:t>
      </w:r>
      <w:r w:rsidR="00FE149A" w:rsidRPr="0063411A">
        <w:rPr>
          <w:lang w:eastAsia="en-GB"/>
        </w:rPr>
        <w:t>,</w:t>
      </w:r>
      <w:r w:rsidR="00FE149A">
        <w:rPr>
          <w:b/>
          <w:bCs/>
          <w:lang w:eastAsia="en-GB"/>
        </w:rPr>
        <w:t xml:space="preserve"> [238]</w:t>
      </w:r>
      <w:r w:rsidR="00FE149A">
        <w:rPr>
          <w:lang w:eastAsia="en-GB"/>
        </w:rPr>
        <w:t xml:space="preserve">, </w:t>
      </w:r>
      <w:r w:rsidR="00FE149A">
        <w:rPr>
          <w:b/>
          <w:bCs/>
          <w:lang w:eastAsia="en-GB"/>
        </w:rPr>
        <w:t>[279]</w:t>
      </w:r>
      <w:r w:rsidRPr="004327F5">
        <w:rPr>
          <w:lang w:eastAsia="en-GB"/>
        </w:rPr>
        <w:t>.</w:t>
      </w:r>
    </w:p>
    <w:p w14:paraId="2E692CA4" w14:textId="1EE2CD95" w:rsidR="0096091B" w:rsidRPr="0096091B" w:rsidRDefault="00614286" w:rsidP="001D0CCE">
      <w:pPr>
        <w:jc w:val="both"/>
        <w:rPr>
          <w:lang w:eastAsia="en-GB"/>
        </w:rPr>
      </w:pPr>
      <w:r>
        <w:rPr>
          <w:lang w:eastAsia="en-GB"/>
        </w:rPr>
        <w:t xml:space="preserve">There </w:t>
      </w:r>
      <w:r w:rsidR="008921B6">
        <w:rPr>
          <w:lang w:eastAsia="en-GB"/>
        </w:rPr>
        <w:t>i</w:t>
      </w:r>
      <w:r>
        <w:rPr>
          <w:lang w:eastAsia="en-GB"/>
        </w:rPr>
        <w:t>s no basis for suggesting it did not</w:t>
      </w:r>
      <w:r w:rsidR="003E5A5B">
        <w:rPr>
          <w:lang w:eastAsia="en-GB"/>
        </w:rPr>
        <w:t xml:space="preserve"> extend to such costs incurred after</w:t>
      </w:r>
      <w:r w:rsidR="00B45263">
        <w:rPr>
          <w:lang w:eastAsia="en-GB"/>
        </w:rPr>
        <w:t xml:space="preserve"> a trustee’s retirement</w:t>
      </w:r>
      <w:r w:rsidR="00DF2893">
        <w:rPr>
          <w:lang w:eastAsia="en-GB"/>
        </w:rPr>
        <w:t>,</w:t>
      </w:r>
      <w:r>
        <w:rPr>
          <w:lang w:eastAsia="en-GB"/>
        </w:rPr>
        <w:t xml:space="preserve"> given that the indemnity survived the </w:t>
      </w:r>
      <w:r w:rsidR="003971E0">
        <w:rPr>
          <w:lang w:eastAsia="en-GB"/>
        </w:rPr>
        <w:t>retirement of a trustee</w:t>
      </w:r>
      <w:r w:rsidR="00762D02">
        <w:rPr>
          <w:lang w:eastAsia="en-GB"/>
        </w:rPr>
        <w:t xml:space="preserve"> </w:t>
      </w:r>
      <w:r w:rsidR="00762D02">
        <w:rPr>
          <w:b/>
          <w:bCs/>
          <w:lang w:eastAsia="en-GB"/>
        </w:rPr>
        <w:t>[235]</w:t>
      </w:r>
      <w:r>
        <w:rPr>
          <w:lang w:eastAsia="en-GB"/>
        </w:rPr>
        <w:t xml:space="preserve">. </w:t>
      </w:r>
      <w:r w:rsidR="005F22FB">
        <w:rPr>
          <w:lang w:eastAsia="en-GB"/>
        </w:rPr>
        <w:t>There was no</w:t>
      </w:r>
      <w:r w:rsidR="00B45263">
        <w:rPr>
          <w:lang w:eastAsia="en-GB"/>
        </w:rPr>
        <w:t xml:space="preserve"> analogy with </w:t>
      </w:r>
      <w:r w:rsidR="00896489">
        <w:rPr>
          <w:lang w:eastAsia="en-GB"/>
        </w:rPr>
        <w:t xml:space="preserve">the rule applicable to </w:t>
      </w:r>
      <w:r w:rsidR="00083CB3">
        <w:rPr>
          <w:lang w:eastAsia="en-GB"/>
        </w:rPr>
        <w:t xml:space="preserve">the costs of </w:t>
      </w:r>
      <w:r w:rsidR="00896489">
        <w:rPr>
          <w:lang w:eastAsia="en-GB"/>
        </w:rPr>
        <w:t>creditor</w:t>
      </w:r>
      <w:r w:rsidR="00083CB3">
        <w:rPr>
          <w:lang w:eastAsia="en-GB"/>
        </w:rPr>
        <w:t>s in proving their debts in a formal ban</w:t>
      </w:r>
      <w:r w:rsidR="000060DE">
        <w:rPr>
          <w:lang w:eastAsia="en-GB"/>
        </w:rPr>
        <w:t>kruptcy proceeding</w:t>
      </w:r>
      <w:r w:rsidR="00AC622D">
        <w:rPr>
          <w:lang w:eastAsia="en-GB"/>
        </w:rPr>
        <w:t xml:space="preserve"> </w:t>
      </w:r>
      <w:r w:rsidR="00AC622D">
        <w:rPr>
          <w:b/>
          <w:bCs/>
          <w:lang w:eastAsia="en-GB"/>
        </w:rPr>
        <w:t>[237]</w:t>
      </w:r>
      <w:r w:rsidR="005F22FB">
        <w:rPr>
          <w:lang w:eastAsia="en-GB"/>
        </w:rPr>
        <w:t xml:space="preserve">. </w:t>
      </w:r>
    </w:p>
    <w:p w14:paraId="7BECBE8C" w14:textId="109A8F89" w:rsidR="00D42F25" w:rsidRPr="003322A9" w:rsidRDefault="00D42F25" w:rsidP="00AD5664">
      <w:pPr>
        <w:pStyle w:val="StyleSubsectionHeadingNounderline"/>
      </w:pPr>
      <w:r w:rsidRPr="003322A9">
        <w:t>References in square brackets are to paragraphs in the judgment</w:t>
      </w:r>
    </w:p>
    <w:p w14:paraId="7BB2F613" w14:textId="77777777" w:rsidR="00D6387F" w:rsidRDefault="00D6387F" w:rsidP="00D6387F">
      <w:pPr>
        <w:pStyle w:val="paragraph"/>
        <w:spacing w:before="0" w:beforeAutospacing="0" w:after="0" w:afterAutospacing="0"/>
        <w:textAlignment w:val="baseline"/>
        <w:rPr>
          <w:rFonts w:ascii="Segoe UI" w:hAnsi="Segoe UI" w:cs="Segoe UI"/>
          <w:b/>
          <w:bCs/>
          <w:sz w:val="18"/>
          <w:szCs w:val="18"/>
        </w:rPr>
      </w:pPr>
      <w:r>
        <w:rPr>
          <w:rStyle w:val="normaltextrun"/>
          <w:rFonts w:ascii="Calibri" w:eastAsiaTheme="majorEastAsia" w:hAnsi="Calibri" w:cs="Calibri"/>
          <w:b/>
          <w:bCs/>
          <w:sz w:val="22"/>
          <w:szCs w:val="22"/>
          <w:u w:val="single"/>
        </w:rPr>
        <w:t>NOTE</w:t>
      </w:r>
      <w:r>
        <w:rPr>
          <w:rStyle w:val="normaltextrun"/>
          <w:rFonts w:ascii="Calibri" w:eastAsiaTheme="majorEastAsia" w:hAnsi="Calibri" w:cs="Calibri"/>
          <w:b/>
          <w:bCs/>
          <w:sz w:val="22"/>
          <w:szCs w:val="22"/>
        </w:rPr>
        <w:t>:</w:t>
      </w:r>
      <w:r>
        <w:rPr>
          <w:rStyle w:val="eop"/>
          <w:rFonts w:ascii="Calibri" w:eastAsiaTheme="majorEastAsia" w:hAnsi="Calibri" w:cs="Calibri"/>
          <w:b/>
          <w:bCs/>
          <w:sz w:val="22"/>
          <w:szCs w:val="22"/>
        </w:rPr>
        <w:t> </w:t>
      </w:r>
    </w:p>
    <w:p w14:paraId="1B973037" w14:textId="77777777" w:rsidR="00D6387F" w:rsidRDefault="00D6387F" w:rsidP="00D6387F">
      <w:pPr>
        <w:pStyle w:val="paragraph"/>
        <w:spacing w:before="0" w:beforeAutospacing="0" w:after="0" w:afterAutospacing="0"/>
        <w:textAlignment w:val="baseline"/>
        <w:rPr>
          <w:rFonts w:ascii="Segoe UI" w:hAnsi="Segoe UI" w:cs="Segoe UI"/>
          <w:b/>
          <w:bCs/>
          <w:sz w:val="18"/>
          <w:szCs w:val="18"/>
        </w:rPr>
      </w:pPr>
      <w:r>
        <w:rPr>
          <w:rStyle w:val="normaltextrun"/>
          <w:rFonts w:ascii="Calibri" w:eastAsiaTheme="majorEastAsia" w:hAnsi="Calibri" w:cs="Calibri"/>
          <w:b/>
          <w:bCs/>
          <w:sz w:val="22"/>
          <w:szCs w:val="22"/>
        </w:rPr>
        <w:t>This summary is provided to assist in understanding the Committee’s decision. It does not form part of the reasons for that decision. The full opinion of the Committee is the only authoritative document. Judgments are public documents and are available at:</w:t>
      </w:r>
      <w:r>
        <w:rPr>
          <w:rStyle w:val="eop"/>
          <w:rFonts w:ascii="Calibri" w:eastAsiaTheme="majorEastAsia" w:hAnsi="Calibri" w:cs="Calibri"/>
          <w:b/>
          <w:bCs/>
          <w:sz w:val="22"/>
          <w:szCs w:val="22"/>
        </w:rPr>
        <w:t> </w:t>
      </w:r>
    </w:p>
    <w:p w14:paraId="12216475" w14:textId="52F37D71" w:rsidR="00D6387F" w:rsidRDefault="00D6387F" w:rsidP="00D6387F">
      <w:pPr>
        <w:pStyle w:val="paragraph"/>
        <w:spacing w:before="0" w:beforeAutospacing="0" w:after="0" w:afterAutospacing="0"/>
        <w:textAlignment w:val="baseline"/>
        <w:rPr>
          <w:rFonts w:ascii="Segoe UI" w:hAnsi="Segoe UI" w:cs="Segoe UI"/>
          <w:b/>
          <w:bCs/>
          <w:sz w:val="18"/>
          <w:szCs w:val="18"/>
        </w:rPr>
      </w:pPr>
      <w:r>
        <w:rPr>
          <w:rStyle w:val="normaltextrun"/>
          <w:rFonts w:ascii="Calibri" w:eastAsiaTheme="majorEastAsia" w:hAnsi="Calibri" w:cs="Calibri"/>
          <w:b/>
          <w:bCs/>
          <w:sz w:val="22"/>
          <w:szCs w:val="22"/>
        </w:rPr>
        <w:t>http:www.jcpc.uk/decided-cases/index.html</w:t>
      </w:r>
      <w:r>
        <w:rPr>
          <w:rStyle w:val="eop"/>
          <w:rFonts w:ascii="Calibri" w:eastAsiaTheme="majorEastAsia" w:hAnsi="Calibri" w:cs="Calibri"/>
          <w:b/>
          <w:bCs/>
          <w:sz w:val="22"/>
          <w:szCs w:val="22"/>
        </w:rPr>
        <w:t xml:space="preserve"> </w:t>
      </w:r>
    </w:p>
    <w:p w14:paraId="58B3D5DA" w14:textId="53BFAF3F" w:rsidR="00D42F25" w:rsidRPr="002E3F06" w:rsidRDefault="00D42F25" w:rsidP="00D6387F">
      <w:pPr>
        <w:pStyle w:val="Note"/>
        <w:rPr>
          <w:rFonts w:cstheme="minorHAnsi"/>
          <w:szCs w:val="24"/>
        </w:rPr>
      </w:pPr>
    </w:p>
    <w:sectPr w:rsidR="00D42F25" w:rsidRPr="002E3F06" w:rsidSect="00EB333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78FA"/>
    <w:multiLevelType w:val="hybridMultilevel"/>
    <w:tmpl w:val="4620C32C"/>
    <w:lvl w:ilvl="0" w:tplc="2762541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5C41C5"/>
    <w:multiLevelType w:val="hybridMultilevel"/>
    <w:tmpl w:val="1EE0CA5A"/>
    <w:lvl w:ilvl="0" w:tplc="373A28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8161746">
    <w:abstractNumId w:val="1"/>
  </w:num>
  <w:num w:numId="2" w16cid:durableId="162689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8"/>
    <w:rsid w:val="00001735"/>
    <w:rsid w:val="0000286E"/>
    <w:rsid w:val="000060DE"/>
    <w:rsid w:val="000068EA"/>
    <w:rsid w:val="00007383"/>
    <w:rsid w:val="000075E1"/>
    <w:rsid w:val="000138F4"/>
    <w:rsid w:val="000144C0"/>
    <w:rsid w:val="00014B31"/>
    <w:rsid w:val="000166AF"/>
    <w:rsid w:val="0002197C"/>
    <w:rsid w:val="00026679"/>
    <w:rsid w:val="00026979"/>
    <w:rsid w:val="000273D0"/>
    <w:rsid w:val="0003285E"/>
    <w:rsid w:val="00037217"/>
    <w:rsid w:val="00041273"/>
    <w:rsid w:val="000424D4"/>
    <w:rsid w:val="00046A1E"/>
    <w:rsid w:val="00046E51"/>
    <w:rsid w:val="000472C0"/>
    <w:rsid w:val="000550E9"/>
    <w:rsid w:val="00055A84"/>
    <w:rsid w:val="00056514"/>
    <w:rsid w:val="000613F4"/>
    <w:rsid w:val="00064896"/>
    <w:rsid w:val="00064F22"/>
    <w:rsid w:val="00066071"/>
    <w:rsid w:val="00072978"/>
    <w:rsid w:val="00076197"/>
    <w:rsid w:val="00077340"/>
    <w:rsid w:val="00077402"/>
    <w:rsid w:val="00082A14"/>
    <w:rsid w:val="000835EA"/>
    <w:rsid w:val="00083CB3"/>
    <w:rsid w:val="00083D21"/>
    <w:rsid w:val="000846DF"/>
    <w:rsid w:val="000857B1"/>
    <w:rsid w:val="000865B7"/>
    <w:rsid w:val="00091247"/>
    <w:rsid w:val="0009138D"/>
    <w:rsid w:val="0009201C"/>
    <w:rsid w:val="000936C4"/>
    <w:rsid w:val="000949C6"/>
    <w:rsid w:val="00096234"/>
    <w:rsid w:val="000A397F"/>
    <w:rsid w:val="000A6852"/>
    <w:rsid w:val="000A6DDA"/>
    <w:rsid w:val="000B4604"/>
    <w:rsid w:val="000B6B46"/>
    <w:rsid w:val="000B7E7D"/>
    <w:rsid w:val="000C08DE"/>
    <w:rsid w:val="000C714F"/>
    <w:rsid w:val="000C7443"/>
    <w:rsid w:val="000D3E72"/>
    <w:rsid w:val="000D5876"/>
    <w:rsid w:val="000D74BD"/>
    <w:rsid w:val="000E47FD"/>
    <w:rsid w:val="000E557C"/>
    <w:rsid w:val="000E5910"/>
    <w:rsid w:val="000E5B38"/>
    <w:rsid w:val="000E6098"/>
    <w:rsid w:val="000F0B0E"/>
    <w:rsid w:val="000F1C9F"/>
    <w:rsid w:val="000F2D5C"/>
    <w:rsid w:val="0010112B"/>
    <w:rsid w:val="00102A26"/>
    <w:rsid w:val="00102AD1"/>
    <w:rsid w:val="001037C2"/>
    <w:rsid w:val="001056D0"/>
    <w:rsid w:val="00105D5E"/>
    <w:rsid w:val="001062A1"/>
    <w:rsid w:val="0010690F"/>
    <w:rsid w:val="00110921"/>
    <w:rsid w:val="0011378E"/>
    <w:rsid w:val="00114D1F"/>
    <w:rsid w:val="00114DC3"/>
    <w:rsid w:val="00114E3F"/>
    <w:rsid w:val="001151BC"/>
    <w:rsid w:val="00116B88"/>
    <w:rsid w:val="00116C3E"/>
    <w:rsid w:val="00124D17"/>
    <w:rsid w:val="001315A9"/>
    <w:rsid w:val="00131F96"/>
    <w:rsid w:val="00132C7D"/>
    <w:rsid w:val="001346F4"/>
    <w:rsid w:val="00135674"/>
    <w:rsid w:val="0013691B"/>
    <w:rsid w:val="00136F86"/>
    <w:rsid w:val="00141C1E"/>
    <w:rsid w:val="00151BBD"/>
    <w:rsid w:val="0015217A"/>
    <w:rsid w:val="001529A2"/>
    <w:rsid w:val="00152AC4"/>
    <w:rsid w:val="001550F7"/>
    <w:rsid w:val="00157698"/>
    <w:rsid w:val="00164CF2"/>
    <w:rsid w:val="00167AFB"/>
    <w:rsid w:val="00167B6D"/>
    <w:rsid w:val="0017106B"/>
    <w:rsid w:val="00171863"/>
    <w:rsid w:val="001719A8"/>
    <w:rsid w:val="00171C17"/>
    <w:rsid w:val="0017262C"/>
    <w:rsid w:val="00181D9E"/>
    <w:rsid w:val="001822EF"/>
    <w:rsid w:val="00182DBE"/>
    <w:rsid w:val="00184344"/>
    <w:rsid w:val="00187AA7"/>
    <w:rsid w:val="0019277D"/>
    <w:rsid w:val="0019322C"/>
    <w:rsid w:val="00193725"/>
    <w:rsid w:val="00194975"/>
    <w:rsid w:val="001A5206"/>
    <w:rsid w:val="001A616E"/>
    <w:rsid w:val="001A6D8B"/>
    <w:rsid w:val="001A6DB5"/>
    <w:rsid w:val="001B02AE"/>
    <w:rsid w:val="001B3937"/>
    <w:rsid w:val="001C0546"/>
    <w:rsid w:val="001C0F57"/>
    <w:rsid w:val="001C1A90"/>
    <w:rsid w:val="001C2C91"/>
    <w:rsid w:val="001C71B0"/>
    <w:rsid w:val="001D0CCE"/>
    <w:rsid w:val="001D2F9D"/>
    <w:rsid w:val="001D3BCC"/>
    <w:rsid w:val="001D57AB"/>
    <w:rsid w:val="001D6231"/>
    <w:rsid w:val="001E12F3"/>
    <w:rsid w:val="001E4578"/>
    <w:rsid w:val="001F4A26"/>
    <w:rsid w:val="001F6AFB"/>
    <w:rsid w:val="002024A3"/>
    <w:rsid w:val="00204C47"/>
    <w:rsid w:val="00205A80"/>
    <w:rsid w:val="0020633F"/>
    <w:rsid w:val="00214CC8"/>
    <w:rsid w:val="00214D6D"/>
    <w:rsid w:val="0021532E"/>
    <w:rsid w:val="0021727E"/>
    <w:rsid w:val="00221127"/>
    <w:rsid w:val="00226DCE"/>
    <w:rsid w:val="00235C80"/>
    <w:rsid w:val="00235CD0"/>
    <w:rsid w:val="00247470"/>
    <w:rsid w:val="00251C5C"/>
    <w:rsid w:val="002528DE"/>
    <w:rsid w:val="00254EF1"/>
    <w:rsid w:val="0026093C"/>
    <w:rsid w:val="00261F09"/>
    <w:rsid w:val="00266BE7"/>
    <w:rsid w:val="00266D8E"/>
    <w:rsid w:val="00267F00"/>
    <w:rsid w:val="00270571"/>
    <w:rsid w:val="00272789"/>
    <w:rsid w:val="00274BB8"/>
    <w:rsid w:val="002763EC"/>
    <w:rsid w:val="002772B5"/>
    <w:rsid w:val="00277D64"/>
    <w:rsid w:val="00281244"/>
    <w:rsid w:val="00287F5E"/>
    <w:rsid w:val="00295475"/>
    <w:rsid w:val="0029621B"/>
    <w:rsid w:val="00296A0C"/>
    <w:rsid w:val="002979A3"/>
    <w:rsid w:val="002A070F"/>
    <w:rsid w:val="002A0AAE"/>
    <w:rsid w:val="002A1920"/>
    <w:rsid w:val="002A1F05"/>
    <w:rsid w:val="002A78A6"/>
    <w:rsid w:val="002B5451"/>
    <w:rsid w:val="002B6365"/>
    <w:rsid w:val="002B7A7A"/>
    <w:rsid w:val="002C04FB"/>
    <w:rsid w:val="002C1354"/>
    <w:rsid w:val="002C15A6"/>
    <w:rsid w:val="002C1888"/>
    <w:rsid w:val="002C2D0A"/>
    <w:rsid w:val="002C6D68"/>
    <w:rsid w:val="002C7722"/>
    <w:rsid w:val="002D1311"/>
    <w:rsid w:val="002D364F"/>
    <w:rsid w:val="002D3CAA"/>
    <w:rsid w:val="002D5FF7"/>
    <w:rsid w:val="002E103E"/>
    <w:rsid w:val="002E3F06"/>
    <w:rsid w:val="002E52ED"/>
    <w:rsid w:val="002E53E0"/>
    <w:rsid w:val="002E617C"/>
    <w:rsid w:val="002F2878"/>
    <w:rsid w:val="002F28FD"/>
    <w:rsid w:val="002F545B"/>
    <w:rsid w:val="0030459D"/>
    <w:rsid w:val="00306230"/>
    <w:rsid w:val="00306A3E"/>
    <w:rsid w:val="00306A73"/>
    <w:rsid w:val="003107E7"/>
    <w:rsid w:val="0031262F"/>
    <w:rsid w:val="00316666"/>
    <w:rsid w:val="00317E07"/>
    <w:rsid w:val="00327A39"/>
    <w:rsid w:val="003322A9"/>
    <w:rsid w:val="00334CF3"/>
    <w:rsid w:val="0033713A"/>
    <w:rsid w:val="00341864"/>
    <w:rsid w:val="003426FF"/>
    <w:rsid w:val="003443BA"/>
    <w:rsid w:val="003444BA"/>
    <w:rsid w:val="003555C8"/>
    <w:rsid w:val="00361206"/>
    <w:rsid w:val="003619EF"/>
    <w:rsid w:val="00362DD5"/>
    <w:rsid w:val="00365D6E"/>
    <w:rsid w:val="00366E80"/>
    <w:rsid w:val="00371D8A"/>
    <w:rsid w:val="00375533"/>
    <w:rsid w:val="00377DCF"/>
    <w:rsid w:val="003817D3"/>
    <w:rsid w:val="00385BA2"/>
    <w:rsid w:val="003952B0"/>
    <w:rsid w:val="00395C39"/>
    <w:rsid w:val="00396CBE"/>
    <w:rsid w:val="003971E0"/>
    <w:rsid w:val="003A22E8"/>
    <w:rsid w:val="003A2A95"/>
    <w:rsid w:val="003A76F5"/>
    <w:rsid w:val="003B65C9"/>
    <w:rsid w:val="003B706B"/>
    <w:rsid w:val="003C08A7"/>
    <w:rsid w:val="003D10A9"/>
    <w:rsid w:val="003D49BA"/>
    <w:rsid w:val="003D570E"/>
    <w:rsid w:val="003D68B0"/>
    <w:rsid w:val="003D764E"/>
    <w:rsid w:val="003D7D9D"/>
    <w:rsid w:val="003E0C26"/>
    <w:rsid w:val="003E48D8"/>
    <w:rsid w:val="003E5A5B"/>
    <w:rsid w:val="003E5EE9"/>
    <w:rsid w:val="003E675D"/>
    <w:rsid w:val="003F416C"/>
    <w:rsid w:val="003F53D2"/>
    <w:rsid w:val="003F7A70"/>
    <w:rsid w:val="00404940"/>
    <w:rsid w:val="0040747D"/>
    <w:rsid w:val="004225FB"/>
    <w:rsid w:val="00424AF2"/>
    <w:rsid w:val="00427353"/>
    <w:rsid w:val="004327F5"/>
    <w:rsid w:val="00435420"/>
    <w:rsid w:val="004406D3"/>
    <w:rsid w:val="004413C0"/>
    <w:rsid w:val="00443A70"/>
    <w:rsid w:val="00451FF8"/>
    <w:rsid w:val="00454BC2"/>
    <w:rsid w:val="004602D3"/>
    <w:rsid w:val="004606DE"/>
    <w:rsid w:val="00473094"/>
    <w:rsid w:val="00480E03"/>
    <w:rsid w:val="00481A10"/>
    <w:rsid w:val="00487887"/>
    <w:rsid w:val="00490933"/>
    <w:rsid w:val="004909C9"/>
    <w:rsid w:val="00491F4B"/>
    <w:rsid w:val="00493483"/>
    <w:rsid w:val="004968CB"/>
    <w:rsid w:val="00497D06"/>
    <w:rsid w:val="004A1BC0"/>
    <w:rsid w:val="004A1BD4"/>
    <w:rsid w:val="004A571F"/>
    <w:rsid w:val="004B0201"/>
    <w:rsid w:val="004B093A"/>
    <w:rsid w:val="004B1410"/>
    <w:rsid w:val="004B445F"/>
    <w:rsid w:val="004C090E"/>
    <w:rsid w:val="004C312A"/>
    <w:rsid w:val="004C33AE"/>
    <w:rsid w:val="004C4AF8"/>
    <w:rsid w:val="004C5029"/>
    <w:rsid w:val="004C7749"/>
    <w:rsid w:val="004C7EFC"/>
    <w:rsid w:val="004D0A4E"/>
    <w:rsid w:val="004D0C01"/>
    <w:rsid w:val="004D18F6"/>
    <w:rsid w:val="004D324C"/>
    <w:rsid w:val="004D4955"/>
    <w:rsid w:val="004D57B7"/>
    <w:rsid w:val="004D5B09"/>
    <w:rsid w:val="004E1879"/>
    <w:rsid w:val="004E43C7"/>
    <w:rsid w:val="004E4ED4"/>
    <w:rsid w:val="004E693D"/>
    <w:rsid w:val="004F095F"/>
    <w:rsid w:val="004F6C03"/>
    <w:rsid w:val="00502253"/>
    <w:rsid w:val="00502F5E"/>
    <w:rsid w:val="00507047"/>
    <w:rsid w:val="00511B3A"/>
    <w:rsid w:val="005138F4"/>
    <w:rsid w:val="005156E9"/>
    <w:rsid w:val="00530E80"/>
    <w:rsid w:val="005328C9"/>
    <w:rsid w:val="0054205B"/>
    <w:rsid w:val="0054520C"/>
    <w:rsid w:val="0054574F"/>
    <w:rsid w:val="0054769E"/>
    <w:rsid w:val="00553342"/>
    <w:rsid w:val="0056324B"/>
    <w:rsid w:val="005665EB"/>
    <w:rsid w:val="00572A25"/>
    <w:rsid w:val="00573918"/>
    <w:rsid w:val="00575904"/>
    <w:rsid w:val="00580A90"/>
    <w:rsid w:val="00582C09"/>
    <w:rsid w:val="00586219"/>
    <w:rsid w:val="00586E35"/>
    <w:rsid w:val="00591372"/>
    <w:rsid w:val="0059471B"/>
    <w:rsid w:val="005A21B6"/>
    <w:rsid w:val="005A4F6E"/>
    <w:rsid w:val="005A7CDD"/>
    <w:rsid w:val="005B1D61"/>
    <w:rsid w:val="005B1E79"/>
    <w:rsid w:val="005B264E"/>
    <w:rsid w:val="005B3241"/>
    <w:rsid w:val="005B548D"/>
    <w:rsid w:val="005B6AC1"/>
    <w:rsid w:val="005B7C21"/>
    <w:rsid w:val="005C10B9"/>
    <w:rsid w:val="005C5EA2"/>
    <w:rsid w:val="005C5FFB"/>
    <w:rsid w:val="005D00D9"/>
    <w:rsid w:val="005D4107"/>
    <w:rsid w:val="005D67C6"/>
    <w:rsid w:val="005E1058"/>
    <w:rsid w:val="005E7F55"/>
    <w:rsid w:val="005F22FB"/>
    <w:rsid w:val="005F754E"/>
    <w:rsid w:val="006004C3"/>
    <w:rsid w:val="00600983"/>
    <w:rsid w:val="006021D4"/>
    <w:rsid w:val="006028E1"/>
    <w:rsid w:val="00605CCF"/>
    <w:rsid w:val="0060694B"/>
    <w:rsid w:val="00610675"/>
    <w:rsid w:val="006108EF"/>
    <w:rsid w:val="00614286"/>
    <w:rsid w:val="00615E1A"/>
    <w:rsid w:val="00616E81"/>
    <w:rsid w:val="00625233"/>
    <w:rsid w:val="00626293"/>
    <w:rsid w:val="00626C98"/>
    <w:rsid w:val="006325B1"/>
    <w:rsid w:val="00632CA4"/>
    <w:rsid w:val="0063411A"/>
    <w:rsid w:val="00634CE1"/>
    <w:rsid w:val="00636253"/>
    <w:rsid w:val="006411F0"/>
    <w:rsid w:val="006428E4"/>
    <w:rsid w:val="00645EE3"/>
    <w:rsid w:val="0064768D"/>
    <w:rsid w:val="00650912"/>
    <w:rsid w:val="006513B0"/>
    <w:rsid w:val="00656AEB"/>
    <w:rsid w:val="00656D24"/>
    <w:rsid w:val="00660C49"/>
    <w:rsid w:val="00661397"/>
    <w:rsid w:val="006618D2"/>
    <w:rsid w:val="0066278A"/>
    <w:rsid w:val="00664F04"/>
    <w:rsid w:val="00670396"/>
    <w:rsid w:val="00670541"/>
    <w:rsid w:val="00670F33"/>
    <w:rsid w:val="006719D4"/>
    <w:rsid w:val="00672267"/>
    <w:rsid w:val="006732B5"/>
    <w:rsid w:val="006732ED"/>
    <w:rsid w:val="00677CA7"/>
    <w:rsid w:val="00683E5E"/>
    <w:rsid w:val="0068759B"/>
    <w:rsid w:val="00690503"/>
    <w:rsid w:val="00696B29"/>
    <w:rsid w:val="006971F1"/>
    <w:rsid w:val="006A7166"/>
    <w:rsid w:val="006B0225"/>
    <w:rsid w:val="006B1AEC"/>
    <w:rsid w:val="006B1DF4"/>
    <w:rsid w:val="006B4126"/>
    <w:rsid w:val="006C32DC"/>
    <w:rsid w:val="006C4A3F"/>
    <w:rsid w:val="006C4C69"/>
    <w:rsid w:val="006C7627"/>
    <w:rsid w:val="006D2384"/>
    <w:rsid w:val="006D347C"/>
    <w:rsid w:val="006D3C90"/>
    <w:rsid w:val="006D5B4C"/>
    <w:rsid w:val="006E3329"/>
    <w:rsid w:val="006E49A1"/>
    <w:rsid w:val="006E49B9"/>
    <w:rsid w:val="006E61F9"/>
    <w:rsid w:val="006E6AC2"/>
    <w:rsid w:val="006E6B0A"/>
    <w:rsid w:val="006E6D81"/>
    <w:rsid w:val="006F5836"/>
    <w:rsid w:val="007028F6"/>
    <w:rsid w:val="0070609D"/>
    <w:rsid w:val="007118AD"/>
    <w:rsid w:val="00712B0D"/>
    <w:rsid w:val="00714325"/>
    <w:rsid w:val="00716873"/>
    <w:rsid w:val="00717DC3"/>
    <w:rsid w:val="007242FF"/>
    <w:rsid w:val="007269C5"/>
    <w:rsid w:val="00726D51"/>
    <w:rsid w:val="00732AA9"/>
    <w:rsid w:val="00734A9B"/>
    <w:rsid w:val="00734F0A"/>
    <w:rsid w:val="00736252"/>
    <w:rsid w:val="0074402A"/>
    <w:rsid w:val="007455D6"/>
    <w:rsid w:val="0074658B"/>
    <w:rsid w:val="007509A8"/>
    <w:rsid w:val="00751060"/>
    <w:rsid w:val="00762300"/>
    <w:rsid w:val="00762A0E"/>
    <w:rsid w:val="00762D02"/>
    <w:rsid w:val="0076452E"/>
    <w:rsid w:val="00766EA4"/>
    <w:rsid w:val="00771D2C"/>
    <w:rsid w:val="00775129"/>
    <w:rsid w:val="00785775"/>
    <w:rsid w:val="00785DB9"/>
    <w:rsid w:val="00793610"/>
    <w:rsid w:val="007948B8"/>
    <w:rsid w:val="00795904"/>
    <w:rsid w:val="00797E77"/>
    <w:rsid w:val="007A0C27"/>
    <w:rsid w:val="007A33E4"/>
    <w:rsid w:val="007B17FA"/>
    <w:rsid w:val="007B48A2"/>
    <w:rsid w:val="007B4AEC"/>
    <w:rsid w:val="007C12D2"/>
    <w:rsid w:val="007C3B85"/>
    <w:rsid w:val="007C7DDB"/>
    <w:rsid w:val="007D0108"/>
    <w:rsid w:val="007D3378"/>
    <w:rsid w:val="007D5732"/>
    <w:rsid w:val="007D76D2"/>
    <w:rsid w:val="007E0EBA"/>
    <w:rsid w:val="007E4FCD"/>
    <w:rsid w:val="007E7A4E"/>
    <w:rsid w:val="007F2D02"/>
    <w:rsid w:val="0080093D"/>
    <w:rsid w:val="00800F0E"/>
    <w:rsid w:val="00801D9F"/>
    <w:rsid w:val="008053E6"/>
    <w:rsid w:val="008057D8"/>
    <w:rsid w:val="00810A76"/>
    <w:rsid w:val="00810B9F"/>
    <w:rsid w:val="0081705C"/>
    <w:rsid w:val="008201CF"/>
    <w:rsid w:val="0082073B"/>
    <w:rsid w:val="0082081C"/>
    <w:rsid w:val="008252F8"/>
    <w:rsid w:val="008259BE"/>
    <w:rsid w:val="008265DA"/>
    <w:rsid w:val="008273F2"/>
    <w:rsid w:val="00830421"/>
    <w:rsid w:val="00830A3E"/>
    <w:rsid w:val="00830AE9"/>
    <w:rsid w:val="00831507"/>
    <w:rsid w:val="00831F44"/>
    <w:rsid w:val="00832E1B"/>
    <w:rsid w:val="008342B2"/>
    <w:rsid w:val="0083449C"/>
    <w:rsid w:val="008360E8"/>
    <w:rsid w:val="00843803"/>
    <w:rsid w:val="00844473"/>
    <w:rsid w:val="0084713C"/>
    <w:rsid w:val="008478CF"/>
    <w:rsid w:val="008514AC"/>
    <w:rsid w:val="00855BF3"/>
    <w:rsid w:val="008745E4"/>
    <w:rsid w:val="00876698"/>
    <w:rsid w:val="008805DF"/>
    <w:rsid w:val="00883F5D"/>
    <w:rsid w:val="00887FAE"/>
    <w:rsid w:val="008914AB"/>
    <w:rsid w:val="008921B6"/>
    <w:rsid w:val="00895722"/>
    <w:rsid w:val="00896107"/>
    <w:rsid w:val="00896489"/>
    <w:rsid w:val="00896A2C"/>
    <w:rsid w:val="008A1022"/>
    <w:rsid w:val="008A185F"/>
    <w:rsid w:val="008A1D0C"/>
    <w:rsid w:val="008A55EE"/>
    <w:rsid w:val="008B0B8B"/>
    <w:rsid w:val="008B1C7E"/>
    <w:rsid w:val="008B62BF"/>
    <w:rsid w:val="008C047B"/>
    <w:rsid w:val="008C053D"/>
    <w:rsid w:val="008C6F04"/>
    <w:rsid w:val="008C7CDA"/>
    <w:rsid w:val="008D1BFE"/>
    <w:rsid w:val="008D29B3"/>
    <w:rsid w:val="008D2BEC"/>
    <w:rsid w:val="008D4691"/>
    <w:rsid w:val="008D4967"/>
    <w:rsid w:val="008D6AA0"/>
    <w:rsid w:val="008F2852"/>
    <w:rsid w:val="008F29B6"/>
    <w:rsid w:val="008F3416"/>
    <w:rsid w:val="008F4935"/>
    <w:rsid w:val="008F6A0C"/>
    <w:rsid w:val="00901EB8"/>
    <w:rsid w:val="0090267B"/>
    <w:rsid w:val="00904DB5"/>
    <w:rsid w:val="00904F55"/>
    <w:rsid w:val="00905EAA"/>
    <w:rsid w:val="009060E7"/>
    <w:rsid w:val="00912B09"/>
    <w:rsid w:val="00914C28"/>
    <w:rsid w:val="009219AD"/>
    <w:rsid w:val="00922A67"/>
    <w:rsid w:val="00922BD3"/>
    <w:rsid w:val="009235A4"/>
    <w:rsid w:val="009250B3"/>
    <w:rsid w:val="0092605D"/>
    <w:rsid w:val="0093154D"/>
    <w:rsid w:val="0093585E"/>
    <w:rsid w:val="00940645"/>
    <w:rsid w:val="009407DD"/>
    <w:rsid w:val="0094106A"/>
    <w:rsid w:val="0094268E"/>
    <w:rsid w:val="00942E49"/>
    <w:rsid w:val="00947F75"/>
    <w:rsid w:val="00951DE1"/>
    <w:rsid w:val="00956665"/>
    <w:rsid w:val="00957CA0"/>
    <w:rsid w:val="0096091B"/>
    <w:rsid w:val="009628AB"/>
    <w:rsid w:val="009641D7"/>
    <w:rsid w:val="0096422C"/>
    <w:rsid w:val="00966F58"/>
    <w:rsid w:val="00967957"/>
    <w:rsid w:val="00967EF7"/>
    <w:rsid w:val="00970B7C"/>
    <w:rsid w:val="00977834"/>
    <w:rsid w:val="00982725"/>
    <w:rsid w:val="00991EDB"/>
    <w:rsid w:val="00994E13"/>
    <w:rsid w:val="00996B09"/>
    <w:rsid w:val="00996E81"/>
    <w:rsid w:val="009971EF"/>
    <w:rsid w:val="009975AC"/>
    <w:rsid w:val="009A282B"/>
    <w:rsid w:val="009A48C2"/>
    <w:rsid w:val="009A6EFD"/>
    <w:rsid w:val="009B27A1"/>
    <w:rsid w:val="009B2862"/>
    <w:rsid w:val="009B4A7A"/>
    <w:rsid w:val="009C4499"/>
    <w:rsid w:val="009C533F"/>
    <w:rsid w:val="009C5E95"/>
    <w:rsid w:val="009D06F0"/>
    <w:rsid w:val="009D175C"/>
    <w:rsid w:val="009D719A"/>
    <w:rsid w:val="009D7D10"/>
    <w:rsid w:val="009E00BB"/>
    <w:rsid w:val="009E0ADF"/>
    <w:rsid w:val="009E5FF5"/>
    <w:rsid w:val="009E610E"/>
    <w:rsid w:val="009E7609"/>
    <w:rsid w:val="009F25F6"/>
    <w:rsid w:val="009F64A6"/>
    <w:rsid w:val="00A00434"/>
    <w:rsid w:val="00A01CEF"/>
    <w:rsid w:val="00A0306E"/>
    <w:rsid w:val="00A04AE3"/>
    <w:rsid w:val="00A0597B"/>
    <w:rsid w:val="00A06EDB"/>
    <w:rsid w:val="00A10338"/>
    <w:rsid w:val="00A13018"/>
    <w:rsid w:val="00A14110"/>
    <w:rsid w:val="00A14632"/>
    <w:rsid w:val="00A16DC2"/>
    <w:rsid w:val="00A2099A"/>
    <w:rsid w:val="00A25A9A"/>
    <w:rsid w:val="00A26355"/>
    <w:rsid w:val="00A337B6"/>
    <w:rsid w:val="00A35F9D"/>
    <w:rsid w:val="00A360EB"/>
    <w:rsid w:val="00A36F12"/>
    <w:rsid w:val="00A372ED"/>
    <w:rsid w:val="00A37558"/>
    <w:rsid w:val="00A41EB6"/>
    <w:rsid w:val="00A46655"/>
    <w:rsid w:val="00A51934"/>
    <w:rsid w:val="00A52E46"/>
    <w:rsid w:val="00A55F9A"/>
    <w:rsid w:val="00A60690"/>
    <w:rsid w:val="00A70701"/>
    <w:rsid w:val="00A725FD"/>
    <w:rsid w:val="00A74830"/>
    <w:rsid w:val="00A77454"/>
    <w:rsid w:val="00A80696"/>
    <w:rsid w:val="00A81A06"/>
    <w:rsid w:val="00A85337"/>
    <w:rsid w:val="00A87959"/>
    <w:rsid w:val="00A91C60"/>
    <w:rsid w:val="00A9245E"/>
    <w:rsid w:val="00A94AE9"/>
    <w:rsid w:val="00AA64DF"/>
    <w:rsid w:val="00AA6608"/>
    <w:rsid w:val="00AB0588"/>
    <w:rsid w:val="00AB0C58"/>
    <w:rsid w:val="00AB4F12"/>
    <w:rsid w:val="00AB689D"/>
    <w:rsid w:val="00AB7B4C"/>
    <w:rsid w:val="00AC320C"/>
    <w:rsid w:val="00AC622D"/>
    <w:rsid w:val="00AC6E9D"/>
    <w:rsid w:val="00AD0D3E"/>
    <w:rsid w:val="00AD4DD9"/>
    <w:rsid w:val="00AD5664"/>
    <w:rsid w:val="00AD5FA7"/>
    <w:rsid w:val="00AF1AF5"/>
    <w:rsid w:val="00AF338B"/>
    <w:rsid w:val="00AF3DA3"/>
    <w:rsid w:val="00AF4614"/>
    <w:rsid w:val="00AF47AF"/>
    <w:rsid w:val="00B00989"/>
    <w:rsid w:val="00B01456"/>
    <w:rsid w:val="00B02899"/>
    <w:rsid w:val="00B04C3B"/>
    <w:rsid w:val="00B07B4C"/>
    <w:rsid w:val="00B171F1"/>
    <w:rsid w:val="00B20501"/>
    <w:rsid w:val="00B20DDA"/>
    <w:rsid w:val="00B212F3"/>
    <w:rsid w:val="00B221B8"/>
    <w:rsid w:val="00B22993"/>
    <w:rsid w:val="00B234B7"/>
    <w:rsid w:val="00B23A9D"/>
    <w:rsid w:val="00B2549B"/>
    <w:rsid w:val="00B26A3C"/>
    <w:rsid w:val="00B31114"/>
    <w:rsid w:val="00B33CF2"/>
    <w:rsid w:val="00B3676E"/>
    <w:rsid w:val="00B427A0"/>
    <w:rsid w:val="00B43276"/>
    <w:rsid w:val="00B45263"/>
    <w:rsid w:val="00B45455"/>
    <w:rsid w:val="00B470DD"/>
    <w:rsid w:val="00B47CB9"/>
    <w:rsid w:val="00B53C7C"/>
    <w:rsid w:val="00B558E9"/>
    <w:rsid w:val="00B637EA"/>
    <w:rsid w:val="00B71570"/>
    <w:rsid w:val="00B71CDD"/>
    <w:rsid w:val="00B75B3D"/>
    <w:rsid w:val="00B75D6E"/>
    <w:rsid w:val="00B80D0C"/>
    <w:rsid w:val="00B83C9B"/>
    <w:rsid w:val="00B91DD5"/>
    <w:rsid w:val="00B94327"/>
    <w:rsid w:val="00B95D37"/>
    <w:rsid w:val="00BA1FDE"/>
    <w:rsid w:val="00BA31C4"/>
    <w:rsid w:val="00BA34EE"/>
    <w:rsid w:val="00BA5269"/>
    <w:rsid w:val="00BA6788"/>
    <w:rsid w:val="00BB00AE"/>
    <w:rsid w:val="00BB7F9A"/>
    <w:rsid w:val="00BC11B0"/>
    <w:rsid w:val="00BC18BB"/>
    <w:rsid w:val="00BC1D8D"/>
    <w:rsid w:val="00BC38DB"/>
    <w:rsid w:val="00BD2F39"/>
    <w:rsid w:val="00BD47D8"/>
    <w:rsid w:val="00BD79EE"/>
    <w:rsid w:val="00BE0DD9"/>
    <w:rsid w:val="00BE6A33"/>
    <w:rsid w:val="00BF2F8C"/>
    <w:rsid w:val="00BF349E"/>
    <w:rsid w:val="00BF61DB"/>
    <w:rsid w:val="00BF702C"/>
    <w:rsid w:val="00C000CF"/>
    <w:rsid w:val="00C036F5"/>
    <w:rsid w:val="00C03BA9"/>
    <w:rsid w:val="00C06C87"/>
    <w:rsid w:val="00C0721D"/>
    <w:rsid w:val="00C10EDA"/>
    <w:rsid w:val="00C11051"/>
    <w:rsid w:val="00C12C53"/>
    <w:rsid w:val="00C1661E"/>
    <w:rsid w:val="00C17FB6"/>
    <w:rsid w:val="00C23187"/>
    <w:rsid w:val="00C248E0"/>
    <w:rsid w:val="00C3146F"/>
    <w:rsid w:val="00C33EB5"/>
    <w:rsid w:val="00C34DC9"/>
    <w:rsid w:val="00C4689F"/>
    <w:rsid w:val="00C47E30"/>
    <w:rsid w:val="00C52041"/>
    <w:rsid w:val="00C527BF"/>
    <w:rsid w:val="00C5324E"/>
    <w:rsid w:val="00C53A86"/>
    <w:rsid w:val="00C5628F"/>
    <w:rsid w:val="00C56D1E"/>
    <w:rsid w:val="00C6171E"/>
    <w:rsid w:val="00C669D7"/>
    <w:rsid w:val="00C81DED"/>
    <w:rsid w:val="00C8372C"/>
    <w:rsid w:val="00C86838"/>
    <w:rsid w:val="00C902B8"/>
    <w:rsid w:val="00C9188F"/>
    <w:rsid w:val="00C95D17"/>
    <w:rsid w:val="00CA19A5"/>
    <w:rsid w:val="00CA62A3"/>
    <w:rsid w:val="00CA69F8"/>
    <w:rsid w:val="00CB2DE8"/>
    <w:rsid w:val="00CB4B3A"/>
    <w:rsid w:val="00CC0AE1"/>
    <w:rsid w:val="00CC21A0"/>
    <w:rsid w:val="00CC4B30"/>
    <w:rsid w:val="00CC57C5"/>
    <w:rsid w:val="00CC5992"/>
    <w:rsid w:val="00CC734F"/>
    <w:rsid w:val="00CD1ADB"/>
    <w:rsid w:val="00CD1F7B"/>
    <w:rsid w:val="00CE076B"/>
    <w:rsid w:val="00CE0C16"/>
    <w:rsid w:val="00CE1707"/>
    <w:rsid w:val="00CE68F7"/>
    <w:rsid w:val="00CE6BBB"/>
    <w:rsid w:val="00CE799E"/>
    <w:rsid w:val="00CF3C42"/>
    <w:rsid w:val="00CF5F77"/>
    <w:rsid w:val="00D001A9"/>
    <w:rsid w:val="00D007D2"/>
    <w:rsid w:val="00D038AC"/>
    <w:rsid w:val="00D040E6"/>
    <w:rsid w:val="00D056FB"/>
    <w:rsid w:val="00D07355"/>
    <w:rsid w:val="00D07C55"/>
    <w:rsid w:val="00D10831"/>
    <w:rsid w:val="00D1519F"/>
    <w:rsid w:val="00D1572A"/>
    <w:rsid w:val="00D177D4"/>
    <w:rsid w:val="00D17FA4"/>
    <w:rsid w:val="00D22BF4"/>
    <w:rsid w:val="00D234B4"/>
    <w:rsid w:val="00D24A77"/>
    <w:rsid w:val="00D2564B"/>
    <w:rsid w:val="00D25672"/>
    <w:rsid w:val="00D31C0A"/>
    <w:rsid w:val="00D31C18"/>
    <w:rsid w:val="00D339D8"/>
    <w:rsid w:val="00D402C9"/>
    <w:rsid w:val="00D40306"/>
    <w:rsid w:val="00D41BA8"/>
    <w:rsid w:val="00D42F25"/>
    <w:rsid w:val="00D44864"/>
    <w:rsid w:val="00D44930"/>
    <w:rsid w:val="00D4510B"/>
    <w:rsid w:val="00D50C24"/>
    <w:rsid w:val="00D5356A"/>
    <w:rsid w:val="00D57AA9"/>
    <w:rsid w:val="00D61690"/>
    <w:rsid w:val="00D6387F"/>
    <w:rsid w:val="00D63B32"/>
    <w:rsid w:val="00D654C1"/>
    <w:rsid w:val="00D66264"/>
    <w:rsid w:val="00D67260"/>
    <w:rsid w:val="00D67435"/>
    <w:rsid w:val="00D71606"/>
    <w:rsid w:val="00D75238"/>
    <w:rsid w:val="00D77681"/>
    <w:rsid w:val="00D8154C"/>
    <w:rsid w:val="00D83492"/>
    <w:rsid w:val="00D83828"/>
    <w:rsid w:val="00D86F80"/>
    <w:rsid w:val="00DA0928"/>
    <w:rsid w:val="00DA0D66"/>
    <w:rsid w:val="00DA7D2B"/>
    <w:rsid w:val="00DB1F39"/>
    <w:rsid w:val="00DB6830"/>
    <w:rsid w:val="00DB7CCB"/>
    <w:rsid w:val="00DB7CCF"/>
    <w:rsid w:val="00DB7DFD"/>
    <w:rsid w:val="00DC5BA2"/>
    <w:rsid w:val="00DC7036"/>
    <w:rsid w:val="00DC7AF8"/>
    <w:rsid w:val="00DC7BCA"/>
    <w:rsid w:val="00DD3A03"/>
    <w:rsid w:val="00DD58C2"/>
    <w:rsid w:val="00DE52D2"/>
    <w:rsid w:val="00DF051B"/>
    <w:rsid w:val="00DF1363"/>
    <w:rsid w:val="00DF15BC"/>
    <w:rsid w:val="00DF2893"/>
    <w:rsid w:val="00DF2A5D"/>
    <w:rsid w:val="00DF426D"/>
    <w:rsid w:val="00DF7F6D"/>
    <w:rsid w:val="00E05DDB"/>
    <w:rsid w:val="00E125E5"/>
    <w:rsid w:val="00E1791A"/>
    <w:rsid w:val="00E22E10"/>
    <w:rsid w:val="00E2330C"/>
    <w:rsid w:val="00E25B1F"/>
    <w:rsid w:val="00E26E18"/>
    <w:rsid w:val="00E31BA8"/>
    <w:rsid w:val="00E3314A"/>
    <w:rsid w:val="00E33304"/>
    <w:rsid w:val="00E33834"/>
    <w:rsid w:val="00E34B94"/>
    <w:rsid w:val="00E35616"/>
    <w:rsid w:val="00E373F3"/>
    <w:rsid w:val="00E414C9"/>
    <w:rsid w:val="00E60B7B"/>
    <w:rsid w:val="00E61003"/>
    <w:rsid w:val="00E6466D"/>
    <w:rsid w:val="00E751E9"/>
    <w:rsid w:val="00E93830"/>
    <w:rsid w:val="00EA1160"/>
    <w:rsid w:val="00EA3888"/>
    <w:rsid w:val="00EB058D"/>
    <w:rsid w:val="00EB06B6"/>
    <w:rsid w:val="00EB1FCA"/>
    <w:rsid w:val="00EB3184"/>
    <w:rsid w:val="00EB3335"/>
    <w:rsid w:val="00EB33E7"/>
    <w:rsid w:val="00EB576B"/>
    <w:rsid w:val="00EB71FD"/>
    <w:rsid w:val="00EC3E13"/>
    <w:rsid w:val="00ED0243"/>
    <w:rsid w:val="00ED2CF8"/>
    <w:rsid w:val="00ED32F2"/>
    <w:rsid w:val="00ED6E1E"/>
    <w:rsid w:val="00EE0614"/>
    <w:rsid w:val="00EE52DB"/>
    <w:rsid w:val="00EE56A1"/>
    <w:rsid w:val="00EF17B3"/>
    <w:rsid w:val="00EF279B"/>
    <w:rsid w:val="00EF5D73"/>
    <w:rsid w:val="00F03446"/>
    <w:rsid w:val="00F03BCB"/>
    <w:rsid w:val="00F053DC"/>
    <w:rsid w:val="00F06467"/>
    <w:rsid w:val="00F06D4E"/>
    <w:rsid w:val="00F1039B"/>
    <w:rsid w:val="00F1406E"/>
    <w:rsid w:val="00F15994"/>
    <w:rsid w:val="00F2291B"/>
    <w:rsid w:val="00F22EBB"/>
    <w:rsid w:val="00F269EF"/>
    <w:rsid w:val="00F27811"/>
    <w:rsid w:val="00F3081A"/>
    <w:rsid w:val="00F318F0"/>
    <w:rsid w:val="00F3238F"/>
    <w:rsid w:val="00F3255D"/>
    <w:rsid w:val="00F33A29"/>
    <w:rsid w:val="00F360C9"/>
    <w:rsid w:val="00F40535"/>
    <w:rsid w:val="00F43ABD"/>
    <w:rsid w:val="00F441C1"/>
    <w:rsid w:val="00F442B8"/>
    <w:rsid w:val="00F44A6D"/>
    <w:rsid w:val="00F44B0D"/>
    <w:rsid w:val="00F503DC"/>
    <w:rsid w:val="00F51E6D"/>
    <w:rsid w:val="00F5373A"/>
    <w:rsid w:val="00F53EDF"/>
    <w:rsid w:val="00F54D41"/>
    <w:rsid w:val="00F56E4F"/>
    <w:rsid w:val="00F603D3"/>
    <w:rsid w:val="00F63E40"/>
    <w:rsid w:val="00F64970"/>
    <w:rsid w:val="00F7073F"/>
    <w:rsid w:val="00F81B63"/>
    <w:rsid w:val="00FA0F17"/>
    <w:rsid w:val="00FA39EA"/>
    <w:rsid w:val="00FA4567"/>
    <w:rsid w:val="00FA4EA4"/>
    <w:rsid w:val="00FB094B"/>
    <w:rsid w:val="00FB3432"/>
    <w:rsid w:val="00FB43A5"/>
    <w:rsid w:val="00FB5880"/>
    <w:rsid w:val="00FB5E8A"/>
    <w:rsid w:val="00FB6799"/>
    <w:rsid w:val="00FB68E2"/>
    <w:rsid w:val="00FC4FB3"/>
    <w:rsid w:val="00FC61C6"/>
    <w:rsid w:val="00FC6334"/>
    <w:rsid w:val="00FD1F8D"/>
    <w:rsid w:val="00FD27D1"/>
    <w:rsid w:val="00FD2D12"/>
    <w:rsid w:val="00FD3AC9"/>
    <w:rsid w:val="00FD49DE"/>
    <w:rsid w:val="00FD76BA"/>
    <w:rsid w:val="00FE0356"/>
    <w:rsid w:val="00FE149A"/>
    <w:rsid w:val="00FE5BFF"/>
    <w:rsid w:val="00FF0405"/>
    <w:rsid w:val="00FF1043"/>
    <w:rsid w:val="00FF10FA"/>
    <w:rsid w:val="00FF1D53"/>
    <w:rsid w:val="00FF6560"/>
    <w:rsid w:val="00FF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EB20"/>
  <w15:chartTrackingRefBased/>
  <w15:docId w15:val="{50859730-5142-49F3-BD73-8683D794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25"/>
    <w:pPr>
      <w:spacing w:after="120"/>
    </w:pPr>
    <w:rPr>
      <w:rFonts w:asciiTheme="minorHAnsi" w:hAnsiTheme="minorHAnsi"/>
      <w:sz w:val="24"/>
    </w:rPr>
  </w:style>
  <w:style w:type="paragraph" w:styleId="Heading1">
    <w:name w:val="heading 1"/>
    <w:basedOn w:val="Normal"/>
    <w:next w:val="Normal"/>
    <w:link w:val="Heading1Char"/>
    <w:rsid w:val="00F3238F"/>
    <w:pPr>
      <w:keepNext/>
      <w:keepLines/>
      <w:spacing w:before="240" w:after="240"/>
      <w:outlineLvl w:val="0"/>
    </w:pPr>
    <w:rPr>
      <w:rFonts w:eastAsiaTheme="majorEastAsia" w:cstheme="majorBidi"/>
      <w:b/>
      <w:sz w:val="40"/>
      <w:szCs w:val="32"/>
    </w:rPr>
  </w:style>
  <w:style w:type="paragraph" w:styleId="Heading2">
    <w:name w:val="heading 2"/>
    <w:basedOn w:val="Normal"/>
    <w:next w:val="Normal"/>
    <w:link w:val="Heading2Char"/>
    <w:unhideWhenUsed/>
    <w:rsid w:val="00D44930"/>
    <w:pPr>
      <w:keepNext/>
      <w:keepLines/>
      <w:spacing w:before="360"/>
      <w:outlineLvl w:val="1"/>
    </w:pPr>
    <w:rPr>
      <w:rFonts w:eastAsiaTheme="majorEastAsia" w:cstheme="majorBidi"/>
      <w:b/>
      <w:sz w:val="28"/>
      <w:szCs w:val="26"/>
      <w:lang w:eastAsia="en-GB"/>
    </w:rPr>
  </w:style>
  <w:style w:type="paragraph" w:styleId="Heading3">
    <w:name w:val="heading 3"/>
    <w:basedOn w:val="Normal"/>
    <w:next w:val="Normal"/>
    <w:link w:val="Heading3Char"/>
    <w:uiPriority w:val="9"/>
    <w:unhideWhenUsed/>
    <w:rsid w:val="00D42F25"/>
    <w:pPr>
      <w:keepNext/>
      <w:keepLines/>
      <w:spacing w:before="120" w:after="360"/>
      <w:contextualSpacing/>
      <w:outlineLvl w:val="2"/>
    </w:pPr>
    <w:rPr>
      <w:rFonts w:eastAsiaTheme="majorEastAsia" w:cstheme="majorBidi"/>
      <w:b/>
      <w:sz w:val="34"/>
      <w:szCs w:val="24"/>
      <w:lang w:eastAsia="en-GB"/>
    </w:rPr>
  </w:style>
  <w:style w:type="paragraph" w:styleId="Heading4">
    <w:name w:val="heading 4"/>
    <w:basedOn w:val="Normal"/>
    <w:next w:val="Normal"/>
    <w:link w:val="Heading4Char"/>
    <w:uiPriority w:val="9"/>
    <w:unhideWhenUsed/>
    <w:rsid w:val="00F3238F"/>
    <w:pPr>
      <w:keepNext/>
      <w:keepLines/>
      <w:spacing w:before="360" w:after="0"/>
      <w:contextualSpacing/>
      <w:outlineLvl w:val="3"/>
    </w:pPr>
    <w:rPr>
      <w:rFonts w:eastAsiaTheme="majorEastAsia" w:cstheme="majorBidi"/>
      <w:b/>
      <w:iCs/>
      <w:sz w:val="22"/>
    </w:rPr>
  </w:style>
  <w:style w:type="paragraph" w:styleId="Heading5">
    <w:name w:val="heading 5"/>
    <w:basedOn w:val="Normal"/>
    <w:next w:val="Normal"/>
    <w:link w:val="Heading5Char"/>
    <w:uiPriority w:val="9"/>
    <w:unhideWhenUsed/>
    <w:rsid w:val="00FF1D53"/>
    <w:pPr>
      <w:keepNext/>
      <w:keepLines/>
      <w:spacing w:before="360"/>
      <w:outlineLvl w:val="4"/>
    </w:pPr>
    <w:rPr>
      <w:rFonts w:eastAsiaTheme="majorEastAsia" w:cstheme="majorBidi"/>
      <w:b/>
      <w:sz w:val="28"/>
    </w:rPr>
  </w:style>
  <w:style w:type="paragraph" w:styleId="Heading6">
    <w:name w:val="heading 6"/>
    <w:basedOn w:val="Normal"/>
    <w:next w:val="Normal"/>
    <w:link w:val="Heading6Char"/>
    <w:uiPriority w:val="9"/>
    <w:unhideWhenUsed/>
    <w:rsid w:val="009D175C"/>
    <w:pPr>
      <w:keepNext/>
      <w:keepLines/>
      <w:outlineLvl w:val="5"/>
    </w:pPr>
    <w:rPr>
      <w:rFonts w:eastAsiaTheme="majorEastAsia" w:cstheme="majorBidi"/>
      <w:i/>
      <w:sz w:val="26"/>
      <w:u w:val="single"/>
    </w:rPr>
  </w:style>
  <w:style w:type="paragraph" w:styleId="Heading7">
    <w:name w:val="heading 7"/>
    <w:basedOn w:val="Normal"/>
    <w:next w:val="Normal"/>
    <w:link w:val="Heading7Char"/>
    <w:uiPriority w:val="9"/>
    <w:unhideWhenUsed/>
    <w:rsid w:val="00D42F25"/>
    <w:pPr>
      <w:keepNext/>
      <w:keepLines/>
      <w:spacing w:before="360" w:after="0"/>
      <w:contextualSpacing/>
      <w:outlineLvl w:val="6"/>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238F"/>
    <w:rPr>
      <w:rFonts w:asciiTheme="minorHAnsi" w:eastAsiaTheme="majorEastAsia" w:hAnsiTheme="minorHAnsi" w:cstheme="majorBidi"/>
      <w:b/>
      <w:sz w:val="40"/>
      <w:szCs w:val="32"/>
    </w:rPr>
  </w:style>
  <w:style w:type="paragraph" w:styleId="Date">
    <w:name w:val="Date"/>
    <w:basedOn w:val="Normal"/>
    <w:next w:val="Normal"/>
    <w:link w:val="DateChar"/>
    <w:rsid w:val="00D42F25"/>
    <w:pPr>
      <w:spacing w:after="360"/>
      <w:jc w:val="right"/>
    </w:pPr>
    <w:rPr>
      <w:rFonts w:eastAsia="Times New Roman"/>
      <w:b/>
      <w:sz w:val="28"/>
      <w:szCs w:val="24"/>
      <w:lang w:eastAsia="en-GB"/>
    </w:rPr>
  </w:style>
  <w:style w:type="character" w:customStyle="1" w:styleId="DateChar">
    <w:name w:val="Date Char"/>
    <w:basedOn w:val="DefaultParagraphFont"/>
    <w:link w:val="Date"/>
    <w:rsid w:val="00D42F25"/>
    <w:rPr>
      <w:rFonts w:asciiTheme="minorHAnsi" w:eastAsia="Times New Roman" w:hAnsiTheme="minorHAnsi"/>
      <w:b/>
      <w:sz w:val="28"/>
      <w:szCs w:val="24"/>
      <w:lang w:eastAsia="en-GB"/>
    </w:rPr>
  </w:style>
  <w:style w:type="character" w:customStyle="1" w:styleId="Heading2Char">
    <w:name w:val="Heading 2 Char"/>
    <w:basedOn w:val="DefaultParagraphFont"/>
    <w:link w:val="Heading2"/>
    <w:rsid w:val="00D44930"/>
    <w:rPr>
      <w:rFonts w:asciiTheme="minorHAnsi" w:eastAsiaTheme="majorEastAsia" w:hAnsiTheme="minorHAnsi" w:cstheme="majorBidi"/>
      <w:b/>
      <w:sz w:val="28"/>
      <w:szCs w:val="26"/>
      <w:lang w:eastAsia="en-GB"/>
    </w:rPr>
  </w:style>
  <w:style w:type="character" w:customStyle="1" w:styleId="Heading3Char">
    <w:name w:val="Heading 3 Char"/>
    <w:basedOn w:val="DefaultParagraphFont"/>
    <w:link w:val="Heading3"/>
    <w:uiPriority w:val="9"/>
    <w:rsid w:val="00D42F25"/>
    <w:rPr>
      <w:rFonts w:asciiTheme="minorHAnsi" w:eastAsiaTheme="majorEastAsia" w:hAnsiTheme="minorHAnsi" w:cstheme="majorBidi"/>
      <w:b/>
      <w:sz w:val="34"/>
      <w:szCs w:val="24"/>
      <w:lang w:eastAsia="en-GB"/>
    </w:rPr>
  </w:style>
  <w:style w:type="paragraph" w:styleId="NoSpacing">
    <w:name w:val="No Spacing"/>
    <w:uiPriority w:val="1"/>
    <w:qFormat/>
    <w:rsid w:val="009D175C"/>
  </w:style>
  <w:style w:type="character" w:customStyle="1" w:styleId="Heading4Char">
    <w:name w:val="Heading 4 Char"/>
    <w:basedOn w:val="DefaultParagraphFont"/>
    <w:link w:val="Heading4"/>
    <w:uiPriority w:val="9"/>
    <w:rsid w:val="00F3238F"/>
    <w:rPr>
      <w:rFonts w:asciiTheme="minorHAnsi" w:eastAsiaTheme="majorEastAsia" w:hAnsiTheme="minorHAnsi" w:cstheme="majorBidi"/>
      <w:b/>
      <w:iCs/>
      <w:sz w:val="22"/>
    </w:rPr>
  </w:style>
  <w:style w:type="character" w:customStyle="1" w:styleId="Heading5Char">
    <w:name w:val="Heading 5 Char"/>
    <w:basedOn w:val="DefaultParagraphFont"/>
    <w:link w:val="Heading5"/>
    <w:uiPriority w:val="9"/>
    <w:rsid w:val="00FF1D53"/>
    <w:rPr>
      <w:rFonts w:asciiTheme="minorHAnsi" w:eastAsiaTheme="majorEastAsia" w:hAnsiTheme="minorHAnsi" w:cstheme="majorBidi"/>
      <w:b/>
      <w:sz w:val="28"/>
    </w:rPr>
  </w:style>
  <w:style w:type="character" w:customStyle="1" w:styleId="Heading6Char">
    <w:name w:val="Heading 6 Char"/>
    <w:basedOn w:val="DefaultParagraphFont"/>
    <w:link w:val="Heading6"/>
    <w:uiPriority w:val="9"/>
    <w:rsid w:val="009D175C"/>
    <w:rPr>
      <w:rFonts w:asciiTheme="minorHAnsi" w:eastAsiaTheme="majorEastAsia" w:hAnsiTheme="minorHAnsi" w:cstheme="majorBidi"/>
      <w:i/>
      <w:sz w:val="26"/>
      <w:u w:val="single"/>
    </w:rPr>
  </w:style>
  <w:style w:type="character" w:customStyle="1" w:styleId="Heading7Char">
    <w:name w:val="Heading 7 Char"/>
    <w:basedOn w:val="DefaultParagraphFont"/>
    <w:link w:val="Heading7"/>
    <w:uiPriority w:val="9"/>
    <w:rsid w:val="00D42F25"/>
    <w:rPr>
      <w:rFonts w:asciiTheme="minorHAnsi" w:eastAsiaTheme="majorEastAsia" w:hAnsiTheme="minorHAnsi" w:cstheme="majorBidi"/>
      <w:b/>
      <w:iCs/>
      <w:sz w:val="22"/>
    </w:rPr>
  </w:style>
  <w:style w:type="paragraph" w:customStyle="1" w:styleId="CaseDetails">
    <w:name w:val="Case Details"/>
    <w:qFormat/>
    <w:rsid w:val="00D44930"/>
    <w:pPr>
      <w:spacing w:before="360" w:after="360"/>
      <w:contextualSpacing/>
    </w:pPr>
    <w:rPr>
      <w:rFonts w:asciiTheme="minorHAnsi" w:eastAsiaTheme="majorEastAsia" w:hAnsiTheme="minorHAnsi" w:cstheme="majorBidi"/>
      <w:b/>
      <w:sz w:val="32"/>
      <w:szCs w:val="24"/>
      <w:lang w:eastAsia="en-GB"/>
    </w:rPr>
  </w:style>
  <w:style w:type="paragraph" w:customStyle="1" w:styleId="CourtOrder">
    <w:name w:val="Court Order"/>
    <w:next w:val="CaseDetails"/>
    <w:qFormat/>
    <w:rsid w:val="00E25B1F"/>
    <w:pPr>
      <w:spacing w:before="360" w:after="360"/>
      <w:contextualSpacing/>
    </w:pPr>
    <w:rPr>
      <w:rFonts w:asciiTheme="minorHAnsi" w:eastAsiaTheme="majorEastAsia" w:hAnsiTheme="minorHAnsi" w:cstheme="majorBidi"/>
      <w:b/>
      <w:sz w:val="32"/>
      <w:szCs w:val="24"/>
      <w:lang w:eastAsia="en-GB"/>
    </w:rPr>
  </w:style>
  <w:style w:type="paragraph" w:customStyle="1" w:styleId="Justices">
    <w:name w:val="Justices"/>
    <w:next w:val="CaseDetails"/>
    <w:qFormat/>
    <w:rsid w:val="007E0EBA"/>
    <w:pPr>
      <w:spacing w:before="360" w:after="360"/>
      <w:contextualSpacing/>
    </w:pPr>
    <w:rPr>
      <w:rFonts w:asciiTheme="minorHAnsi" w:eastAsiaTheme="majorEastAsia" w:hAnsiTheme="minorHAnsi" w:cstheme="majorBidi"/>
      <w:b/>
      <w:iCs/>
      <w:sz w:val="28"/>
    </w:rPr>
  </w:style>
  <w:style w:type="paragraph" w:customStyle="1" w:styleId="SubsectionHeading">
    <w:name w:val="Subsection Heading"/>
    <w:next w:val="CaseDetails"/>
    <w:qFormat/>
    <w:rsid w:val="001D6231"/>
    <w:rPr>
      <w:rFonts w:asciiTheme="minorHAnsi" w:eastAsiaTheme="majorEastAsia" w:hAnsiTheme="minorHAnsi" w:cstheme="majorBidi"/>
      <w:i/>
      <w:sz w:val="24"/>
      <w:szCs w:val="24"/>
      <w:u w:val="single"/>
      <w:lang w:eastAsia="en-GB"/>
    </w:rPr>
  </w:style>
  <w:style w:type="paragraph" w:customStyle="1" w:styleId="SectionHeading">
    <w:name w:val="Section Heading"/>
    <w:basedOn w:val="Heading2"/>
    <w:next w:val="Normal"/>
    <w:qFormat/>
    <w:rsid w:val="003322A9"/>
    <w:pPr>
      <w:spacing w:after="240"/>
    </w:pPr>
  </w:style>
  <w:style w:type="paragraph" w:customStyle="1" w:styleId="Note">
    <w:name w:val="Note"/>
    <w:next w:val="CaseDetails"/>
    <w:qFormat/>
    <w:rsid w:val="00BC38DB"/>
    <w:rPr>
      <w:rFonts w:asciiTheme="minorHAnsi" w:eastAsiaTheme="majorEastAsia" w:hAnsiTheme="minorHAnsi" w:cstheme="majorBidi"/>
      <w:b/>
      <w:sz w:val="24"/>
      <w:lang w:eastAsia="en-GB"/>
    </w:rPr>
  </w:style>
  <w:style w:type="paragraph" w:customStyle="1" w:styleId="PressSummary">
    <w:name w:val="Press Summary"/>
    <w:basedOn w:val="Heading1"/>
    <w:next w:val="Normal"/>
    <w:qFormat/>
    <w:rsid w:val="00E25B1F"/>
    <w:rPr>
      <w:sz w:val="36"/>
    </w:rPr>
  </w:style>
  <w:style w:type="paragraph" w:customStyle="1" w:styleId="StyleJusticesNotBold">
    <w:name w:val="Style Justices + Not Bold"/>
    <w:basedOn w:val="Justices"/>
    <w:rsid w:val="007E0EBA"/>
    <w:rPr>
      <w:b w:val="0"/>
      <w:iCs w:val="0"/>
    </w:rPr>
  </w:style>
  <w:style w:type="paragraph" w:customStyle="1" w:styleId="StyleSubsectionHeadingNounderline">
    <w:name w:val="Style Subsection Heading + No underline"/>
    <w:basedOn w:val="SubsectionHeading"/>
    <w:rsid w:val="00BC38DB"/>
    <w:pPr>
      <w:spacing w:after="360"/>
    </w:pPr>
    <w:rPr>
      <w:iCs/>
      <w:u w:val="none"/>
    </w:rPr>
  </w:style>
  <w:style w:type="character" w:styleId="Hyperlink">
    <w:name w:val="Hyperlink"/>
    <w:basedOn w:val="DefaultParagraphFont"/>
    <w:uiPriority w:val="99"/>
    <w:semiHidden/>
    <w:unhideWhenUsed/>
    <w:rsid w:val="00EE52DB"/>
    <w:rPr>
      <w:color w:val="0000FF"/>
      <w:u w:val="single"/>
    </w:rPr>
  </w:style>
  <w:style w:type="character" w:styleId="CommentReference">
    <w:name w:val="annotation reference"/>
    <w:basedOn w:val="DefaultParagraphFont"/>
    <w:uiPriority w:val="99"/>
    <w:semiHidden/>
    <w:unhideWhenUsed/>
    <w:rsid w:val="005D00D9"/>
    <w:rPr>
      <w:sz w:val="16"/>
      <w:szCs w:val="16"/>
    </w:rPr>
  </w:style>
  <w:style w:type="paragraph" w:styleId="CommentText">
    <w:name w:val="annotation text"/>
    <w:basedOn w:val="Normal"/>
    <w:link w:val="CommentTextChar"/>
    <w:uiPriority w:val="99"/>
    <w:unhideWhenUsed/>
    <w:rsid w:val="005D00D9"/>
    <w:rPr>
      <w:sz w:val="20"/>
    </w:rPr>
  </w:style>
  <w:style w:type="character" w:customStyle="1" w:styleId="CommentTextChar">
    <w:name w:val="Comment Text Char"/>
    <w:basedOn w:val="DefaultParagraphFont"/>
    <w:link w:val="CommentText"/>
    <w:uiPriority w:val="99"/>
    <w:rsid w:val="005D00D9"/>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D00D9"/>
    <w:rPr>
      <w:b/>
      <w:bCs/>
    </w:rPr>
  </w:style>
  <w:style w:type="character" w:customStyle="1" w:styleId="CommentSubjectChar">
    <w:name w:val="Comment Subject Char"/>
    <w:basedOn w:val="CommentTextChar"/>
    <w:link w:val="CommentSubject"/>
    <w:uiPriority w:val="99"/>
    <w:semiHidden/>
    <w:rsid w:val="005D00D9"/>
    <w:rPr>
      <w:rFonts w:asciiTheme="minorHAnsi" w:hAnsiTheme="minorHAnsi"/>
      <w:b/>
      <w:bCs/>
    </w:rPr>
  </w:style>
  <w:style w:type="paragraph" w:styleId="ListParagraph">
    <w:name w:val="List Paragraph"/>
    <w:basedOn w:val="Normal"/>
    <w:uiPriority w:val="34"/>
    <w:qFormat/>
    <w:rsid w:val="00600983"/>
    <w:pPr>
      <w:ind w:left="720"/>
      <w:contextualSpacing/>
    </w:pPr>
  </w:style>
  <w:style w:type="paragraph" w:styleId="Revision">
    <w:name w:val="Revision"/>
    <w:hidden/>
    <w:uiPriority w:val="99"/>
    <w:semiHidden/>
    <w:rsid w:val="007118AD"/>
    <w:rPr>
      <w:rFonts w:asciiTheme="minorHAnsi" w:hAnsiTheme="minorHAnsi"/>
      <w:sz w:val="24"/>
    </w:rPr>
  </w:style>
  <w:style w:type="paragraph" w:customStyle="1" w:styleId="JudgmentTitle">
    <w:name w:val="JudgmentTitle"/>
    <w:qFormat/>
    <w:rsid w:val="00F318F0"/>
    <w:pPr>
      <w:spacing w:after="240" w:line="259" w:lineRule="auto"/>
      <w:jc w:val="center"/>
      <w:outlineLvl w:val="0"/>
    </w:pPr>
    <w:rPr>
      <w:rFonts w:asciiTheme="minorHAnsi" w:eastAsia="Times New Roman" w:hAnsiTheme="minorHAnsi" w:cstheme="minorHAnsi"/>
      <w:b/>
      <w:sz w:val="40"/>
      <w:szCs w:val="40"/>
    </w:rPr>
  </w:style>
  <w:style w:type="character" w:styleId="FollowedHyperlink">
    <w:name w:val="FollowedHyperlink"/>
    <w:basedOn w:val="DefaultParagraphFont"/>
    <w:uiPriority w:val="99"/>
    <w:semiHidden/>
    <w:unhideWhenUsed/>
    <w:rsid w:val="00214CC8"/>
    <w:rPr>
      <w:color w:val="954F72" w:themeColor="followedHyperlink"/>
      <w:u w:val="single"/>
    </w:rPr>
  </w:style>
  <w:style w:type="paragraph" w:customStyle="1" w:styleId="paragraph">
    <w:name w:val="paragraph"/>
    <w:basedOn w:val="Normal"/>
    <w:rsid w:val="00D6387F"/>
    <w:pPr>
      <w:spacing w:before="100" w:beforeAutospacing="1" w:after="100" w:afterAutospacing="1"/>
    </w:pPr>
    <w:rPr>
      <w:rFonts w:ascii="Times New Roman" w:eastAsia="Times New Roman" w:hAnsi="Times New Roman"/>
      <w:szCs w:val="24"/>
      <w:lang w:eastAsia="en-GB"/>
    </w:rPr>
  </w:style>
  <w:style w:type="character" w:customStyle="1" w:styleId="normaltextrun">
    <w:name w:val="normaltextrun"/>
    <w:basedOn w:val="DefaultParagraphFont"/>
    <w:rsid w:val="00D6387F"/>
  </w:style>
  <w:style w:type="character" w:customStyle="1" w:styleId="eop">
    <w:name w:val="eop"/>
    <w:basedOn w:val="DefaultParagraphFont"/>
    <w:rsid w:val="00D63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7893">
      <w:bodyDiv w:val="1"/>
      <w:marLeft w:val="0"/>
      <w:marRight w:val="0"/>
      <w:marTop w:val="0"/>
      <w:marBottom w:val="0"/>
      <w:divBdr>
        <w:top w:val="none" w:sz="0" w:space="0" w:color="auto"/>
        <w:left w:val="none" w:sz="0" w:space="0" w:color="auto"/>
        <w:bottom w:val="none" w:sz="0" w:space="0" w:color="auto"/>
        <w:right w:val="none" w:sz="0" w:space="0" w:color="auto"/>
      </w:divBdr>
    </w:div>
    <w:div w:id="1549487508">
      <w:bodyDiv w:val="1"/>
      <w:marLeft w:val="0"/>
      <w:marRight w:val="0"/>
      <w:marTop w:val="0"/>
      <w:marBottom w:val="0"/>
      <w:divBdr>
        <w:top w:val="none" w:sz="0" w:space="0" w:color="auto"/>
        <w:left w:val="none" w:sz="0" w:space="0" w:color="auto"/>
        <w:bottom w:val="none" w:sz="0" w:space="0" w:color="auto"/>
        <w:right w:val="none" w:sz="0" w:space="0" w:color="auto"/>
      </w:divBdr>
    </w:div>
    <w:div w:id="1807891991">
      <w:bodyDiv w:val="1"/>
      <w:marLeft w:val="0"/>
      <w:marRight w:val="0"/>
      <w:marTop w:val="0"/>
      <w:marBottom w:val="0"/>
      <w:divBdr>
        <w:top w:val="none" w:sz="0" w:space="0" w:color="auto"/>
        <w:left w:val="none" w:sz="0" w:space="0" w:color="auto"/>
        <w:bottom w:val="none" w:sz="0" w:space="0" w:color="auto"/>
        <w:right w:val="none" w:sz="0" w:space="0" w:color="auto"/>
      </w:divBdr>
      <w:divsChild>
        <w:div w:id="1492599432">
          <w:marLeft w:val="0"/>
          <w:marRight w:val="0"/>
          <w:marTop w:val="0"/>
          <w:marBottom w:val="0"/>
          <w:divBdr>
            <w:top w:val="none" w:sz="0" w:space="0" w:color="auto"/>
            <w:left w:val="none" w:sz="0" w:space="0" w:color="auto"/>
            <w:bottom w:val="none" w:sz="0" w:space="0" w:color="auto"/>
            <w:right w:val="none" w:sz="0" w:space="0" w:color="auto"/>
          </w:divBdr>
        </w:div>
        <w:div w:id="2075811207">
          <w:marLeft w:val="0"/>
          <w:marRight w:val="0"/>
          <w:marTop w:val="0"/>
          <w:marBottom w:val="0"/>
          <w:divBdr>
            <w:top w:val="none" w:sz="0" w:space="0" w:color="auto"/>
            <w:left w:val="none" w:sz="0" w:space="0" w:color="auto"/>
            <w:bottom w:val="none" w:sz="0" w:space="0" w:color="auto"/>
            <w:right w:val="none" w:sz="0" w:space="0" w:color="auto"/>
          </w:divBdr>
        </w:div>
        <w:div w:id="624510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brennan\AppData\Local\Microsoft\Windows\INetCache\Content.Outlook\S7BP4AGX\UKSC%20CPS%20v%20Aquila%20Press%20Summary%20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7" ma:contentTypeDescription="Create a new document." ma:contentTypeScope="" ma:versionID="04ef8e5f7eda5a4d33a28550ab4f9ce2">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1d22f30995d3129f7fce18a57dd1ef69"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9CC2D1-125C-486B-8CA2-103421FD3475}">
  <ds:schemaRefs>
    <ds:schemaRef ds:uri="http://schemas.openxmlformats.org/officeDocument/2006/bibliography"/>
  </ds:schemaRefs>
</ds:datastoreItem>
</file>

<file path=customXml/itemProps2.xml><?xml version="1.0" encoding="utf-8"?>
<ds:datastoreItem xmlns:ds="http://schemas.openxmlformats.org/officeDocument/2006/customXml" ds:itemID="{9C954896-73F9-4521-9A1E-90DF13A9E1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A5645B-1F27-40B4-963F-886CEBBCF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f87e7dc2-70e0-493d-9bcf-91b6939b3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041A3-FA02-4471-A222-BCC8D2F86C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UKSC CPS v Aquila Press Summary v4</Template>
  <TotalTime>9</TotalTime>
  <Pages>4</Pages>
  <Words>1853</Words>
  <Characters>9620</Characters>
  <Application>Microsoft Office Word</Application>
  <DocSecurity>0</DocSecurity>
  <Lines>150</Lines>
  <Paragraphs>48</Paragraphs>
  <ScaleCrop>false</ScaleCrop>
  <HeadingPairs>
    <vt:vector size="2" baseType="variant">
      <vt:variant>
        <vt:lpstr>Title</vt:lpstr>
      </vt:variant>
      <vt:variant>
        <vt:i4>1</vt:i4>
      </vt:variant>
    </vt:vector>
  </HeadingPairs>
  <TitlesOfParts>
    <vt:vector size="1" baseType="lpstr">
      <vt:lpstr>Equity Trust (Jersey) Ltd (Respondent) v Halabi (in his capacity as Executor of the Estate of the late Madam Intisar Nouri) (Appellant) (Jersey)</vt:lpstr>
    </vt:vector>
  </TitlesOfParts>
  <Company>Judicial Committee of the Privy Council (JCPC)</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Trust (Jersey) Ltd (Respondent) v Halabi (in his capacity as Executor of the Estate of the late Madam Intisar Nouri) (Appellant) (Jersey)</dc:title>
  <dc:subject>Judgment handed down on Thursday 13 October 2022</dc:subject>
  <dc:creator>Judicial Committee of the Privy Council (JCPC)</dc:creator>
  <cp:keywords>JCPC 2019/0119; [2022] UKPC 36</cp:keywords>
  <dc:description/>
  <cp:lastModifiedBy>Sophia May</cp:lastModifiedBy>
  <cp:revision>9</cp:revision>
  <cp:lastPrinted>2022-10-04T16:13:00Z</cp:lastPrinted>
  <dcterms:created xsi:type="dcterms:W3CDTF">2022-10-12T13:20:00Z</dcterms:created>
  <dcterms:modified xsi:type="dcterms:W3CDTF">2022-10-12T14:25:00Z</dcterms:modified>
  <cp:category>Decided cases;Press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Equity Trust (Jersey) Ltd (Respondent) v Halabi (in his capacity as Executor of the Estate of the late Madam Intisar Nouri) (Appellant) (Jersey)</vt:lpwstr>
  </property>
  <property fmtid="{D5CDD505-2E9C-101B-9397-08002B2CF9AE}" pid="4" name="HandDownDate">
    <vt:lpwstr>13 October 2022</vt:lpwstr>
  </property>
  <property fmtid="{D5CDD505-2E9C-101B-9397-08002B2CF9AE}" pid="5" name="CaseID">
    <vt:lpwstr>JCPC 2019/0119</vt:lpwstr>
  </property>
  <property fmtid="{D5CDD505-2E9C-101B-9397-08002B2CF9AE}" pid="6" name="NeutralCitationNumber">
    <vt:lpwstr>[2022] UKPC 36</vt:lpwstr>
  </property>
  <property fmtid="{D5CDD505-2E9C-101B-9397-08002B2CF9AE}" pid="7" name="Jurisdiction">
    <vt:lpwstr>Court of Appeal of Jersey and the Court of Appeal of Guernsey</vt:lpwstr>
  </property>
</Properties>
</file>