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FB1" w:rsidRDefault="004A138D" w:rsidP="00E15FB1">
      <w:pPr>
        <w:jc w:val="center"/>
      </w:pPr>
      <w:r>
        <w:rPr>
          <w:noProof/>
        </w:rPr>
        <w:drawing>
          <wp:inline distT="0" distB="0" distL="0" distR="0">
            <wp:extent cx="1151153" cy="1252151"/>
            <wp:effectExtent l="0" t="0" r="0" b="5715"/>
            <wp:docPr id="1" name="Picture 1" descr="JC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826" cy="125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FB1" w:rsidRDefault="00E15FB1" w:rsidP="00E15FB1">
      <w:pPr>
        <w:rPr>
          <w:b/>
        </w:rPr>
      </w:pPr>
    </w:p>
    <w:p w:rsidR="00A16C02" w:rsidRDefault="00470163" w:rsidP="00A17451">
      <w:pPr>
        <w:tabs>
          <w:tab w:val="left" w:pos="8285"/>
        </w:tabs>
        <w:jc w:val="right"/>
        <w:rPr>
          <w:rFonts w:ascii="Garamond" w:hAnsi="Garamond"/>
          <w:b/>
        </w:rPr>
      </w:pPr>
      <w:r>
        <w:rPr>
          <w:rFonts w:ascii="Garamond" w:hAnsi="Garamond"/>
          <w:b/>
        </w:rPr>
        <w:t>16 Decem</w:t>
      </w:r>
      <w:r w:rsidR="00982BA5">
        <w:rPr>
          <w:rFonts w:ascii="Garamond" w:hAnsi="Garamond"/>
          <w:b/>
        </w:rPr>
        <w:t>ber</w:t>
      </w:r>
      <w:r w:rsidR="00A75147" w:rsidRPr="007E2A31">
        <w:rPr>
          <w:rFonts w:ascii="Garamond" w:hAnsi="Garamond"/>
          <w:b/>
        </w:rPr>
        <w:t xml:space="preserve"> 2019</w:t>
      </w:r>
    </w:p>
    <w:p w:rsidR="00AB50DC" w:rsidRDefault="00AB50DC" w:rsidP="009378D3">
      <w:pPr>
        <w:tabs>
          <w:tab w:val="left" w:pos="8285"/>
        </w:tabs>
        <w:jc w:val="center"/>
        <w:rPr>
          <w:rFonts w:ascii="Garamond" w:hAnsi="Garamond"/>
          <w:b/>
        </w:rPr>
      </w:pPr>
    </w:p>
    <w:p w:rsidR="00A16C02" w:rsidRPr="007E2A31" w:rsidRDefault="00A16C02" w:rsidP="009378D3">
      <w:pPr>
        <w:tabs>
          <w:tab w:val="left" w:pos="8285"/>
        </w:tabs>
        <w:jc w:val="center"/>
        <w:rPr>
          <w:rFonts w:ascii="Garamond" w:hAnsi="Garamond"/>
          <w:b/>
        </w:rPr>
      </w:pPr>
      <w:r w:rsidRPr="007E2A31">
        <w:rPr>
          <w:rFonts w:ascii="Garamond" w:hAnsi="Garamond"/>
          <w:b/>
        </w:rPr>
        <w:t>PRESS SUMMARY</w:t>
      </w:r>
    </w:p>
    <w:p w:rsidR="00A16C02" w:rsidRPr="007E2A31" w:rsidRDefault="00A16C02" w:rsidP="00612A1B">
      <w:pPr>
        <w:tabs>
          <w:tab w:val="left" w:pos="8285"/>
        </w:tabs>
        <w:jc w:val="both"/>
        <w:rPr>
          <w:rFonts w:ascii="Garamond" w:hAnsi="Garamond"/>
          <w:b/>
        </w:rPr>
      </w:pPr>
    </w:p>
    <w:p w:rsidR="008828F4" w:rsidRDefault="00470163" w:rsidP="00612A1B">
      <w:pPr>
        <w:tabs>
          <w:tab w:val="left" w:pos="8285"/>
        </w:tabs>
        <w:jc w:val="both"/>
        <w:rPr>
          <w:rFonts w:ascii="Garamond" w:hAnsi="Garamond"/>
          <w:b/>
        </w:rPr>
      </w:pPr>
      <w:r w:rsidRPr="00470163">
        <w:rPr>
          <w:rFonts w:ascii="Garamond" w:hAnsi="Garamond"/>
          <w:b/>
        </w:rPr>
        <w:t>In the matter of Stanford International Bank Ltd (In Liquidation) (Acting by and through its Joint Liquidators Mark McDonald and Hugh Dickson) (Antigua and Barbuda)</w:t>
      </w:r>
    </w:p>
    <w:p w:rsidR="00E15FB1" w:rsidRPr="00AB50DC" w:rsidRDefault="00AB50DC" w:rsidP="00CB393E">
      <w:pPr>
        <w:tabs>
          <w:tab w:val="left" w:pos="8285"/>
        </w:tabs>
        <w:jc w:val="both"/>
        <w:rPr>
          <w:rFonts w:ascii="Garamond" w:hAnsi="Garamond"/>
          <w:b/>
          <w:iCs/>
        </w:rPr>
      </w:pPr>
      <w:r w:rsidRPr="00AB50DC">
        <w:rPr>
          <w:rFonts w:ascii="Garamond" w:hAnsi="Garamond"/>
          <w:b/>
          <w:iCs/>
        </w:rPr>
        <w:t>[</w:t>
      </w:r>
      <w:r>
        <w:rPr>
          <w:rFonts w:ascii="Garamond" w:hAnsi="Garamond"/>
          <w:b/>
          <w:iCs/>
        </w:rPr>
        <w:t>2019] UKPC 45</w:t>
      </w:r>
    </w:p>
    <w:p w:rsidR="002F3DA4" w:rsidRPr="00CB393E" w:rsidRDefault="00CB393E" w:rsidP="00CB393E">
      <w:pPr>
        <w:tabs>
          <w:tab w:val="left" w:pos="8285"/>
        </w:tabs>
        <w:jc w:val="both"/>
        <w:rPr>
          <w:rFonts w:ascii="Garamond" w:hAnsi="Garamond"/>
          <w:b/>
          <w:i/>
          <w:iCs/>
        </w:rPr>
      </w:pPr>
      <w:r w:rsidRPr="00CB393E">
        <w:rPr>
          <w:rFonts w:ascii="Garamond" w:hAnsi="Garamond"/>
          <w:b/>
          <w:i/>
          <w:iCs/>
        </w:rPr>
        <w:t>On appeal from</w:t>
      </w:r>
      <w:r w:rsidR="00F00E09">
        <w:rPr>
          <w:rFonts w:ascii="Garamond" w:hAnsi="Garamond"/>
          <w:b/>
          <w:i/>
          <w:iCs/>
        </w:rPr>
        <w:t xml:space="preserve"> </w:t>
      </w:r>
      <w:r w:rsidR="00F00E09" w:rsidRPr="00F00E09">
        <w:rPr>
          <w:rFonts w:ascii="Garamond" w:hAnsi="Garamond"/>
          <w:b/>
          <w:i/>
          <w:iCs/>
        </w:rPr>
        <w:t>the Court of Appeal of the Eastern Caribbean Supreme Court (Antigua and Barbuda)</w:t>
      </w:r>
    </w:p>
    <w:p w:rsidR="00CB393E" w:rsidRPr="00AB50DC" w:rsidRDefault="00CB393E" w:rsidP="00CB393E">
      <w:pPr>
        <w:tabs>
          <w:tab w:val="left" w:pos="8285"/>
        </w:tabs>
        <w:jc w:val="both"/>
        <w:rPr>
          <w:rFonts w:ascii="Garamond" w:hAnsi="Garamond"/>
          <w:sz w:val="22"/>
          <w:szCs w:val="22"/>
        </w:rPr>
      </w:pPr>
    </w:p>
    <w:p w:rsidR="00937F9E" w:rsidRDefault="00A16C02" w:rsidP="00A75147">
      <w:pPr>
        <w:tabs>
          <w:tab w:val="left" w:pos="8285"/>
        </w:tabs>
        <w:jc w:val="both"/>
        <w:rPr>
          <w:rFonts w:ascii="Garamond" w:hAnsi="Garamond"/>
        </w:rPr>
      </w:pPr>
      <w:r w:rsidRPr="007E2A31">
        <w:rPr>
          <w:rFonts w:ascii="Garamond" w:hAnsi="Garamond"/>
          <w:b/>
        </w:rPr>
        <w:t>JUSTICES</w:t>
      </w:r>
      <w:r w:rsidRPr="007E2A31">
        <w:rPr>
          <w:rFonts w:ascii="Garamond" w:hAnsi="Garamond"/>
        </w:rPr>
        <w:t>:</w:t>
      </w:r>
      <w:r w:rsidR="00312A65">
        <w:rPr>
          <w:rFonts w:ascii="Garamond" w:hAnsi="Garamond"/>
        </w:rPr>
        <w:t xml:space="preserve"> </w:t>
      </w:r>
      <w:r w:rsidR="00D24E13">
        <w:rPr>
          <w:rFonts w:ascii="Garamond" w:hAnsi="Garamond"/>
        </w:rPr>
        <w:t>Lord Wilson, Lord Carnwath, Lord Briggs, Lady Arden, Sir Andrew Longmore</w:t>
      </w:r>
    </w:p>
    <w:p w:rsidR="006145E2" w:rsidRPr="002B63AA" w:rsidRDefault="006145E2" w:rsidP="00612A1B">
      <w:pPr>
        <w:tabs>
          <w:tab w:val="left" w:pos="8285"/>
        </w:tabs>
        <w:jc w:val="both"/>
        <w:rPr>
          <w:rFonts w:ascii="Garamond" w:hAnsi="Garamond"/>
          <w:b/>
          <w:sz w:val="20"/>
          <w:szCs w:val="20"/>
        </w:rPr>
      </w:pPr>
    </w:p>
    <w:p w:rsidR="00A16C02" w:rsidRPr="002B63AA" w:rsidRDefault="00A16C02" w:rsidP="00612A1B">
      <w:pPr>
        <w:tabs>
          <w:tab w:val="left" w:pos="8285"/>
        </w:tabs>
        <w:jc w:val="both"/>
        <w:rPr>
          <w:rFonts w:ascii="Garamond" w:hAnsi="Garamond"/>
          <w:b/>
        </w:rPr>
      </w:pPr>
      <w:r w:rsidRPr="002B63AA">
        <w:rPr>
          <w:rFonts w:ascii="Garamond" w:hAnsi="Garamond"/>
          <w:b/>
        </w:rPr>
        <w:t>BACKGROUND TO THE APPEAL</w:t>
      </w:r>
    </w:p>
    <w:p w:rsidR="00253255" w:rsidRPr="002B63AA" w:rsidRDefault="00253255" w:rsidP="00312A65">
      <w:pPr>
        <w:tabs>
          <w:tab w:val="left" w:pos="8285"/>
        </w:tabs>
        <w:jc w:val="both"/>
        <w:rPr>
          <w:rFonts w:ascii="Garamond" w:hAnsi="Garamond"/>
        </w:rPr>
      </w:pPr>
    </w:p>
    <w:p w:rsidR="005E482B" w:rsidRPr="002B63AA" w:rsidRDefault="00051504" w:rsidP="00312A65">
      <w:pPr>
        <w:tabs>
          <w:tab w:val="left" w:pos="8285"/>
        </w:tabs>
        <w:jc w:val="both"/>
        <w:rPr>
          <w:rFonts w:ascii="Garamond" w:hAnsi="Garamond"/>
        </w:rPr>
      </w:pPr>
      <w:r>
        <w:rPr>
          <w:rFonts w:ascii="Garamond" w:hAnsi="Garamond"/>
        </w:rPr>
        <w:t xml:space="preserve">Robert Allen Stanford </w:t>
      </w:r>
      <w:r w:rsidR="00E172FE">
        <w:rPr>
          <w:rFonts w:ascii="Garamond" w:hAnsi="Garamond"/>
        </w:rPr>
        <w:t>ran a Ponzi scheme b</w:t>
      </w:r>
      <w:r w:rsidR="00E172FE" w:rsidRPr="002B63AA">
        <w:rPr>
          <w:rFonts w:ascii="Garamond" w:hAnsi="Garamond"/>
        </w:rPr>
        <w:t>etween 1990 and 2008</w:t>
      </w:r>
      <w:r w:rsidR="00E172FE">
        <w:rPr>
          <w:rFonts w:ascii="Garamond" w:hAnsi="Garamond"/>
        </w:rPr>
        <w:t xml:space="preserve"> </w:t>
      </w:r>
      <w:r w:rsidR="005E482B" w:rsidRPr="002B63AA">
        <w:rPr>
          <w:rFonts w:ascii="Garamond" w:hAnsi="Garamond"/>
        </w:rPr>
        <w:t xml:space="preserve">through </w:t>
      </w:r>
      <w:r w:rsidR="007060CB" w:rsidRPr="002B63AA">
        <w:rPr>
          <w:rFonts w:ascii="Garamond" w:hAnsi="Garamond"/>
        </w:rPr>
        <w:t>Stanford International Bank</w:t>
      </w:r>
      <w:r w:rsidR="005E482B" w:rsidRPr="002B63AA">
        <w:rPr>
          <w:rFonts w:ascii="Garamond" w:hAnsi="Garamond"/>
        </w:rPr>
        <w:t xml:space="preserve"> (</w:t>
      </w:r>
      <w:r w:rsidR="005E482B" w:rsidRPr="002B63AA">
        <w:rPr>
          <w:rFonts w:ascii="Garamond" w:hAnsi="Garamond"/>
          <w:b/>
          <w:bCs/>
        </w:rPr>
        <w:t>“SIB”</w:t>
      </w:r>
      <w:r w:rsidR="005E482B" w:rsidRPr="002B63AA">
        <w:rPr>
          <w:rFonts w:ascii="Garamond" w:hAnsi="Garamond"/>
        </w:rPr>
        <w:t>)</w:t>
      </w:r>
      <w:r w:rsidR="00F21D39">
        <w:rPr>
          <w:rFonts w:ascii="Garamond" w:hAnsi="Garamond"/>
        </w:rPr>
        <w:t>, a company registered in Antigua and Barbuda</w:t>
      </w:r>
      <w:r w:rsidR="005E482B" w:rsidRPr="002B63AA">
        <w:rPr>
          <w:rFonts w:ascii="Garamond" w:hAnsi="Garamond"/>
        </w:rPr>
        <w:t xml:space="preserve">. </w:t>
      </w:r>
      <w:r w:rsidR="00C14A20" w:rsidRPr="002B63AA">
        <w:rPr>
          <w:rFonts w:ascii="Garamond" w:hAnsi="Garamond"/>
        </w:rPr>
        <w:t xml:space="preserve">SIB </w:t>
      </w:r>
      <w:r w:rsidR="005E482B" w:rsidRPr="002B63AA">
        <w:rPr>
          <w:rFonts w:ascii="Garamond" w:hAnsi="Garamond"/>
        </w:rPr>
        <w:t xml:space="preserve">operated by selling certificates of deposit promising repayment with interest </w:t>
      </w:r>
      <w:proofErr w:type="gramStart"/>
      <w:r w:rsidR="005E482B" w:rsidRPr="002B63AA">
        <w:rPr>
          <w:rFonts w:ascii="Garamond" w:hAnsi="Garamond"/>
        </w:rPr>
        <w:t>at a later date</w:t>
      </w:r>
      <w:proofErr w:type="gramEnd"/>
      <w:r w:rsidR="005E482B" w:rsidRPr="002B63AA">
        <w:rPr>
          <w:rFonts w:ascii="Garamond" w:hAnsi="Garamond"/>
        </w:rPr>
        <w:t xml:space="preserve">. </w:t>
      </w:r>
      <w:r w:rsidR="00F616BD">
        <w:rPr>
          <w:rFonts w:ascii="Garamond" w:hAnsi="Garamond"/>
        </w:rPr>
        <w:t xml:space="preserve">In fact, throughout SIB’s history, </w:t>
      </w:r>
      <w:r w:rsidR="009F58A8" w:rsidRPr="002B63AA">
        <w:rPr>
          <w:rFonts w:ascii="Garamond" w:hAnsi="Garamond"/>
        </w:rPr>
        <w:t>Mr Stanford misappropriated many of the incoming payments rather than investing them in appropriate securities</w:t>
      </w:r>
      <w:r w:rsidR="002B7368" w:rsidRPr="002B63AA">
        <w:rPr>
          <w:rFonts w:ascii="Garamond" w:hAnsi="Garamond"/>
        </w:rPr>
        <w:t>.</w:t>
      </w:r>
    </w:p>
    <w:p w:rsidR="005E482B" w:rsidRPr="002B63AA" w:rsidRDefault="005E482B" w:rsidP="00312A65">
      <w:pPr>
        <w:tabs>
          <w:tab w:val="left" w:pos="8285"/>
        </w:tabs>
        <w:jc w:val="both"/>
        <w:rPr>
          <w:rFonts w:ascii="Garamond" w:hAnsi="Garamond"/>
        </w:rPr>
      </w:pPr>
    </w:p>
    <w:p w:rsidR="007F13CA" w:rsidRPr="002B63AA" w:rsidRDefault="005E482B" w:rsidP="00312A65">
      <w:pPr>
        <w:tabs>
          <w:tab w:val="left" w:pos="8285"/>
        </w:tabs>
        <w:jc w:val="both"/>
        <w:rPr>
          <w:rFonts w:ascii="Garamond" w:hAnsi="Garamond"/>
        </w:rPr>
      </w:pPr>
      <w:r w:rsidRPr="002B63AA">
        <w:rPr>
          <w:rFonts w:ascii="Garamond" w:hAnsi="Garamond"/>
        </w:rPr>
        <w:t xml:space="preserve">From </w:t>
      </w:r>
      <w:r w:rsidR="002B7368" w:rsidRPr="002B63AA">
        <w:rPr>
          <w:rFonts w:ascii="Garamond" w:hAnsi="Garamond"/>
        </w:rPr>
        <w:t xml:space="preserve">September </w:t>
      </w:r>
      <w:r w:rsidRPr="002B63AA">
        <w:rPr>
          <w:rFonts w:ascii="Garamond" w:hAnsi="Garamond"/>
        </w:rPr>
        <w:t xml:space="preserve">2008, there was a run on SIB during which </w:t>
      </w:r>
      <w:r w:rsidR="00C14A20" w:rsidRPr="002B63AA">
        <w:rPr>
          <w:rFonts w:ascii="Garamond" w:hAnsi="Garamond"/>
        </w:rPr>
        <w:t xml:space="preserve">investors </w:t>
      </w:r>
      <w:r w:rsidR="004C3B5D">
        <w:rPr>
          <w:rFonts w:ascii="Garamond" w:hAnsi="Garamond"/>
        </w:rPr>
        <w:t xml:space="preserve">withdrew </w:t>
      </w:r>
      <w:r w:rsidRPr="002B63AA">
        <w:rPr>
          <w:rFonts w:ascii="Garamond" w:hAnsi="Garamond"/>
        </w:rPr>
        <w:t xml:space="preserve">$1.3 </w:t>
      </w:r>
      <w:r w:rsidR="004C3B5D">
        <w:rPr>
          <w:rFonts w:ascii="Garamond" w:hAnsi="Garamond"/>
        </w:rPr>
        <w:t>billion</w:t>
      </w:r>
      <w:r w:rsidRPr="002B63AA">
        <w:rPr>
          <w:rFonts w:ascii="Garamond" w:hAnsi="Garamond"/>
        </w:rPr>
        <w:t xml:space="preserve">. </w:t>
      </w:r>
      <w:r w:rsidR="00C14A20" w:rsidRPr="002B63AA">
        <w:rPr>
          <w:rFonts w:ascii="Garamond" w:hAnsi="Garamond"/>
        </w:rPr>
        <w:t>Antigua</w:t>
      </w:r>
      <w:r w:rsidR="009F58A8">
        <w:rPr>
          <w:rFonts w:ascii="Garamond" w:hAnsi="Garamond"/>
        </w:rPr>
        <w:t xml:space="preserve"> and Barbuda</w:t>
      </w:r>
      <w:r w:rsidR="00C14A20" w:rsidRPr="002B63AA">
        <w:rPr>
          <w:rFonts w:ascii="Garamond" w:hAnsi="Garamond"/>
        </w:rPr>
        <w:t xml:space="preserve">’s </w:t>
      </w:r>
      <w:r w:rsidRPr="002B63AA">
        <w:rPr>
          <w:rFonts w:ascii="Garamond" w:hAnsi="Garamond"/>
        </w:rPr>
        <w:t xml:space="preserve">Financial Services Regulatory Commission suspended SIB’s operations in February 2009 and </w:t>
      </w:r>
      <w:r w:rsidR="009F58A8">
        <w:rPr>
          <w:rFonts w:ascii="Garamond" w:hAnsi="Garamond"/>
        </w:rPr>
        <w:t xml:space="preserve">the </w:t>
      </w:r>
      <w:r w:rsidRPr="002B63AA">
        <w:rPr>
          <w:rFonts w:ascii="Garamond" w:hAnsi="Garamond"/>
        </w:rPr>
        <w:t xml:space="preserve">High Court placed it into liquidation </w:t>
      </w:r>
      <w:r w:rsidR="004C3B5D">
        <w:rPr>
          <w:rFonts w:ascii="Garamond" w:hAnsi="Garamond"/>
        </w:rPr>
        <w:t xml:space="preserve">in </w:t>
      </w:r>
      <w:r w:rsidRPr="002B63AA">
        <w:rPr>
          <w:rFonts w:ascii="Garamond" w:hAnsi="Garamond"/>
        </w:rPr>
        <w:t>April 2009.</w:t>
      </w:r>
      <w:r w:rsidR="009F58A8">
        <w:rPr>
          <w:rFonts w:ascii="Garamond" w:hAnsi="Garamond"/>
        </w:rPr>
        <w:t xml:space="preserve"> </w:t>
      </w:r>
      <w:r w:rsidR="009F58A8" w:rsidRPr="002B63AA">
        <w:rPr>
          <w:rFonts w:ascii="Garamond" w:hAnsi="Garamond"/>
        </w:rPr>
        <w:t xml:space="preserve">Mr Stanford was </w:t>
      </w:r>
      <w:r w:rsidR="009F58A8">
        <w:rPr>
          <w:rFonts w:ascii="Garamond" w:hAnsi="Garamond"/>
        </w:rPr>
        <w:t xml:space="preserve">subsequently </w:t>
      </w:r>
      <w:r w:rsidR="009F58A8" w:rsidRPr="002B63AA">
        <w:rPr>
          <w:rFonts w:ascii="Garamond" w:hAnsi="Garamond"/>
        </w:rPr>
        <w:t>convicted of fraud-related offences and is now serving a 110-year prison sentence in the United States.</w:t>
      </w:r>
    </w:p>
    <w:p w:rsidR="007F13CA" w:rsidRPr="002B63AA" w:rsidRDefault="007F13CA" w:rsidP="00312A65">
      <w:pPr>
        <w:tabs>
          <w:tab w:val="left" w:pos="8285"/>
        </w:tabs>
        <w:jc w:val="both"/>
        <w:rPr>
          <w:rFonts w:ascii="Garamond" w:hAnsi="Garamond"/>
        </w:rPr>
      </w:pPr>
    </w:p>
    <w:p w:rsidR="007F13CA" w:rsidRPr="002B63AA" w:rsidRDefault="007F13CA" w:rsidP="00312A65">
      <w:pPr>
        <w:tabs>
          <w:tab w:val="left" w:pos="8285"/>
        </w:tabs>
        <w:jc w:val="both"/>
        <w:rPr>
          <w:rFonts w:ascii="Garamond" w:hAnsi="Garamond"/>
        </w:rPr>
      </w:pPr>
      <w:r w:rsidRPr="002B63AA">
        <w:rPr>
          <w:rFonts w:ascii="Garamond" w:hAnsi="Garamond"/>
        </w:rPr>
        <w:t xml:space="preserve">The liquidators </w:t>
      </w:r>
      <w:r w:rsidR="009F58A8">
        <w:rPr>
          <w:rFonts w:ascii="Garamond" w:hAnsi="Garamond"/>
        </w:rPr>
        <w:t xml:space="preserve">of SIB </w:t>
      </w:r>
      <w:r w:rsidRPr="002B63AA">
        <w:rPr>
          <w:rFonts w:ascii="Garamond" w:hAnsi="Garamond"/>
        </w:rPr>
        <w:t xml:space="preserve">saw it as unfair that </w:t>
      </w:r>
      <w:r w:rsidR="00C14A20" w:rsidRPr="002B63AA">
        <w:rPr>
          <w:rFonts w:ascii="Garamond" w:hAnsi="Garamond"/>
        </w:rPr>
        <w:t>some</w:t>
      </w:r>
      <w:r w:rsidRPr="002B63AA">
        <w:rPr>
          <w:rFonts w:ascii="Garamond" w:hAnsi="Garamond"/>
        </w:rPr>
        <w:t xml:space="preserve"> investors had left the scheme with substantial profits at the expense of </w:t>
      </w:r>
      <w:r w:rsidR="009F58A8">
        <w:rPr>
          <w:rFonts w:ascii="Garamond" w:hAnsi="Garamond"/>
        </w:rPr>
        <w:t>other investors who had not withdrawn any money</w:t>
      </w:r>
      <w:r w:rsidRPr="002B63AA">
        <w:rPr>
          <w:rFonts w:ascii="Garamond" w:hAnsi="Garamond"/>
        </w:rPr>
        <w:t xml:space="preserve">. They wanted to achieve what they considered to be a fairer outcome by (a) </w:t>
      </w:r>
      <w:r w:rsidR="001E6E7F" w:rsidRPr="002B63AA">
        <w:rPr>
          <w:rFonts w:ascii="Garamond" w:hAnsi="Garamond"/>
        </w:rPr>
        <w:t xml:space="preserve">clawing back </w:t>
      </w:r>
      <w:r w:rsidR="009F58A8">
        <w:rPr>
          <w:rFonts w:ascii="Garamond" w:hAnsi="Garamond"/>
        </w:rPr>
        <w:t xml:space="preserve">past </w:t>
      </w:r>
      <w:proofErr w:type="spellStart"/>
      <w:r w:rsidR="009F58A8">
        <w:rPr>
          <w:rFonts w:ascii="Garamond" w:hAnsi="Garamond"/>
        </w:rPr>
        <w:t>payouts</w:t>
      </w:r>
      <w:proofErr w:type="spellEnd"/>
      <w:r w:rsidR="009F58A8">
        <w:rPr>
          <w:rFonts w:ascii="Garamond" w:hAnsi="Garamond"/>
        </w:rPr>
        <w:t xml:space="preserve"> </w:t>
      </w:r>
      <w:r w:rsidRPr="002B63AA">
        <w:rPr>
          <w:rFonts w:ascii="Garamond" w:hAnsi="Garamond"/>
        </w:rPr>
        <w:t xml:space="preserve">of interest (totalling $200 million); (b) </w:t>
      </w:r>
      <w:r w:rsidR="001E6E7F" w:rsidRPr="002B63AA">
        <w:rPr>
          <w:rFonts w:ascii="Garamond" w:hAnsi="Garamond"/>
        </w:rPr>
        <w:t xml:space="preserve">clawing back </w:t>
      </w:r>
      <w:proofErr w:type="spellStart"/>
      <w:r w:rsidR="009F58A8">
        <w:rPr>
          <w:rFonts w:ascii="Garamond" w:hAnsi="Garamond"/>
        </w:rPr>
        <w:t>payouts</w:t>
      </w:r>
      <w:proofErr w:type="spellEnd"/>
      <w:r w:rsidR="009F58A8">
        <w:rPr>
          <w:rFonts w:ascii="Garamond" w:hAnsi="Garamond"/>
        </w:rPr>
        <w:t xml:space="preserve"> of capital and interest made </w:t>
      </w:r>
      <w:r w:rsidRPr="002B63AA">
        <w:rPr>
          <w:rFonts w:ascii="Garamond" w:hAnsi="Garamond"/>
        </w:rPr>
        <w:t xml:space="preserve">during the run on the bank </w:t>
      </w:r>
      <w:r w:rsidR="009F58A8">
        <w:rPr>
          <w:rFonts w:ascii="Garamond" w:hAnsi="Garamond"/>
        </w:rPr>
        <w:t>from</w:t>
      </w:r>
      <w:r w:rsidRPr="002B63AA">
        <w:rPr>
          <w:rFonts w:ascii="Garamond" w:hAnsi="Garamond"/>
        </w:rPr>
        <w:t xml:space="preserve"> September 2008 (totalling $1.3 billion); and (c) readjusting </w:t>
      </w:r>
      <w:r w:rsidR="001E6E7F" w:rsidRPr="002B63AA">
        <w:rPr>
          <w:rFonts w:ascii="Garamond" w:hAnsi="Garamond"/>
        </w:rPr>
        <w:t xml:space="preserve">the </w:t>
      </w:r>
      <w:r w:rsidR="009F58A8">
        <w:rPr>
          <w:rFonts w:ascii="Garamond" w:hAnsi="Garamond"/>
        </w:rPr>
        <w:t xml:space="preserve">creditors’ </w:t>
      </w:r>
      <w:r w:rsidR="001E6E7F" w:rsidRPr="002B63AA">
        <w:rPr>
          <w:rFonts w:ascii="Garamond" w:hAnsi="Garamond"/>
        </w:rPr>
        <w:t xml:space="preserve">claims within the liquidation </w:t>
      </w:r>
      <w:r w:rsidR="004C3B5D">
        <w:rPr>
          <w:rFonts w:ascii="Garamond" w:hAnsi="Garamond"/>
        </w:rPr>
        <w:t xml:space="preserve">to require investors who had received partial </w:t>
      </w:r>
      <w:proofErr w:type="spellStart"/>
      <w:r w:rsidR="004C3B5D">
        <w:rPr>
          <w:rFonts w:ascii="Garamond" w:hAnsi="Garamond"/>
        </w:rPr>
        <w:t>payouts</w:t>
      </w:r>
      <w:proofErr w:type="spellEnd"/>
      <w:r w:rsidR="004C3B5D">
        <w:rPr>
          <w:rFonts w:ascii="Garamond" w:hAnsi="Garamond"/>
        </w:rPr>
        <w:t xml:space="preserve"> to give credit for those </w:t>
      </w:r>
      <w:proofErr w:type="spellStart"/>
      <w:r w:rsidR="004C3B5D">
        <w:rPr>
          <w:rFonts w:ascii="Garamond" w:hAnsi="Garamond"/>
        </w:rPr>
        <w:t>payouts</w:t>
      </w:r>
      <w:proofErr w:type="spellEnd"/>
      <w:r w:rsidR="004C3B5D">
        <w:rPr>
          <w:rFonts w:ascii="Garamond" w:hAnsi="Garamond"/>
        </w:rPr>
        <w:t xml:space="preserve">, thereby increasing the amount available for distribution to investors </w:t>
      </w:r>
      <w:r w:rsidR="001E6E7F" w:rsidRPr="002B63AA">
        <w:rPr>
          <w:rFonts w:ascii="Garamond" w:hAnsi="Garamond"/>
        </w:rPr>
        <w:t xml:space="preserve">who had not </w:t>
      </w:r>
      <w:r w:rsidR="00C14A20" w:rsidRPr="002B63AA">
        <w:rPr>
          <w:rFonts w:ascii="Garamond" w:hAnsi="Garamond"/>
        </w:rPr>
        <w:t>withdrawn any funds at all.</w:t>
      </w:r>
    </w:p>
    <w:p w:rsidR="001E6E7F" w:rsidRPr="002B63AA" w:rsidRDefault="001E6E7F" w:rsidP="00312A65">
      <w:pPr>
        <w:tabs>
          <w:tab w:val="left" w:pos="8285"/>
        </w:tabs>
        <w:jc w:val="both"/>
        <w:rPr>
          <w:rFonts w:ascii="Garamond" w:hAnsi="Garamond"/>
        </w:rPr>
      </w:pPr>
    </w:p>
    <w:p w:rsidR="005E482B" w:rsidRPr="002B63AA" w:rsidRDefault="001E6E7F" w:rsidP="00312A65">
      <w:pPr>
        <w:tabs>
          <w:tab w:val="left" w:pos="8285"/>
        </w:tabs>
        <w:jc w:val="both"/>
        <w:rPr>
          <w:rFonts w:ascii="Garamond" w:hAnsi="Garamond"/>
        </w:rPr>
      </w:pPr>
      <w:r w:rsidRPr="002B63AA">
        <w:rPr>
          <w:rFonts w:ascii="Garamond" w:hAnsi="Garamond"/>
        </w:rPr>
        <w:t xml:space="preserve">The problem for the liquidators was finding a proper legal basis for this. Primarily, they </w:t>
      </w:r>
      <w:r w:rsidR="009F58A8">
        <w:rPr>
          <w:rFonts w:ascii="Garamond" w:hAnsi="Garamond"/>
        </w:rPr>
        <w:t xml:space="preserve">hoped </w:t>
      </w:r>
      <w:r w:rsidRPr="002B63AA">
        <w:rPr>
          <w:rFonts w:ascii="Garamond" w:hAnsi="Garamond"/>
        </w:rPr>
        <w:t>to rely on section 204 of Antigua</w:t>
      </w:r>
      <w:r w:rsidR="002B63AA">
        <w:rPr>
          <w:rFonts w:ascii="Garamond" w:hAnsi="Garamond"/>
        </w:rPr>
        <w:t xml:space="preserve"> and Barbuda</w:t>
      </w:r>
      <w:r w:rsidRPr="002B63AA">
        <w:rPr>
          <w:rFonts w:ascii="Garamond" w:hAnsi="Garamond"/>
        </w:rPr>
        <w:t xml:space="preserve">’s International Business Corporations Act </w:t>
      </w:r>
      <w:r w:rsidR="00C14A20" w:rsidRPr="002B63AA">
        <w:rPr>
          <w:rFonts w:ascii="Garamond" w:hAnsi="Garamond"/>
        </w:rPr>
        <w:t>(</w:t>
      </w:r>
      <w:r w:rsidR="00C14A20" w:rsidRPr="002B63AA">
        <w:rPr>
          <w:rFonts w:ascii="Garamond" w:hAnsi="Garamond"/>
          <w:b/>
          <w:bCs/>
        </w:rPr>
        <w:t>“the IBC Act”</w:t>
      </w:r>
      <w:r w:rsidR="00C14A20" w:rsidRPr="002B63AA">
        <w:rPr>
          <w:rFonts w:ascii="Garamond" w:hAnsi="Garamond"/>
        </w:rPr>
        <w:t xml:space="preserve">) </w:t>
      </w:r>
      <w:r w:rsidRPr="002B63AA">
        <w:rPr>
          <w:rFonts w:ascii="Garamond" w:hAnsi="Garamond"/>
        </w:rPr>
        <w:t>which allows the courts to grant relief for oppressive or unfairly prejudicial conduct (</w:t>
      </w:r>
      <w:r w:rsidRPr="002B63AA">
        <w:rPr>
          <w:rFonts w:ascii="Garamond" w:hAnsi="Garamond"/>
          <w:b/>
          <w:bCs/>
        </w:rPr>
        <w:t>“section 204 relief”</w:t>
      </w:r>
      <w:r w:rsidRPr="002B63AA">
        <w:rPr>
          <w:rFonts w:ascii="Garamond" w:hAnsi="Garamond"/>
        </w:rPr>
        <w:t>).</w:t>
      </w:r>
      <w:r w:rsidR="00C14A20" w:rsidRPr="002B63AA">
        <w:rPr>
          <w:rFonts w:ascii="Garamond" w:hAnsi="Garamond"/>
        </w:rPr>
        <w:t xml:space="preserve"> </w:t>
      </w:r>
      <w:r w:rsidR="009F58A8">
        <w:rPr>
          <w:rFonts w:ascii="Garamond" w:hAnsi="Garamond"/>
        </w:rPr>
        <w:t>This would be a novel approach and so t</w:t>
      </w:r>
      <w:r w:rsidRPr="002B63AA">
        <w:rPr>
          <w:rFonts w:ascii="Garamond" w:hAnsi="Garamond"/>
        </w:rPr>
        <w:t xml:space="preserve">he liquidators asked the High Court </w:t>
      </w:r>
      <w:r w:rsidR="009F58A8">
        <w:rPr>
          <w:rFonts w:ascii="Garamond" w:hAnsi="Garamond"/>
        </w:rPr>
        <w:t xml:space="preserve">in </w:t>
      </w:r>
      <w:r w:rsidRPr="002B63AA">
        <w:rPr>
          <w:rFonts w:ascii="Garamond" w:hAnsi="Garamond"/>
        </w:rPr>
        <w:t xml:space="preserve">Antigua and Barbuda </w:t>
      </w:r>
      <w:r w:rsidR="002B7368" w:rsidRPr="002B63AA">
        <w:rPr>
          <w:rFonts w:ascii="Garamond" w:hAnsi="Garamond"/>
        </w:rPr>
        <w:t>to sanction their propos</w:t>
      </w:r>
      <w:r w:rsidR="00C14A20" w:rsidRPr="002B63AA">
        <w:rPr>
          <w:rFonts w:ascii="Garamond" w:hAnsi="Garamond"/>
        </w:rPr>
        <w:t>als</w:t>
      </w:r>
      <w:r w:rsidR="002B7368" w:rsidRPr="002B63AA">
        <w:rPr>
          <w:rFonts w:ascii="Garamond" w:hAnsi="Garamond"/>
        </w:rPr>
        <w:t>.</w:t>
      </w:r>
      <w:r w:rsidR="00C14A20" w:rsidRPr="002B63AA">
        <w:rPr>
          <w:rFonts w:ascii="Garamond" w:hAnsi="Garamond"/>
        </w:rPr>
        <w:t xml:space="preserve"> </w:t>
      </w:r>
      <w:r w:rsidR="009F58A8">
        <w:rPr>
          <w:rFonts w:ascii="Garamond" w:hAnsi="Garamond"/>
        </w:rPr>
        <w:t xml:space="preserve">At first instance, </w:t>
      </w:r>
      <w:bookmarkStart w:id="1" w:name="_Hlk27140048"/>
      <w:r w:rsidR="003D12CB">
        <w:rPr>
          <w:rFonts w:ascii="Garamond" w:hAnsi="Garamond"/>
        </w:rPr>
        <w:t xml:space="preserve">acting High Court Judge Gerard </w:t>
      </w:r>
      <w:proofErr w:type="spellStart"/>
      <w:r w:rsidR="002B7368" w:rsidRPr="002B63AA">
        <w:rPr>
          <w:rFonts w:ascii="Garamond" w:hAnsi="Garamond"/>
        </w:rPr>
        <w:t>Wallbank</w:t>
      </w:r>
      <w:proofErr w:type="spellEnd"/>
      <w:r w:rsidR="002B7368" w:rsidRPr="002B63AA">
        <w:rPr>
          <w:rFonts w:ascii="Garamond" w:hAnsi="Garamond"/>
        </w:rPr>
        <w:t xml:space="preserve"> </w:t>
      </w:r>
      <w:bookmarkEnd w:id="1"/>
      <w:r w:rsidR="00A319FA" w:rsidRPr="002B63AA">
        <w:rPr>
          <w:rFonts w:ascii="Garamond" w:hAnsi="Garamond"/>
        </w:rPr>
        <w:t>declined to authorise the clawback claims (</w:t>
      </w:r>
      <w:r w:rsidR="009F58A8">
        <w:rPr>
          <w:rFonts w:ascii="Garamond" w:hAnsi="Garamond"/>
        </w:rPr>
        <w:t xml:space="preserve">see </w:t>
      </w:r>
      <w:r w:rsidR="00A319FA" w:rsidRPr="002B63AA">
        <w:rPr>
          <w:rFonts w:ascii="Garamond" w:hAnsi="Garamond"/>
        </w:rPr>
        <w:t>(a) and (b) above) but permitted the liquidators to pursue the readjustment claims (</w:t>
      </w:r>
      <w:r w:rsidR="009F58A8">
        <w:rPr>
          <w:rFonts w:ascii="Garamond" w:hAnsi="Garamond"/>
        </w:rPr>
        <w:t xml:space="preserve">see </w:t>
      </w:r>
      <w:r w:rsidR="00A319FA" w:rsidRPr="002B63AA">
        <w:rPr>
          <w:rFonts w:ascii="Garamond" w:hAnsi="Garamond"/>
        </w:rPr>
        <w:t xml:space="preserve">(c) above.) </w:t>
      </w:r>
      <w:r w:rsidR="00C14A20" w:rsidRPr="002B63AA">
        <w:rPr>
          <w:rFonts w:ascii="Garamond" w:hAnsi="Garamond"/>
        </w:rPr>
        <w:t xml:space="preserve">On appeal, the Court of Appeal held that there was no lawful basis for any of the liquidators’ </w:t>
      </w:r>
      <w:r w:rsidR="009F58A8">
        <w:rPr>
          <w:rFonts w:ascii="Garamond" w:hAnsi="Garamond"/>
        </w:rPr>
        <w:t>proposals</w:t>
      </w:r>
      <w:r w:rsidR="00F616BD">
        <w:rPr>
          <w:rFonts w:ascii="Garamond" w:hAnsi="Garamond"/>
        </w:rPr>
        <w:t xml:space="preserve"> because </w:t>
      </w:r>
      <w:r w:rsidR="00F616BD" w:rsidRPr="002B63AA">
        <w:rPr>
          <w:rFonts w:ascii="Garamond" w:hAnsi="Garamond"/>
        </w:rPr>
        <w:t>section 204 was unavailable in principle during a liquidation</w:t>
      </w:r>
      <w:r w:rsidR="00C14A20" w:rsidRPr="002B63AA">
        <w:rPr>
          <w:rFonts w:ascii="Garamond" w:hAnsi="Garamond"/>
        </w:rPr>
        <w:t>. The liquidators appealed to the Judicial Committee of the Privy Council.</w:t>
      </w:r>
    </w:p>
    <w:p w:rsidR="00D8494A" w:rsidRPr="002B63AA" w:rsidRDefault="00D8494A" w:rsidP="00312A65">
      <w:pPr>
        <w:tabs>
          <w:tab w:val="left" w:pos="8285"/>
        </w:tabs>
        <w:jc w:val="both"/>
        <w:rPr>
          <w:rFonts w:ascii="Garamond" w:hAnsi="Garamond"/>
        </w:rPr>
      </w:pPr>
    </w:p>
    <w:p w:rsidR="00A16C02" w:rsidRPr="002B63AA" w:rsidRDefault="00A16C02" w:rsidP="00612A1B">
      <w:pPr>
        <w:jc w:val="both"/>
        <w:rPr>
          <w:rFonts w:ascii="Garamond" w:hAnsi="Garamond"/>
          <w:b/>
        </w:rPr>
      </w:pPr>
      <w:r w:rsidRPr="002B63AA">
        <w:rPr>
          <w:rFonts w:ascii="Garamond" w:hAnsi="Garamond"/>
          <w:b/>
        </w:rPr>
        <w:t>JUDGMENT</w:t>
      </w:r>
    </w:p>
    <w:p w:rsidR="00A16C02" w:rsidRPr="002B63AA" w:rsidRDefault="00A16C02" w:rsidP="00612A1B">
      <w:pPr>
        <w:jc w:val="both"/>
        <w:rPr>
          <w:rFonts w:ascii="Garamond" w:hAnsi="Garamond"/>
          <w:b/>
          <w:sz w:val="20"/>
          <w:szCs w:val="20"/>
        </w:rPr>
      </w:pPr>
    </w:p>
    <w:p w:rsidR="00D8494A" w:rsidRPr="002B63AA" w:rsidRDefault="002B63AA" w:rsidP="00F00E0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Board </w:t>
      </w:r>
      <w:r w:rsidR="00F00E09" w:rsidRPr="002B63AA">
        <w:rPr>
          <w:rFonts w:ascii="Garamond" w:hAnsi="Garamond"/>
        </w:rPr>
        <w:t xml:space="preserve">will humbly advise Her Majesty that the </w:t>
      </w:r>
      <w:r>
        <w:rPr>
          <w:rFonts w:ascii="Garamond" w:hAnsi="Garamond"/>
        </w:rPr>
        <w:t xml:space="preserve">liquidators’ </w:t>
      </w:r>
      <w:r w:rsidR="00F00E09" w:rsidRPr="002B63AA">
        <w:rPr>
          <w:rFonts w:ascii="Garamond" w:hAnsi="Garamond"/>
        </w:rPr>
        <w:t>appeal should</w:t>
      </w:r>
      <w:r>
        <w:rPr>
          <w:rFonts w:ascii="Garamond" w:hAnsi="Garamond"/>
        </w:rPr>
        <w:t xml:space="preserve"> </w:t>
      </w:r>
      <w:r w:rsidR="00F00E09" w:rsidRPr="002B63AA">
        <w:rPr>
          <w:rFonts w:ascii="Garamond" w:hAnsi="Garamond"/>
        </w:rPr>
        <w:t xml:space="preserve">be dismissed. </w:t>
      </w:r>
      <w:r w:rsidR="00DE71DC" w:rsidRPr="002B63AA">
        <w:rPr>
          <w:rFonts w:ascii="Garamond" w:hAnsi="Garamond"/>
        </w:rPr>
        <w:t>Lord Briggs</w:t>
      </w:r>
      <w:r>
        <w:rPr>
          <w:rFonts w:ascii="Garamond" w:hAnsi="Garamond"/>
        </w:rPr>
        <w:t>, for the majority, holds that section 204 relief is unavailable during a liquidation.</w:t>
      </w:r>
      <w:r w:rsidR="00DE71DC" w:rsidRPr="002B63AA">
        <w:rPr>
          <w:rFonts w:ascii="Garamond" w:hAnsi="Garamond"/>
        </w:rPr>
        <w:t xml:space="preserve"> </w:t>
      </w:r>
      <w:r w:rsidR="00D24E13" w:rsidRPr="002B63AA">
        <w:rPr>
          <w:rFonts w:ascii="Garamond" w:hAnsi="Garamond"/>
        </w:rPr>
        <w:t xml:space="preserve">Lady Arden and Lord Carnwath </w:t>
      </w:r>
      <w:r>
        <w:rPr>
          <w:rFonts w:ascii="Garamond" w:hAnsi="Garamond"/>
        </w:rPr>
        <w:t>consider that section 204 relief may be available in principle in a liquidation, but they agree that the appeal should be dismissed.</w:t>
      </w:r>
    </w:p>
    <w:p w:rsidR="00F00E09" w:rsidRPr="002B63AA" w:rsidRDefault="00F00E09" w:rsidP="00F00E09">
      <w:pPr>
        <w:jc w:val="both"/>
        <w:rPr>
          <w:rFonts w:ascii="Garamond" w:hAnsi="Garamond"/>
        </w:rPr>
      </w:pPr>
    </w:p>
    <w:p w:rsidR="00A16C02" w:rsidRPr="007E2A31" w:rsidRDefault="00A16C02" w:rsidP="00612A1B">
      <w:pPr>
        <w:jc w:val="both"/>
        <w:rPr>
          <w:rFonts w:ascii="Garamond" w:hAnsi="Garamond"/>
        </w:rPr>
      </w:pPr>
      <w:r w:rsidRPr="007E2A31">
        <w:rPr>
          <w:rFonts w:ascii="Garamond" w:hAnsi="Garamond"/>
          <w:b/>
        </w:rPr>
        <w:t>REASONS FOR THE JUDGMENT</w:t>
      </w:r>
    </w:p>
    <w:p w:rsidR="00DB7C3C" w:rsidRPr="000944B2" w:rsidRDefault="00DB7C3C" w:rsidP="00DB7C3C">
      <w:pPr>
        <w:jc w:val="both"/>
        <w:rPr>
          <w:rFonts w:ascii="Garamond" w:hAnsi="Garamond"/>
        </w:rPr>
      </w:pPr>
    </w:p>
    <w:p w:rsidR="004A147A" w:rsidRDefault="004A147A" w:rsidP="00DB7C3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majority place weight on the characteristics of the insolvency scheme in Antigua and Barbuda. </w:t>
      </w:r>
      <w:r w:rsidR="005E4017">
        <w:rPr>
          <w:rFonts w:ascii="Garamond" w:hAnsi="Garamond"/>
        </w:rPr>
        <w:t>F</w:t>
      </w:r>
      <w:r w:rsidR="005E4017" w:rsidRPr="005E4017">
        <w:rPr>
          <w:rFonts w:ascii="Garamond" w:hAnsi="Garamond"/>
        </w:rPr>
        <w:t xml:space="preserve">ollowing entry into liquidation, </w:t>
      </w:r>
      <w:r w:rsidR="005E4017">
        <w:rPr>
          <w:rFonts w:ascii="Garamond" w:hAnsi="Garamond"/>
        </w:rPr>
        <w:t xml:space="preserve">a company’s </w:t>
      </w:r>
      <w:r w:rsidR="005E4017" w:rsidRPr="005E4017">
        <w:rPr>
          <w:rFonts w:ascii="Garamond" w:hAnsi="Garamond"/>
        </w:rPr>
        <w:t xml:space="preserve">affairs are taken out of the hands of </w:t>
      </w:r>
      <w:r w:rsidR="005E4017">
        <w:rPr>
          <w:rFonts w:ascii="Garamond" w:hAnsi="Garamond"/>
        </w:rPr>
        <w:t xml:space="preserve">its </w:t>
      </w:r>
      <w:r w:rsidR="005E4017" w:rsidRPr="005E4017">
        <w:rPr>
          <w:rFonts w:ascii="Garamond" w:hAnsi="Garamond"/>
        </w:rPr>
        <w:t>officers and shareholders and entrusted to a court-appointed office-holder, the liquidator, whose duties are laid down by statute</w:t>
      </w:r>
      <w:r w:rsidR="005E4017">
        <w:rPr>
          <w:rFonts w:ascii="Garamond" w:hAnsi="Garamond"/>
        </w:rPr>
        <w:t xml:space="preserve">. The distribution of the company’s property is governed by an insolvency scheme which requires a </w:t>
      </w:r>
      <w:bookmarkStart w:id="2" w:name="_Hlk27139982"/>
      <w:r w:rsidR="005E4017">
        <w:rPr>
          <w:rFonts w:ascii="Garamond" w:hAnsi="Garamond"/>
        </w:rPr>
        <w:t xml:space="preserve">distribution </w:t>
      </w:r>
      <w:r w:rsidR="003D12CB">
        <w:rPr>
          <w:rFonts w:ascii="Garamond" w:hAnsi="Garamond"/>
        </w:rPr>
        <w:t xml:space="preserve">on an equal footing </w:t>
      </w:r>
      <w:r w:rsidR="005E4017">
        <w:rPr>
          <w:rFonts w:ascii="Garamond" w:hAnsi="Garamond"/>
        </w:rPr>
        <w:t xml:space="preserve">within each class of stakeholders </w:t>
      </w:r>
      <w:r w:rsidR="003D12CB">
        <w:rPr>
          <w:rFonts w:ascii="Garamond" w:hAnsi="Garamond"/>
        </w:rPr>
        <w:t xml:space="preserve">(known as a </w:t>
      </w:r>
      <w:proofErr w:type="spellStart"/>
      <w:r w:rsidR="003D12CB">
        <w:rPr>
          <w:rFonts w:ascii="Garamond" w:hAnsi="Garamond"/>
        </w:rPr>
        <w:t>pari</w:t>
      </w:r>
      <w:proofErr w:type="spellEnd"/>
      <w:r w:rsidR="003D12CB">
        <w:rPr>
          <w:rFonts w:ascii="Garamond" w:hAnsi="Garamond"/>
        </w:rPr>
        <w:t xml:space="preserve"> </w:t>
      </w:r>
      <w:proofErr w:type="spellStart"/>
      <w:r w:rsidR="003D12CB">
        <w:rPr>
          <w:rFonts w:ascii="Garamond" w:hAnsi="Garamond"/>
        </w:rPr>
        <w:t>passu</w:t>
      </w:r>
      <w:proofErr w:type="spellEnd"/>
      <w:r w:rsidR="003D12CB">
        <w:rPr>
          <w:rFonts w:ascii="Garamond" w:hAnsi="Garamond"/>
        </w:rPr>
        <w:t xml:space="preserve"> distribution) </w:t>
      </w:r>
      <w:bookmarkEnd w:id="2"/>
      <w:r w:rsidR="005E4017">
        <w:rPr>
          <w:rFonts w:ascii="Garamond" w:hAnsi="Garamond"/>
        </w:rPr>
        <w:t xml:space="preserve">out of available resources. </w:t>
      </w:r>
      <w:r>
        <w:rPr>
          <w:rFonts w:ascii="Garamond" w:hAnsi="Garamond"/>
        </w:rPr>
        <w:t xml:space="preserve">It is constrained by the fact that the liquidators only have access </w:t>
      </w:r>
      <w:r w:rsidR="005E4017">
        <w:rPr>
          <w:rFonts w:ascii="Garamond" w:hAnsi="Garamond"/>
        </w:rPr>
        <w:t xml:space="preserve">to the assets and claims which the company </w:t>
      </w:r>
      <w:r>
        <w:rPr>
          <w:rFonts w:ascii="Garamond" w:hAnsi="Garamond"/>
        </w:rPr>
        <w:t xml:space="preserve">still </w:t>
      </w:r>
      <w:r w:rsidR="005E4017">
        <w:rPr>
          <w:rFonts w:ascii="Garamond" w:hAnsi="Garamond"/>
        </w:rPr>
        <w:t xml:space="preserve">enjoyed at the start of the liquidation, subject to </w:t>
      </w:r>
      <w:r w:rsidR="00436B87">
        <w:rPr>
          <w:rFonts w:ascii="Garamond" w:hAnsi="Garamond"/>
        </w:rPr>
        <w:t xml:space="preserve">the possibility of using </w:t>
      </w:r>
      <w:r w:rsidR="005E4017">
        <w:rPr>
          <w:rFonts w:ascii="Garamond" w:hAnsi="Garamond"/>
        </w:rPr>
        <w:t xml:space="preserve">specific powers to re-open prior transactions </w:t>
      </w:r>
      <w:r>
        <w:rPr>
          <w:rFonts w:ascii="Garamond" w:hAnsi="Garamond"/>
          <w:b/>
          <w:bCs/>
        </w:rPr>
        <w:t>[18]</w:t>
      </w:r>
      <w:r>
        <w:rPr>
          <w:rFonts w:ascii="Garamond" w:hAnsi="Garamond"/>
        </w:rPr>
        <w:t xml:space="preserve">; </w:t>
      </w:r>
      <w:r w:rsidR="000A4C22">
        <w:rPr>
          <w:rFonts w:ascii="Garamond" w:hAnsi="Garamond"/>
          <w:b/>
          <w:bCs/>
        </w:rPr>
        <w:t>[54]</w:t>
      </w:r>
      <w:r w:rsidR="000A4C22">
        <w:rPr>
          <w:rFonts w:ascii="Garamond" w:hAnsi="Garamond"/>
        </w:rPr>
        <w:t>-</w:t>
      </w:r>
      <w:r w:rsidR="005E4017">
        <w:rPr>
          <w:rFonts w:ascii="Garamond" w:hAnsi="Garamond"/>
          <w:b/>
          <w:bCs/>
        </w:rPr>
        <w:t>[55]</w:t>
      </w:r>
      <w:r w:rsidR="005E4017" w:rsidRPr="005E4017">
        <w:rPr>
          <w:rFonts w:ascii="Garamond" w:hAnsi="Garamond"/>
        </w:rPr>
        <w:t>.</w:t>
      </w:r>
    </w:p>
    <w:p w:rsidR="004A147A" w:rsidRDefault="004A147A" w:rsidP="00DB7C3C">
      <w:pPr>
        <w:jc w:val="both"/>
        <w:rPr>
          <w:rFonts w:ascii="Garamond" w:hAnsi="Garamond"/>
        </w:rPr>
      </w:pPr>
    </w:p>
    <w:p w:rsidR="00A7219F" w:rsidRDefault="000A4C22" w:rsidP="00DB7C3C">
      <w:pPr>
        <w:jc w:val="both"/>
        <w:rPr>
          <w:rFonts w:ascii="Garamond" w:hAnsi="Garamond"/>
        </w:rPr>
      </w:pPr>
      <w:r>
        <w:rPr>
          <w:rFonts w:ascii="Garamond" w:hAnsi="Garamond"/>
        </w:rPr>
        <w:t>By contrast, s</w:t>
      </w:r>
      <w:r w:rsidR="00484F5A">
        <w:rPr>
          <w:rFonts w:ascii="Garamond" w:hAnsi="Garamond"/>
        </w:rPr>
        <w:t xml:space="preserve">ection 204 </w:t>
      </w:r>
      <w:r w:rsidR="004A147A">
        <w:rPr>
          <w:rFonts w:ascii="Garamond" w:hAnsi="Garamond"/>
        </w:rPr>
        <w:t xml:space="preserve">was designed to achieve fairness between stakeholders in solvent </w:t>
      </w:r>
      <w:proofErr w:type="gramStart"/>
      <w:r w:rsidR="004A147A">
        <w:rPr>
          <w:rFonts w:ascii="Garamond" w:hAnsi="Garamond"/>
        </w:rPr>
        <w:t>companies, and</w:t>
      </w:r>
      <w:proofErr w:type="gramEnd"/>
      <w:r w:rsidR="004A147A">
        <w:rPr>
          <w:rFonts w:ascii="Garamond" w:hAnsi="Garamond"/>
        </w:rPr>
        <w:t xml:space="preserve"> </w:t>
      </w:r>
      <w:r w:rsidR="00484F5A">
        <w:rPr>
          <w:rFonts w:ascii="Garamond" w:hAnsi="Garamond"/>
        </w:rPr>
        <w:t xml:space="preserve">should </w:t>
      </w:r>
      <w:r w:rsidR="004A147A">
        <w:rPr>
          <w:rFonts w:ascii="Garamond" w:hAnsi="Garamond"/>
        </w:rPr>
        <w:t xml:space="preserve">not </w:t>
      </w:r>
      <w:r w:rsidR="00484F5A">
        <w:rPr>
          <w:rFonts w:ascii="Garamond" w:hAnsi="Garamond"/>
        </w:rPr>
        <w:t xml:space="preserve">be used in the context of an insolvency. Section 204 </w:t>
      </w:r>
      <w:r w:rsidR="00A7219F">
        <w:rPr>
          <w:rFonts w:ascii="Garamond" w:hAnsi="Garamond"/>
        </w:rPr>
        <w:t xml:space="preserve">relies on broad discretionary and equitable principles </w:t>
      </w:r>
      <w:r w:rsidR="004A147A">
        <w:rPr>
          <w:rFonts w:ascii="Garamond" w:hAnsi="Garamond"/>
        </w:rPr>
        <w:t xml:space="preserve">to adjust the rights of stakeholders in a manner which is </w:t>
      </w:r>
      <w:r w:rsidR="00484F5A">
        <w:rPr>
          <w:rFonts w:ascii="Garamond" w:hAnsi="Garamond"/>
        </w:rPr>
        <w:t xml:space="preserve">incompatible with the insolvency scheme. The two frameworks of unfair prejudice and insolvency are like chalk and cheese </w:t>
      </w:r>
      <w:r w:rsidR="00484F5A">
        <w:rPr>
          <w:rFonts w:ascii="Garamond" w:hAnsi="Garamond"/>
          <w:b/>
          <w:bCs/>
        </w:rPr>
        <w:t>[56]</w:t>
      </w:r>
      <w:r w:rsidR="00484F5A">
        <w:rPr>
          <w:rFonts w:ascii="Garamond" w:hAnsi="Garamond"/>
        </w:rPr>
        <w:t>-</w:t>
      </w:r>
      <w:r w:rsidR="00484F5A">
        <w:rPr>
          <w:rFonts w:ascii="Garamond" w:hAnsi="Garamond"/>
          <w:b/>
          <w:bCs/>
        </w:rPr>
        <w:t>[57]</w:t>
      </w:r>
      <w:r w:rsidR="00484F5A">
        <w:rPr>
          <w:rFonts w:ascii="Garamond" w:hAnsi="Garamond"/>
        </w:rPr>
        <w:t>.</w:t>
      </w:r>
    </w:p>
    <w:p w:rsidR="00A7219F" w:rsidRDefault="00A7219F" w:rsidP="00DB7C3C">
      <w:pPr>
        <w:jc w:val="both"/>
        <w:rPr>
          <w:rFonts w:ascii="Garamond" w:hAnsi="Garamond"/>
        </w:rPr>
      </w:pPr>
    </w:p>
    <w:p w:rsidR="00631E67" w:rsidRDefault="00A7219F" w:rsidP="00DB7C3C">
      <w:pPr>
        <w:jc w:val="both"/>
        <w:rPr>
          <w:rFonts w:ascii="Garamond" w:hAnsi="Garamond"/>
        </w:rPr>
      </w:pPr>
      <w:r>
        <w:rPr>
          <w:rFonts w:ascii="Garamond" w:hAnsi="Garamond"/>
        </w:rPr>
        <w:t>Even if section 204 had been available in principle, it would plainly be inappropriate in the present case</w:t>
      </w:r>
      <w:r w:rsidR="004A147A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The liquidators’ plan amounts to a </w:t>
      </w:r>
      <w:r w:rsidRPr="00A7219F">
        <w:rPr>
          <w:rFonts w:ascii="Garamond" w:hAnsi="Garamond"/>
        </w:rPr>
        <w:t xml:space="preserve">bespoke regime for the liquidation of SIB, contrary to </w:t>
      </w:r>
      <w:r>
        <w:rPr>
          <w:rFonts w:ascii="Garamond" w:hAnsi="Garamond"/>
        </w:rPr>
        <w:t>w</w:t>
      </w:r>
      <w:r w:rsidRPr="00A7219F">
        <w:rPr>
          <w:rFonts w:ascii="Garamond" w:hAnsi="Garamond"/>
        </w:rPr>
        <w:t>hat the law otherwise provides</w:t>
      </w:r>
      <w:r w:rsidR="00F616BD">
        <w:rPr>
          <w:rFonts w:ascii="Garamond" w:hAnsi="Garamond"/>
        </w:rPr>
        <w:t>. It</w:t>
      </w:r>
      <w:r>
        <w:rPr>
          <w:rFonts w:ascii="Garamond" w:hAnsi="Garamond"/>
        </w:rPr>
        <w:t xml:space="preserve"> represents an unprincipled invasion by equity into the business and banking sphere against which the court should set its face </w:t>
      </w:r>
      <w:r>
        <w:rPr>
          <w:rFonts w:ascii="Garamond" w:hAnsi="Garamond"/>
          <w:b/>
          <w:bCs/>
        </w:rPr>
        <w:t>[61]</w:t>
      </w:r>
      <w:r>
        <w:rPr>
          <w:rFonts w:ascii="Garamond" w:hAnsi="Garamond"/>
        </w:rPr>
        <w:t>.</w:t>
      </w:r>
      <w:r w:rsidR="000A4C22" w:rsidRPr="000A4C22">
        <w:t xml:space="preserve"> </w:t>
      </w:r>
      <w:r w:rsidR="000A4C22">
        <w:t>I</w:t>
      </w:r>
      <w:r w:rsidR="000A4C22" w:rsidRPr="000A4C22">
        <w:rPr>
          <w:rFonts w:ascii="Garamond" w:hAnsi="Garamond"/>
        </w:rPr>
        <w:t xml:space="preserve">t would deprive creditors of their entitlements under the general insolvency scheme and would lead to unfairness between the partly-paid and fully-paid investors </w:t>
      </w:r>
      <w:r w:rsidR="000A4C22" w:rsidRPr="00D06552">
        <w:rPr>
          <w:rFonts w:ascii="Garamond" w:hAnsi="Garamond"/>
          <w:b/>
          <w:bCs/>
        </w:rPr>
        <w:t>[74]</w:t>
      </w:r>
      <w:r w:rsidR="000A4C22" w:rsidRPr="000A4C22">
        <w:rPr>
          <w:rFonts w:ascii="Garamond" w:hAnsi="Garamond"/>
        </w:rPr>
        <w:t>.</w:t>
      </w:r>
      <w:r w:rsidR="000A4C22">
        <w:rPr>
          <w:rFonts w:ascii="Garamond" w:hAnsi="Garamond"/>
        </w:rPr>
        <w:t xml:space="preserve"> Moreover, r</w:t>
      </w:r>
      <w:r w:rsidR="00F616BD">
        <w:rPr>
          <w:rFonts w:ascii="Garamond" w:hAnsi="Garamond"/>
        </w:rPr>
        <w:t xml:space="preserve">elief from oppressive or unfairly prejudicial conduct is equitable in </w:t>
      </w:r>
      <w:proofErr w:type="gramStart"/>
      <w:r w:rsidR="00F616BD">
        <w:rPr>
          <w:rFonts w:ascii="Garamond" w:hAnsi="Garamond"/>
        </w:rPr>
        <w:t xml:space="preserve">origin, </w:t>
      </w:r>
      <w:r w:rsidR="000A4C22">
        <w:rPr>
          <w:rFonts w:ascii="Garamond" w:hAnsi="Garamond"/>
        </w:rPr>
        <w:t>and</w:t>
      </w:r>
      <w:proofErr w:type="gramEnd"/>
      <w:r w:rsidR="000A4C22">
        <w:rPr>
          <w:rFonts w:ascii="Garamond" w:hAnsi="Garamond"/>
        </w:rPr>
        <w:t xml:space="preserve"> </w:t>
      </w:r>
      <w:r w:rsidR="00F616BD">
        <w:rPr>
          <w:rFonts w:ascii="Garamond" w:hAnsi="Garamond"/>
        </w:rPr>
        <w:t xml:space="preserve">does not invade the rights of purchasers </w:t>
      </w:r>
      <w:r w:rsidR="000A4C22">
        <w:rPr>
          <w:rFonts w:ascii="Garamond" w:hAnsi="Garamond"/>
        </w:rPr>
        <w:t xml:space="preserve">in good faith </w:t>
      </w:r>
      <w:r w:rsidR="00F616BD">
        <w:rPr>
          <w:rFonts w:ascii="Garamond" w:hAnsi="Garamond"/>
        </w:rPr>
        <w:t>for value and without notice</w:t>
      </w:r>
      <w:r w:rsidR="000A4C22">
        <w:rPr>
          <w:rFonts w:ascii="Garamond" w:hAnsi="Garamond"/>
        </w:rPr>
        <w:t xml:space="preserve"> (known as </w:t>
      </w:r>
      <w:r w:rsidR="00F616BD">
        <w:rPr>
          <w:rFonts w:ascii="Garamond" w:hAnsi="Garamond"/>
        </w:rPr>
        <w:t>equity’s darlings.</w:t>
      </w:r>
      <w:r w:rsidR="000A4C22">
        <w:rPr>
          <w:rFonts w:ascii="Garamond" w:hAnsi="Garamond"/>
        </w:rPr>
        <w:t xml:space="preserve">) Both the clawback </w:t>
      </w:r>
      <w:proofErr w:type="gramStart"/>
      <w:r w:rsidR="000A4C22">
        <w:rPr>
          <w:rFonts w:ascii="Garamond" w:hAnsi="Garamond"/>
        </w:rPr>
        <w:t>claims</w:t>
      </w:r>
      <w:proofErr w:type="gramEnd"/>
      <w:r w:rsidR="000A4C22">
        <w:rPr>
          <w:rFonts w:ascii="Garamond" w:hAnsi="Garamond"/>
        </w:rPr>
        <w:t xml:space="preserve"> and the adjustment claims would violate that principle. T</w:t>
      </w:r>
      <w:r>
        <w:rPr>
          <w:rFonts w:ascii="Garamond" w:hAnsi="Garamond"/>
        </w:rPr>
        <w:t xml:space="preserve">he investors who </w:t>
      </w:r>
      <w:r w:rsidR="00D863AE">
        <w:rPr>
          <w:rFonts w:ascii="Garamond" w:hAnsi="Garamond"/>
        </w:rPr>
        <w:t xml:space="preserve">received </w:t>
      </w:r>
      <w:proofErr w:type="spellStart"/>
      <w:r w:rsidR="00D863AE">
        <w:rPr>
          <w:rFonts w:ascii="Garamond" w:hAnsi="Garamond"/>
        </w:rPr>
        <w:t>payouts</w:t>
      </w:r>
      <w:proofErr w:type="spellEnd"/>
      <w:r w:rsidR="00D863AE">
        <w:rPr>
          <w:rFonts w:ascii="Garamond" w:hAnsi="Garamond"/>
        </w:rPr>
        <w:t xml:space="preserve"> </w:t>
      </w:r>
      <w:r>
        <w:rPr>
          <w:rFonts w:ascii="Garamond" w:hAnsi="Garamond"/>
        </w:rPr>
        <w:t>before February 2009 acted in good faith</w:t>
      </w:r>
      <w:r w:rsidR="004A147A">
        <w:rPr>
          <w:rFonts w:ascii="Garamond" w:hAnsi="Garamond"/>
        </w:rPr>
        <w:t xml:space="preserve">, </w:t>
      </w:r>
      <w:proofErr w:type="gramStart"/>
      <w:r w:rsidR="004A147A">
        <w:rPr>
          <w:rFonts w:ascii="Garamond" w:hAnsi="Garamond"/>
        </w:rPr>
        <w:t>on the basis of</w:t>
      </w:r>
      <w:proofErr w:type="gramEnd"/>
      <w:r w:rsidR="004A147A">
        <w:rPr>
          <w:rFonts w:ascii="Garamond" w:hAnsi="Garamond"/>
        </w:rPr>
        <w:t xml:space="preserve"> contractual entitlement</w:t>
      </w:r>
      <w:r w:rsidR="00D863AE">
        <w:rPr>
          <w:rFonts w:ascii="Garamond" w:hAnsi="Garamond"/>
        </w:rPr>
        <w:t xml:space="preserve"> </w:t>
      </w:r>
      <w:r>
        <w:rPr>
          <w:rFonts w:ascii="Garamond" w:hAnsi="Garamond"/>
        </w:rPr>
        <w:t>and without notice of the Ponzi scheme</w:t>
      </w:r>
      <w:r w:rsidR="00D863AE">
        <w:rPr>
          <w:rFonts w:ascii="Garamond" w:hAnsi="Garamond"/>
        </w:rPr>
        <w:t>, and it is accepted that their payments were not unlawful preferences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/>
          <w:bCs/>
        </w:rPr>
        <w:t>[69]</w:t>
      </w:r>
      <w:r>
        <w:rPr>
          <w:rFonts w:ascii="Garamond" w:hAnsi="Garamond"/>
        </w:rPr>
        <w:t>-</w:t>
      </w:r>
      <w:r>
        <w:rPr>
          <w:rFonts w:ascii="Garamond" w:hAnsi="Garamond"/>
          <w:b/>
          <w:bCs/>
        </w:rPr>
        <w:t>[71]</w:t>
      </w:r>
      <w:r>
        <w:rPr>
          <w:rFonts w:ascii="Garamond" w:hAnsi="Garamond"/>
        </w:rPr>
        <w:t>.</w:t>
      </w:r>
      <w:r w:rsidR="004A147A">
        <w:rPr>
          <w:rFonts w:ascii="Garamond" w:hAnsi="Garamond"/>
        </w:rPr>
        <w:t xml:space="preserve"> </w:t>
      </w:r>
      <w:r w:rsidR="000A4C22">
        <w:rPr>
          <w:rFonts w:ascii="Garamond" w:hAnsi="Garamond"/>
        </w:rPr>
        <w:t xml:space="preserve">Similarly, the </w:t>
      </w:r>
      <w:r w:rsidR="004A147A">
        <w:rPr>
          <w:rFonts w:ascii="Garamond" w:hAnsi="Garamond"/>
        </w:rPr>
        <w:t xml:space="preserve">proposed readjustment </w:t>
      </w:r>
      <w:r w:rsidR="004C3B5D">
        <w:rPr>
          <w:rFonts w:ascii="Garamond" w:hAnsi="Garamond"/>
        </w:rPr>
        <w:t>would require the partly-paid investors to give a form of credit for what they have already received in good faith, for value and without notice</w:t>
      </w:r>
      <w:r w:rsidR="000A4C22">
        <w:rPr>
          <w:rFonts w:ascii="Garamond" w:hAnsi="Garamond"/>
        </w:rPr>
        <w:t xml:space="preserve"> </w:t>
      </w:r>
      <w:r w:rsidR="000A4C22" w:rsidRPr="001900E9">
        <w:rPr>
          <w:rFonts w:ascii="Garamond" w:hAnsi="Garamond"/>
          <w:b/>
          <w:bCs/>
        </w:rPr>
        <w:t>[72]</w:t>
      </w:r>
      <w:r w:rsidR="000A4C22" w:rsidRPr="000A4C22">
        <w:rPr>
          <w:rFonts w:ascii="Garamond" w:hAnsi="Garamond"/>
        </w:rPr>
        <w:t>-</w:t>
      </w:r>
      <w:r w:rsidR="000A4C22">
        <w:rPr>
          <w:rFonts w:ascii="Garamond" w:hAnsi="Garamond"/>
          <w:b/>
          <w:bCs/>
        </w:rPr>
        <w:t>[73]</w:t>
      </w:r>
      <w:r w:rsidR="00445183">
        <w:rPr>
          <w:rFonts w:ascii="Garamond" w:hAnsi="Garamond"/>
        </w:rPr>
        <w:t>.</w:t>
      </w:r>
    </w:p>
    <w:p w:rsidR="004C3B5D" w:rsidRDefault="004C3B5D" w:rsidP="00DB7C3C">
      <w:pPr>
        <w:jc w:val="both"/>
        <w:rPr>
          <w:rFonts w:ascii="Garamond" w:hAnsi="Garamond"/>
        </w:rPr>
      </w:pPr>
    </w:p>
    <w:p w:rsidR="003310DA" w:rsidRPr="003310DA" w:rsidRDefault="004C3B5D" w:rsidP="00DB7C3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Lady Arden (with whom Lord Carnwath agrees) agrees that the appeal should </w:t>
      </w:r>
      <w:r w:rsidR="00051504">
        <w:rPr>
          <w:rFonts w:ascii="Garamond" w:hAnsi="Garamond"/>
        </w:rPr>
        <w:t xml:space="preserve">be dismissed. However, she disagrees with the majority in considering that section 204 is available in principle in a liquidation. Section 204 confers very wide powers to grant relief </w:t>
      </w:r>
      <w:r w:rsidR="00051504">
        <w:rPr>
          <w:rFonts w:ascii="Garamond" w:hAnsi="Garamond"/>
          <w:b/>
          <w:bCs/>
        </w:rPr>
        <w:t>[91]</w:t>
      </w:r>
      <w:r w:rsidR="003310DA">
        <w:rPr>
          <w:rFonts w:ascii="Garamond" w:hAnsi="Garamond"/>
        </w:rPr>
        <w:t xml:space="preserve"> and it </w:t>
      </w:r>
      <w:r w:rsidR="00051504">
        <w:rPr>
          <w:rFonts w:ascii="Garamond" w:hAnsi="Garamond"/>
        </w:rPr>
        <w:t xml:space="preserve">is available </w:t>
      </w:r>
      <w:r w:rsidR="003310DA">
        <w:rPr>
          <w:rFonts w:ascii="Garamond" w:hAnsi="Garamond"/>
        </w:rPr>
        <w:t xml:space="preserve">to enforce a cause of action which already exists under the general law </w:t>
      </w:r>
      <w:r w:rsidR="00051504">
        <w:rPr>
          <w:rFonts w:ascii="Garamond" w:hAnsi="Garamond"/>
          <w:b/>
          <w:bCs/>
        </w:rPr>
        <w:t>[91]</w:t>
      </w:r>
      <w:r w:rsidR="00051504">
        <w:rPr>
          <w:rFonts w:ascii="Garamond" w:hAnsi="Garamond"/>
        </w:rPr>
        <w:t xml:space="preserve">; </w:t>
      </w:r>
      <w:r w:rsidR="00051504" w:rsidRPr="00051504">
        <w:rPr>
          <w:rFonts w:ascii="Garamond" w:hAnsi="Garamond"/>
          <w:b/>
          <w:bCs/>
        </w:rPr>
        <w:t>[98]</w:t>
      </w:r>
      <w:r w:rsidR="00051504">
        <w:rPr>
          <w:rFonts w:ascii="Garamond" w:hAnsi="Garamond"/>
        </w:rPr>
        <w:t xml:space="preserve">. </w:t>
      </w:r>
      <w:r w:rsidR="003310DA">
        <w:rPr>
          <w:rFonts w:ascii="Garamond" w:hAnsi="Garamond"/>
        </w:rPr>
        <w:t xml:space="preserve">There is nothing in the wording of section 204 which requires the company to be solvent </w:t>
      </w:r>
      <w:r w:rsidR="003310DA">
        <w:rPr>
          <w:rFonts w:ascii="Garamond" w:hAnsi="Garamond"/>
          <w:b/>
          <w:bCs/>
        </w:rPr>
        <w:t>[100]</w:t>
      </w:r>
      <w:r w:rsidR="003310DA">
        <w:rPr>
          <w:rFonts w:ascii="Garamond" w:hAnsi="Garamond"/>
        </w:rPr>
        <w:t xml:space="preserve">. In the circumstances, </w:t>
      </w:r>
      <w:r w:rsidR="00051504">
        <w:rPr>
          <w:rFonts w:ascii="Garamond" w:hAnsi="Garamond"/>
        </w:rPr>
        <w:t>a liquidator should be able to obtain the court’s approval to act as a complainant under section 200(b)(iv)</w:t>
      </w:r>
      <w:r w:rsidR="003310DA">
        <w:rPr>
          <w:rFonts w:ascii="Garamond" w:hAnsi="Garamond"/>
        </w:rPr>
        <w:t>, for instance,</w:t>
      </w:r>
      <w:r w:rsidR="00051504">
        <w:rPr>
          <w:rFonts w:ascii="Garamond" w:hAnsi="Garamond"/>
        </w:rPr>
        <w:t xml:space="preserve"> in order to obtain a remedy for the benefit of </w:t>
      </w:r>
      <w:r w:rsidR="003310DA">
        <w:rPr>
          <w:rFonts w:ascii="Garamond" w:hAnsi="Garamond"/>
        </w:rPr>
        <w:t xml:space="preserve">unfairly prejudiced </w:t>
      </w:r>
      <w:r w:rsidR="00051504">
        <w:rPr>
          <w:rFonts w:ascii="Garamond" w:hAnsi="Garamond"/>
        </w:rPr>
        <w:t xml:space="preserve">unsecured creditors </w:t>
      </w:r>
      <w:r w:rsidR="00051504">
        <w:rPr>
          <w:rFonts w:ascii="Garamond" w:hAnsi="Garamond"/>
          <w:b/>
          <w:bCs/>
        </w:rPr>
        <w:t>[99]</w:t>
      </w:r>
      <w:r w:rsidR="003310DA">
        <w:rPr>
          <w:rFonts w:ascii="Garamond" w:hAnsi="Garamond"/>
        </w:rPr>
        <w:t xml:space="preserve">; </w:t>
      </w:r>
      <w:r w:rsidR="003310DA">
        <w:rPr>
          <w:rFonts w:ascii="Garamond" w:hAnsi="Garamond"/>
          <w:b/>
          <w:bCs/>
        </w:rPr>
        <w:t>[102]</w:t>
      </w:r>
      <w:r w:rsidR="00051504">
        <w:rPr>
          <w:rFonts w:ascii="Garamond" w:hAnsi="Garamond"/>
        </w:rPr>
        <w:t>.</w:t>
      </w:r>
      <w:r w:rsidR="003310DA">
        <w:rPr>
          <w:rFonts w:ascii="Garamond" w:hAnsi="Garamond"/>
        </w:rPr>
        <w:t xml:space="preserve"> However, Lady Arden agrees with the majority that section 204 cannot be used as the springboard for clawback claims in favour of the losers in a Ponzi scheme where there is no existing cause of action for disgorgement (e.g. a wrongful preference claim). That would be incompatible with the mandatory statutory scheme for the distribution of assets in a company’s liquidation </w:t>
      </w:r>
      <w:r w:rsidR="003310DA">
        <w:rPr>
          <w:rFonts w:ascii="Garamond" w:hAnsi="Garamond"/>
          <w:b/>
          <w:bCs/>
        </w:rPr>
        <w:t>[108]</w:t>
      </w:r>
      <w:r w:rsidR="003310DA">
        <w:rPr>
          <w:rFonts w:ascii="Garamond" w:hAnsi="Garamond"/>
        </w:rPr>
        <w:t>-</w:t>
      </w:r>
      <w:r w:rsidR="003310DA">
        <w:rPr>
          <w:rFonts w:ascii="Garamond" w:hAnsi="Garamond"/>
          <w:b/>
          <w:bCs/>
        </w:rPr>
        <w:t>[109</w:t>
      </w:r>
      <w:r w:rsidR="003310DA" w:rsidRPr="003310DA">
        <w:rPr>
          <w:rFonts w:ascii="Garamond" w:hAnsi="Garamond"/>
          <w:b/>
          <w:bCs/>
        </w:rPr>
        <w:t>]</w:t>
      </w:r>
      <w:r w:rsidR="003310DA">
        <w:rPr>
          <w:rFonts w:ascii="Garamond" w:hAnsi="Garamond"/>
        </w:rPr>
        <w:t>.</w:t>
      </w:r>
    </w:p>
    <w:p w:rsidR="003310DA" w:rsidRDefault="003310DA" w:rsidP="00DB7C3C">
      <w:pPr>
        <w:jc w:val="both"/>
        <w:rPr>
          <w:rFonts w:ascii="Garamond" w:hAnsi="Garamond"/>
        </w:rPr>
      </w:pPr>
    </w:p>
    <w:p w:rsidR="00F5147E" w:rsidRPr="007E2A31" w:rsidRDefault="00566BC2" w:rsidP="00612A1B">
      <w:pPr>
        <w:jc w:val="both"/>
        <w:rPr>
          <w:rFonts w:ascii="Garamond" w:hAnsi="Garamond"/>
          <w:i/>
        </w:rPr>
      </w:pPr>
      <w:r w:rsidRPr="007E2A31">
        <w:rPr>
          <w:rFonts w:ascii="Garamond" w:hAnsi="Garamond"/>
          <w:i/>
        </w:rPr>
        <w:t>References in square brackets are to paragraphs in the judgment</w:t>
      </w:r>
      <w:r w:rsidR="005E4C42" w:rsidRPr="007E2A31">
        <w:rPr>
          <w:rFonts w:ascii="Garamond" w:hAnsi="Garamond"/>
          <w:i/>
        </w:rPr>
        <w:t>.</w:t>
      </w:r>
    </w:p>
    <w:p w:rsidR="003D307E" w:rsidRPr="007E2A31" w:rsidRDefault="003D307E" w:rsidP="00612A1B">
      <w:pPr>
        <w:jc w:val="both"/>
        <w:rPr>
          <w:rFonts w:ascii="Garamond" w:hAnsi="Garamond"/>
          <w:b/>
          <w:u w:val="single"/>
        </w:rPr>
      </w:pPr>
    </w:p>
    <w:p w:rsidR="00A16C02" w:rsidRPr="007E2A31" w:rsidRDefault="00A16C02" w:rsidP="00612A1B">
      <w:pPr>
        <w:jc w:val="both"/>
        <w:rPr>
          <w:rFonts w:ascii="Garamond" w:hAnsi="Garamond"/>
          <w:b/>
          <w:u w:val="single"/>
        </w:rPr>
      </w:pPr>
      <w:r w:rsidRPr="007E2A31">
        <w:rPr>
          <w:rFonts w:ascii="Garamond" w:hAnsi="Garamond"/>
          <w:b/>
          <w:u w:val="single"/>
        </w:rPr>
        <w:t>NOTE</w:t>
      </w:r>
    </w:p>
    <w:p w:rsidR="004A147A" w:rsidRDefault="00A16C02" w:rsidP="00E15FB1">
      <w:pPr>
        <w:jc w:val="both"/>
      </w:pPr>
      <w:r w:rsidRPr="007E2A31">
        <w:rPr>
          <w:rFonts w:ascii="Garamond" w:hAnsi="Garamond"/>
          <w:b/>
        </w:rPr>
        <w:t xml:space="preserve">This summary is provided to assist in understanding the </w:t>
      </w:r>
      <w:r w:rsidR="00E15FB1">
        <w:rPr>
          <w:rFonts w:ascii="Garamond" w:hAnsi="Garamond"/>
          <w:b/>
        </w:rPr>
        <w:t>Committee’s</w:t>
      </w:r>
      <w:r w:rsidRPr="007E2A31">
        <w:rPr>
          <w:rFonts w:ascii="Garamond" w:hAnsi="Garamond"/>
          <w:b/>
        </w:rPr>
        <w:t xml:space="preserve"> decision. It does not form part of the reasons for the decision. The full judgment of the </w:t>
      </w:r>
      <w:r w:rsidR="00E15FB1">
        <w:rPr>
          <w:rFonts w:ascii="Garamond" w:hAnsi="Garamond"/>
          <w:b/>
        </w:rPr>
        <w:t xml:space="preserve">Committee </w:t>
      </w:r>
      <w:r w:rsidRPr="007E2A31">
        <w:rPr>
          <w:rFonts w:ascii="Garamond" w:hAnsi="Garamond"/>
          <w:b/>
        </w:rPr>
        <w:t>is the only</w:t>
      </w:r>
      <w:r w:rsidR="004B0054" w:rsidRPr="007E2A31">
        <w:rPr>
          <w:rFonts w:ascii="Garamond" w:hAnsi="Garamond"/>
          <w:b/>
        </w:rPr>
        <w:t xml:space="preserve"> authoritative document. </w:t>
      </w:r>
      <w:r w:rsidR="00E15FB1" w:rsidRPr="004429D2">
        <w:rPr>
          <w:rFonts w:ascii="Garamond" w:hAnsi="Garamond"/>
          <w:b/>
        </w:rPr>
        <w:t xml:space="preserve">Judgments are public documents and are available at: </w:t>
      </w:r>
      <w:hyperlink r:id="rId12" w:history="1">
        <w:r w:rsidR="00E15FB1" w:rsidRPr="00B76592">
          <w:rPr>
            <w:rStyle w:val="Hyperlink"/>
            <w:rFonts w:ascii="Garamond" w:hAnsi="Garamond"/>
          </w:rPr>
          <w:t>www.jcpc.uk/decided-cases/index.html</w:t>
        </w:r>
      </w:hyperlink>
    </w:p>
    <w:p w:rsidR="004A147A" w:rsidRPr="00A7219F" w:rsidRDefault="004A147A" w:rsidP="003310DA">
      <w:pPr>
        <w:jc w:val="both"/>
        <w:rPr>
          <w:rFonts w:ascii="Garamond" w:hAnsi="Garamond"/>
          <w:strike/>
        </w:rPr>
      </w:pPr>
    </w:p>
    <w:p w:rsidR="004A4957" w:rsidRPr="007E2A31" w:rsidRDefault="004A4957" w:rsidP="00E15FB1">
      <w:pPr>
        <w:jc w:val="both"/>
        <w:rPr>
          <w:rFonts w:ascii="Garamond" w:hAnsi="Garamond"/>
        </w:rPr>
      </w:pPr>
    </w:p>
    <w:sectPr w:rsidR="004A4957" w:rsidRPr="007E2A31" w:rsidSect="00437284">
      <w:footerReference w:type="default" r:id="rId13"/>
      <w:pgSz w:w="11906" w:h="16838" w:code="9"/>
      <w:pgMar w:top="567" w:right="964" w:bottom="964" w:left="232" w:header="0" w:footer="0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583" w:rsidRDefault="00547583">
      <w:r>
        <w:separator/>
      </w:r>
    </w:p>
  </w:endnote>
  <w:endnote w:type="continuationSeparator" w:id="0">
    <w:p w:rsidR="00547583" w:rsidRDefault="0054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haker 2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FB1" w:rsidRDefault="00E15FB1" w:rsidP="00E15FB1">
    <w:pPr>
      <w:pStyle w:val="Footer"/>
      <w:jc w:val="center"/>
      <w:rPr>
        <w:rFonts w:ascii="Shaker 2 Regular" w:hAnsi="Shaker 2 Regular"/>
        <w:b/>
        <w:sz w:val="20"/>
      </w:rPr>
    </w:pPr>
    <w:r>
      <w:rPr>
        <w:rFonts w:ascii="Shaker 2 Regular" w:hAnsi="Shaker 2 Regular"/>
        <w:b/>
        <w:sz w:val="20"/>
      </w:rPr>
      <w:br/>
    </w:r>
    <w:r w:rsidRPr="00D71FAF">
      <w:rPr>
        <w:rFonts w:ascii="Shaker 2 Regular" w:hAnsi="Shaker 2 Regular"/>
        <w:b/>
        <w:sz w:val="20"/>
      </w:rPr>
      <w:t xml:space="preserve"> </w:t>
    </w:r>
    <w:r w:rsidRPr="00821EB9">
      <w:rPr>
        <w:rFonts w:ascii="Shaker 2 Regular" w:hAnsi="Shaker 2 Regular"/>
        <w:b/>
        <w:sz w:val="20"/>
      </w:rPr>
      <w:t xml:space="preserve">The </w:t>
    </w:r>
    <w:r>
      <w:rPr>
        <w:rFonts w:ascii="Shaker 2 Regular" w:hAnsi="Shaker 2 Regular"/>
        <w:b/>
        <w:sz w:val="20"/>
      </w:rPr>
      <w:t>Judicial Committee of the Privy Council</w:t>
    </w:r>
  </w:p>
  <w:p w:rsidR="00E15FB1" w:rsidRPr="00821EB9" w:rsidRDefault="00E15FB1" w:rsidP="00E15FB1">
    <w:pPr>
      <w:pStyle w:val="Footer"/>
      <w:jc w:val="center"/>
      <w:rPr>
        <w:rFonts w:ascii="Shaker 2 Regular" w:hAnsi="Shaker 2 Regular"/>
        <w:sz w:val="20"/>
      </w:rPr>
    </w:pPr>
    <w:r w:rsidRPr="00821EB9">
      <w:rPr>
        <w:rFonts w:ascii="Shaker 2 Regular" w:hAnsi="Shaker 2 Regular"/>
        <w:b/>
        <w:sz w:val="20"/>
      </w:rPr>
      <w:t xml:space="preserve"> </w:t>
    </w:r>
    <w:r w:rsidRPr="00821EB9">
      <w:rPr>
        <w:rFonts w:ascii="Shaker 2 Regular" w:hAnsi="Shaker 2 Regular"/>
        <w:sz w:val="20"/>
      </w:rPr>
      <w:t xml:space="preserve">Parliament Square London SW1P 3BD </w:t>
    </w:r>
    <w:r w:rsidRPr="00821EB9">
      <w:rPr>
        <w:rFonts w:ascii="Shaker 2 Regular" w:hAnsi="Shaker 2 Regular"/>
        <w:b/>
        <w:sz w:val="20"/>
      </w:rPr>
      <w:t xml:space="preserve">T: </w:t>
    </w:r>
    <w:r>
      <w:rPr>
        <w:rFonts w:ascii="Shaker 2 Regular" w:hAnsi="Shaker 2 Regular"/>
        <w:sz w:val="20"/>
      </w:rPr>
      <w:t>020 7960 1886/1887</w:t>
    </w:r>
    <w:r w:rsidRPr="00821EB9">
      <w:rPr>
        <w:rFonts w:ascii="Shaker 2 Regular" w:hAnsi="Shaker 2 Regular"/>
        <w:sz w:val="20"/>
      </w:rPr>
      <w:t xml:space="preserve"> </w:t>
    </w:r>
    <w:r w:rsidRPr="00821EB9">
      <w:rPr>
        <w:rFonts w:ascii="Shaker 2 Regular" w:hAnsi="Shaker 2 Regular"/>
        <w:b/>
        <w:sz w:val="20"/>
      </w:rPr>
      <w:t xml:space="preserve">F: </w:t>
    </w:r>
    <w:r w:rsidRPr="00821EB9">
      <w:rPr>
        <w:rFonts w:ascii="Shaker 2 Regular" w:hAnsi="Shaker 2 Regular"/>
        <w:sz w:val="20"/>
      </w:rPr>
      <w:t xml:space="preserve">020 7960 1901 </w:t>
    </w:r>
    <w:r>
      <w:rPr>
        <w:rFonts w:ascii="Shaker 2 Regular" w:hAnsi="Shaker 2 Regular"/>
        <w:b/>
        <w:sz w:val="20"/>
      </w:rPr>
      <w:t>www.jcpc</w:t>
    </w:r>
    <w:r w:rsidRPr="00821EB9">
      <w:rPr>
        <w:rFonts w:ascii="Shaker 2 Regular" w:hAnsi="Shaker 2 Regular"/>
        <w:b/>
        <w:sz w:val="20"/>
      </w:rPr>
      <w:t>.uk</w:t>
    </w:r>
  </w:p>
  <w:p w:rsidR="00762D19" w:rsidRPr="00E15FB1" w:rsidRDefault="00762D19" w:rsidP="00E1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583" w:rsidRDefault="00547583">
      <w:r>
        <w:separator/>
      </w:r>
    </w:p>
  </w:footnote>
  <w:footnote w:type="continuationSeparator" w:id="0">
    <w:p w:rsidR="00547583" w:rsidRDefault="0054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24F"/>
    <w:multiLevelType w:val="hybridMultilevel"/>
    <w:tmpl w:val="504ABB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7263"/>
    <w:multiLevelType w:val="hybridMultilevel"/>
    <w:tmpl w:val="3F5641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07AF"/>
    <w:multiLevelType w:val="hybridMultilevel"/>
    <w:tmpl w:val="6868C8FA"/>
    <w:lvl w:ilvl="0" w:tplc="2D90449C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976679"/>
    <w:multiLevelType w:val="hybridMultilevel"/>
    <w:tmpl w:val="D4681EA8"/>
    <w:lvl w:ilvl="0" w:tplc="036A3C8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AF175D"/>
    <w:multiLevelType w:val="hybridMultilevel"/>
    <w:tmpl w:val="25CA2212"/>
    <w:lvl w:ilvl="0" w:tplc="036A3C8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AF50E6"/>
    <w:multiLevelType w:val="hybridMultilevel"/>
    <w:tmpl w:val="D4901B84"/>
    <w:lvl w:ilvl="0" w:tplc="981C0EEC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E67077"/>
    <w:multiLevelType w:val="hybridMultilevel"/>
    <w:tmpl w:val="7D12B226"/>
    <w:lvl w:ilvl="0" w:tplc="036A3C8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BE613E"/>
    <w:multiLevelType w:val="hybridMultilevel"/>
    <w:tmpl w:val="7A2A34D2"/>
    <w:lvl w:ilvl="0" w:tplc="3962ACB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047AD7"/>
    <w:multiLevelType w:val="hybridMultilevel"/>
    <w:tmpl w:val="BB7C29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B1BE8"/>
    <w:multiLevelType w:val="hybridMultilevel"/>
    <w:tmpl w:val="8CEA5E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23D7C50"/>
    <w:multiLevelType w:val="hybridMultilevel"/>
    <w:tmpl w:val="9B8846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702D4"/>
    <w:multiLevelType w:val="hybridMultilevel"/>
    <w:tmpl w:val="2C8AF2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01907"/>
    <w:multiLevelType w:val="hybridMultilevel"/>
    <w:tmpl w:val="23F24A5A"/>
    <w:lvl w:ilvl="0" w:tplc="A0CAFDE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9236DCE"/>
    <w:multiLevelType w:val="hybridMultilevel"/>
    <w:tmpl w:val="D3C605CE"/>
    <w:lvl w:ilvl="0" w:tplc="6444DFA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A246ACF"/>
    <w:multiLevelType w:val="hybridMultilevel"/>
    <w:tmpl w:val="9ACE78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C377E"/>
    <w:multiLevelType w:val="hybridMultilevel"/>
    <w:tmpl w:val="BE3E0014"/>
    <w:lvl w:ilvl="0" w:tplc="A1BC38E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E34C85"/>
    <w:multiLevelType w:val="hybridMultilevel"/>
    <w:tmpl w:val="C240A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50657"/>
    <w:multiLevelType w:val="hybridMultilevel"/>
    <w:tmpl w:val="B4049E30"/>
    <w:lvl w:ilvl="0" w:tplc="9B5ECF0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B07351"/>
    <w:multiLevelType w:val="hybridMultilevel"/>
    <w:tmpl w:val="41ACCCC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D70B9F"/>
    <w:multiLevelType w:val="multilevel"/>
    <w:tmpl w:val="F406364A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abstractNum w:abstractNumId="20" w15:restartNumberingAfterBreak="0">
    <w:nsid w:val="79911539"/>
    <w:multiLevelType w:val="hybridMultilevel"/>
    <w:tmpl w:val="CEDEA2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91685"/>
    <w:multiLevelType w:val="hybridMultilevel"/>
    <w:tmpl w:val="EA4C2CD2"/>
    <w:lvl w:ilvl="0" w:tplc="9B5ECF0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ED87CC5"/>
    <w:multiLevelType w:val="hybridMultilevel"/>
    <w:tmpl w:val="D4681EA8"/>
    <w:lvl w:ilvl="0" w:tplc="036A3C8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0"/>
  </w:num>
  <w:num w:numId="7">
    <w:abstractNumId w:val="1"/>
  </w:num>
  <w:num w:numId="8">
    <w:abstractNumId w:val="16"/>
  </w:num>
  <w:num w:numId="9">
    <w:abstractNumId w:val="17"/>
  </w:num>
  <w:num w:numId="10">
    <w:abstractNumId w:val="21"/>
  </w:num>
  <w:num w:numId="11">
    <w:abstractNumId w:val="12"/>
  </w:num>
  <w:num w:numId="12">
    <w:abstractNumId w:val="13"/>
  </w:num>
  <w:num w:numId="13">
    <w:abstractNumId w:val="19"/>
  </w:num>
  <w:num w:numId="14">
    <w:abstractNumId w:val="2"/>
  </w:num>
  <w:num w:numId="15">
    <w:abstractNumId w:val="7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"/>
  </w:num>
  <w:num w:numId="19">
    <w:abstractNumId w:val="15"/>
  </w:num>
  <w:num w:numId="20">
    <w:abstractNumId w:val="22"/>
  </w:num>
  <w:num w:numId="21">
    <w:abstractNumId w:val="3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C2"/>
    <w:rsid w:val="000005FE"/>
    <w:rsid w:val="00002DA1"/>
    <w:rsid w:val="000100BA"/>
    <w:rsid w:val="0002095E"/>
    <w:rsid w:val="0002165A"/>
    <w:rsid w:val="0002411F"/>
    <w:rsid w:val="00027162"/>
    <w:rsid w:val="00042F49"/>
    <w:rsid w:val="00051504"/>
    <w:rsid w:val="00052586"/>
    <w:rsid w:val="000569A7"/>
    <w:rsid w:val="000575DB"/>
    <w:rsid w:val="00061374"/>
    <w:rsid w:val="00064056"/>
    <w:rsid w:val="00070A51"/>
    <w:rsid w:val="0007149B"/>
    <w:rsid w:val="000762E2"/>
    <w:rsid w:val="00082A97"/>
    <w:rsid w:val="00086F57"/>
    <w:rsid w:val="00087581"/>
    <w:rsid w:val="000944B2"/>
    <w:rsid w:val="000948B2"/>
    <w:rsid w:val="00095947"/>
    <w:rsid w:val="000A4C22"/>
    <w:rsid w:val="000B3E81"/>
    <w:rsid w:val="000B7320"/>
    <w:rsid w:val="000B7A7F"/>
    <w:rsid w:val="000C005C"/>
    <w:rsid w:val="000D20A0"/>
    <w:rsid w:val="000D25B9"/>
    <w:rsid w:val="000D6187"/>
    <w:rsid w:val="000F4B66"/>
    <w:rsid w:val="00105EAC"/>
    <w:rsid w:val="00112F5A"/>
    <w:rsid w:val="001149D6"/>
    <w:rsid w:val="00123841"/>
    <w:rsid w:val="00125CC7"/>
    <w:rsid w:val="00134213"/>
    <w:rsid w:val="001418CE"/>
    <w:rsid w:val="00146ACA"/>
    <w:rsid w:val="0014791B"/>
    <w:rsid w:val="00150B40"/>
    <w:rsid w:val="0015103F"/>
    <w:rsid w:val="00153192"/>
    <w:rsid w:val="001544D4"/>
    <w:rsid w:val="001561B2"/>
    <w:rsid w:val="00172165"/>
    <w:rsid w:val="001900E9"/>
    <w:rsid w:val="001974C0"/>
    <w:rsid w:val="001A5131"/>
    <w:rsid w:val="001A547D"/>
    <w:rsid w:val="001C06D4"/>
    <w:rsid w:val="001C3374"/>
    <w:rsid w:val="001C789C"/>
    <w:rsid w:val="001C78CB"/>
    <w:rsid w:val="001D329D"/>
    <w:rsid w:val="001E497F"/>
    <w:rsid w:val="001E6E7F"/>
    <w:rsid w:val="001F0F69"/>
    <w:rsid w:val="001F1F48"/>
    <w:rsid w:val="001F4EF0"/>
    <w:rsid w:val="00210AAC"/>
    <w:rsid w:val="00220D9D"/>
    <w:rsid w:val="00232321"/>
    <w:rsid w:val="0025011D"/>
    <w:rsid w:val="00253255"/>
    <w:rsid w:val="002621F8"/>
    <w:rsid w:val="002823DD"/>
    <w:rsid w:val="00282AF2"/>
    <w:rsid w:val="002A423A"/>
    <w:rsid w:val="002B0F59"/>
    <w:rsid w:val="002B3E29"/>
    <w:rsid w:val="002B43D3"/>
    <w:rsid w:val="002B631E"/>
    <w:rsid w:val="002B63AA"/>
    <w:rsid w:val="002B7368"/>
    <w:rsid w:val="002E30D8"/>
    <w:rsid w:val="002E340D"/>
    <w:rsid w:val="002F0EF0"/>
    <w:rsid w:val="002F2D20"/>
    <w:rsid w:val="002F3DA4"/>
    <w:rsid w:val="002F4A7A"/>
    <w:rsid w:val="002F582D"/>
    <w:rsid w:val="002F5B6C"/>
    <w:rsid w:val="002F69B9"/>
    <w:rsid w:val="00305E6A"/>
    <w:rsid w:val="0030747C"/>
    <w:rsid w:val="00307AC8"/>
    <w:rsid w:val="00312A65"/>
    <w:rsid w:val="003174A2"/>
    <w:rsid w:val="00325B85"/>
    <w:rsid w:val="003310DA"/>
    <w:rsid w:val="00353046"/>
    <w:rsid w:val="00355879"/>
    <w:rsid w:val="0037345C"/>
    <w:rsid w:val="00374F68"/>
    <w:rsid w:val="0037682E"/>
    <w:rsid w:val="003808B5"/>
    <w:rsid w:val="00381015"/>
    <w:rsid w:val="0038189A"/>
    <w:rsid w:val="00386C08"/>
    <w:rsid w:val="00391C7A"/>
    <w:rsid w:val="00394214"/>
    <w:rsid w:val="00396E8F"/>
    <w:rsid w:val="003B7C5F"/>
    <w:rsid w:val="003C5AD1"/>
    <w:rsid w:val="003D12CB"/>
    <w:rsid w:val="003D307E"/>
    <w:rsid w:val="003D7D7D"/>
    <w:rsid w:val="003E07E2"/>
    <w:rsid w:val="003E7AC8"/>
    <w:rsid w:val="00414D89"/>
    <w:rsid w:val="0043316C"/>
    <w:rsid w:val="00436B87"/>
    <w:rsid w:val="00437284"/>
    <w:rsid w:val="004429D2"/>
    <w:rsid w:val="0044315A"/>
    <w:rsid w:val="00443E3A"/>
    <w:rsid w:val="00445183"/>
    <w:rsid w:val="004470C3"/>
    <w:rsid w:val="00452740"/>
    <w:rsid w:val="0045690D"/>
    <w:rsid w:val="004654E0"/>
    <w:rsid w:val="00470163"/>
    <w:rsid w:val="00474DE9"/>
    <w:rsid w:val="0047770B"/>
    <w:rsid w:val="00477EC5"/>
    <w:rsid w:val="00483610"/>
    <w:rsid w:val="00484F5A"/>
    <w:rsid w:val="004908EC"/>
    <w:rsid w:val="00493DBA"/>
    <w:rsid w:val="00496941"/>
    <w:rsid w:val="004A138D"/>
    <w:rsid w:val="004A147A"/>
    <w:rsid w:val="004A325F"/>
    <w:rsid w:val="004A4957"/>
    <w:rsid w:val="004A7F86"/>
    <w:rsid w:val="004B0054"/>
    <w:rsid w:val="004B2279"/>
    <w:rsid w:val="004B2973"/>
    <w:rsid w:val="004B58B8"/>
    <w:rsid w:val="004C3B5D"/>
    <w:rsid w:val="004C3FBA"/>
    <w:rsid w:val="004C4975"/>
    <w:rsid w:val="004C6E65"/>
    <w:rsid w:val="004D25F6"/>
    <w:rsid w:val="004E10C7"/>
    <w:rsid w:val="004E485D"/>
    <w:rsid w:val="004F0C57"/>
    <w:rsid w:val="004F12B4"/>
    <w:rsid w:val="004F156B"/>
    <w:rsid w:val="004F1AD2"/>
    <w:rsid w:val="004F2030"/>
    <w:rsid w:val="004F433A"/>
    <w:rsid w:val="00500E0F"/>
    <w:rsid w:val="00511622"/>
    <w:rsid w:val="00535014"/>
    <w:rsid w:val="0054248A"/>
    <w:rsid w:val="0054452F"/>
    <w:rsid w:val="00547583"/>
    <w:rsid w:val="00552C4E"/>
    <w:rsid w:val="0055416F"/>
    <w:rsid w:val="00557536"/>
    <w:rsid w:val="00564356"/>
    <w:rsid w:val="00566BC2"/>
    <w:rsid w:val="00570219"/>
    <w:rsid w:val="0057172F"/>
    <w:rsid w:val="00572E9D"/>
    <w:rsid w:val="00582CFA"/>
    <w:rsid w:val="00583A80"/>
    <w:rsid w:val="005855F3"/>
    <w:rsid w:val="00587DCB"/>
    <w:rsid w:val="00591F3E"/>
    <w:rsid w:val="005938B0"/>
    <w:rsid w:val="005B0C19"/>
    <w:rsid w:val="005B7F46"/>
    <w:rsid w:val="005E0235"/>
    <w:rsid w:val="005E0E8E"/>
    <w:rsid w:val="005E3C59"/>
    <w:rsid w:val="005E4017"/>
    <w:rsid w:val="005E482B"/>
    <w:rsid w:val="005E4C42"/>
    <w:rsid w:val="005E5598"/>
    <w:rsid w:val="005E7F74"/>
    <w:rsid w:val="00605AB0"/>
    <w:rsid w:val="00612819"/>
    <w:rsid w:val="00612A1B"/>
    <w:rsid w:val="006145E2"/>
    <w:rsid w:val="006211D6"/>
    <w:rsid w:val="00631E67"/>
    <w:rsid w:val="00647FCA"/>
    <w:rsid w:val="00655BD8"/>
    <w:rsid w:val="006667A0"/>
    <w:rsid w:val="00673256"/>
    <w:rsid w:val="0067754D"/>
    <w:rsid w:val="00677EAB"/>
    <w:rsid w:val="00677EF9"/>
    <w:rsid w:val="0068413A"/>
    <w:rsid w:val="006859FE"/>
    <w:rsid w:val="00686FFE"/>
    <w:rsid w:val="00692050"/>
    <w:rsid w:val="006A4115"/>
    <w:rsid w:val="006B08D3"/>
    <w:rsid w:val="006B246F"/>
    <w:rsid w:val="006D130B"/>
    <w:rsid w:val="006D6D23"/>
    <w:rsid w:val="006D7316"/>
    <w:rsid w:val="007013A8"/>
    <w:rsid w:val="0070274C"/>
    <w:rsid w:val="007060CB"/>
    <w:rsid w:val="00715D16"/>
    <w:rsid w:val="00720FE9"/>
    <w:rsid w:val="00723903"/>
    <w:rsid w:val="00725B27"/>
    <w:rsid w:val="00727F65"/>
    <w:rsid w:val="007322A4"/>
    <w:rsid w:val="00737BB7"/>
    <w:rsid w:val="00744D18"/>
    <w:rsid w:val="0075710B"/>
    <w:rsid w:val="00762D19"/>
    <w:rsid w:val="00765368"/>
    <w:rsid w:val="00767DDC"/>
    <w:rsid w:val="00770415"/>
    <w:rsid w:val="00775EE3"/>
    <w:rsid w:val="00786D1C"/>
    <w:rsid w:val="007915E0"/>
    <w:rsid w:val="00796CA9"/>
    <w:rsid w:val="007B5513"/>
    <w:rsid w:val="007C2BEB"/>
    <w:rsid w:val="007D0194"/>
    <w:rsid w:val="007D5CD0"/>
    <w:rsid w:val="007E2A31"/>
    <w:rsid w:val="007F13CA"/>
    <w:rsid w:val="007F377F"/>
    <w:rsid w:val="00800002"/>
    <w:rsid w:val="008049B7"/>
    <w:rsid w:val="0080556E"/>
    <w:rsid w:val="00814757"/>
    <w:rsid w:val="00821EB9"/>
    <w:rsid w:val="00824623"/>
    <w:rsid w:val="008261DE"/>
    <w:rsid w:val="00850E54"/>
    <w:rsid w:val="00853E9D"/>
    <w:rsid w:val="008607AC"/>
    <w:rsid w:val="00864E04"/>
    <w:rsid w:val="00864FE0"/>
    <w:rsid w:val="00866AD4"/>
    <w:rsid w:val="008728A0"/>
    <w:rsid w:val="00875C16"/>
    <w:rsid w:val="008828F4"/>
    <w:rsid w:val="0088293B"/>
    <w:rsid w:val="00887036"/>
    <w:rsid w:val="008903F4"/>
    <w:rsid w:val="008A2025"/>
    <w:rsid w:val="008C18A1"/>
    <w:rsid w:val="008C21BC"/>
    <w:rsid w:val="008C484E"/>
    <w:rsid w:val="008C64C2"/>
    <w:rsid w:val="008D62B8"/>
    <w:rsid w:val="008E243C"/>
    <w:rsid w:val="008E7422"/>
    <w:rsid w:val="008F1E9D"/>
    <w:rsid w:val="008F398F"/>
    <w:rsid w:val="008F3B38"/>
    <w:rsid w:val="00903E5A"/>
    <w:rsid w:val="00904B67"/>
    <w:rsid w:val="009104DC"/>
    <w:rsid w:val="009115BA"/>
    <w:rsid w:val="0091496F"/>
    <w:rsid w:val="009218F3"/>
    <w:rsid w:val="009266CA"/>
    <w:rsid w:val="00927F21"/>
    <w:rsid w:val="0093121B"/>
    <w:rsid w:val="0093440C"/>
    <w:rsid w:val="009376E5"/>
    <w:rsid w:val="009378D3"/>
    <w:rsid w:val="00937F9E"/>
    <w:rsid w:val="0094157C"/>
    <w:rsid w:val="00941641"/>
    <w:rsid w:val="009478FC"/>
    <w:rsid w:val="009559F3"/>
    <w:rsid w:val="0096148A"/>
    <w:rsid w:val="009621B7"/>
    <w:rsid w:val="00963557"/>
    <w:rsid w:val="00967420"/>
    <w:rsid w:val="00967718"/>
    <w:rsid w:val="00967EE5"/>
    <w:rsid w:val="009753DF"/>
    <w:rsid w:val="00982BA5"/>
    <w:rsid w:val="00987143"/>
    <w:rsid w:val="0099105B"/>
    <w:rsid w:val="00991EAB"/>
    <w:rsid w:val="009B0FC3"/>
    <w:rsid w:val="009B2840"/>
    <w:rsid w:val="009D1782"/>
    <w:rsid w:val="009E0904"/>
    <w:rsid w:val="009E74BB"/>
    <w:rsid w:val="009F0C75"/>
    <w:rsid w:val="009F1E86"/>
    <w:rsid w:val="009F58A8"/>
    <w:rsid w:val="00A04DE4"/>
    <w:rsid w:val="00A11FAC"/>
    <w:rsid w:val="00A12027"/>
    <w:rsid w:val="00A13032"/>
    <w:rsid w:val="00A16C02"/>
    <w:rsid w:val="00A17451"/>
    <w:rsid w:val="00A24542"/>
    <w:rsid w:val="00A30FCD"/>
    <w:rsid w:val="00A319FA"/>
    <w:rsid w:val="00A33577"/>
    <w:rsid w:val="00A33A7D"/>
    <w:rsid w:val="00A34A22"/>
    <w:rsid w:val="00A37225"/>
    <w:rsid w:val="00A411FC"/>
    <w:rsid w:val="00A428A6"/>
    <w:rsid w:val="00A440AE"/>
    <w:rsid w:val="00A56BFE"/>
    <w:rsid w:val="00A6283C"/>
    <w:rsid w:val="00A70C5E"/>
    <w:rsid w:val="00A7219F"/>
    <w:rsid w:val="00A75147"/>
    <w:rsid w:val="00A754A1"/>
    <w:rsid w:val="00A80EDC"/>
    <w:rsid w:val="00A82CB4"/>
    <w:rsid w:val="00A84315"/>
    <w:rsid w:val="00A96E25"/>
    <w:rsid w:val="00A97444"/>
    <w:rsid w:val="00AB1521"/>
    <w:rsid w:val="00AB3048"/>
    <w:rsid w:val="00AB48FE"/>
    <w:rsid w:val="00AB50DC"/>
    <w:rsid w:val="00AB7971"/>
    <w:rsid w:val="00AC3861"/>
    <w:rsid w:val="00AC7F69"/>
    <w:rsid w:val="00AE372F"/>
    <w:rsid w:val="00AE3873"/>
    <w:rsid w:val="00AF4DD3"/>
    <w:rsid w:val="00AF69DA"/>
    <w:rsid w:val="00B131D2"/>
    <w:rsid w:val="00B14355"/>
    <w:rsid w:val="00B15322"/>
    <w:rsid w:val="00B15CAF"/>
    <w:rsid w:val="00B17AFF"/>
    <w:rsid w:val="00B22DE7"/>
    <w:rsid w:val="00B24A03"/>
    <w:rsid w:val="00B30ABB"/>
    <w:rsid w:val="00B31C3A"/>
    <w:rsid w:val="00B3303B"/>
    <w:rsid w:val="00B33E4F"/>
    <w:rsid w:val="00B434C7"/>
    <w:rsid w:val="00B45FA6"/>
    <w:rsid w:val="00B520AA"/>
    <w:rsid w:val="00B55A96"/>
    <w:rsid w:val="00B62EC4"/>
    <w:rsid w:val="00B646D4"/>
    <w:rsid w:val="00B724B2"/>
    <w:rsid w:val="00B72E0B"/>
    <w:rsid w:val="00B73D9F"/>
    <w:rsid w:val="00B76592"/>
    <w:rsid w:val="00B8075C"/>
    <w:rsid w:val="00B82729"/>
    <w:rsid w:val="00B9272F"/>
    <w:rsid w:val="00BB500D"/>
    <w:rsid w:val="00BC02C7"/>
    <w:rsid w:val="00BC5780"/>
    <w:rsid w:val="00BD6E13"/>
    <w:rsid w:val="00BE318E"/>
    <w:rsid w:val="00BE3653"/>
    <w:rsid w:val="00BE4557"/>
    <w:rsid w:val="00BF1818"/>
    <w:rsid w:val="00BF691C"/>
    <w:rsid w:val="00C0454B"/>
    <w:rsid w:val="00C11DF6"/>
    <w:rsid w:val="00C14A20"/>
    <w:rsid w:val="00C20FB8"/>
    <w:rsid w:val="00C276FC"/>
    <w:rsid w:val="00C37B53"/>
    <w:rsid w:val="00C534CA"/>
    <w:rsid w:val="00C55990"/>
    <w:rsid w:val="00C55F32"/>
    <w:rsid w:val="00C607D0"/>
    <w:rsid w:val="00C66CED"/>
    <w:rsid w:val="00C7235E"/>
    <w:rsid w:val="00C82E85"/>
    <w:rsid w:val="00C84218"/>
    <w:rsid w:val="00C8434B"/>
    <w:rsid w:val="00C930DD"/>
    <w:rsid w:val="00C95F30"/>
    <w:rsid w:val="00C97A13"/>
    <w:rsid w:val="00CA138F"/>
    <w:rsid w:val="00CA1CC7"/>
    <w:rsid w:val="00CB393E"/>
    <w:rsid w:val="00CC0C46"/>
    <w:rsid w:val="00CC0E89"/>
    <w:rsid w:val="00CD0E29"/>
    <w:rsid w:val="00CD4554"/>
    <w:rsid w:val="00CE6432"/>
    <w:rsid w:val="00D06552"/>
    <w:rsid w:val="00D072C3"/>
    <w:rsid w:val="00D13E68"/>
    <w:rsid w:val="00D248D5"/>
    <w:rsid w:val="00D24E13"/>
    <w:rsid w:val="00D26C18"/>
    <w:rsid w:val="00D26C41"/>
    <w:rsid w:val="00D615A8"/>
    <w:rsid w:val="00D71FAF"/>
    <w:rsid w:val="00D7478F"/>
    <w:rsid w:val="00D8298C"/>
    <w:rsid w:val="00D8494A"/>
    <w:rsid w:val="00D863AE"/>
    <w:rsid w:val="00D87E58"/>
    <w:rsid w:val="00D92326"/>
    <w:rsid w:val="00D97A9F"/>
    <w:rsid w:val="00DA0421"/>
    <w:rsid w:val="00DA4C36"/>
    <w:rsid w:val="00DA676E"/>
    <w:rsid w:val="00DB33C8"/>
    <w:rsid w:val="00DB50BA"/>
    <w:rsid w:val="00DB7C3C"/>
    <w:rsid w:val="00DC0B86"/>
    <w:rsid w:val="00DC236A"/>
    <w:rsid w:val="00DC2755"/>
    <w:rsid w:val="00DC4B23"/>
    <w:rsid w:val="00DD1BC9"/>
    <w:rsid w:val="00DE35FB"/>
    <w:rsid w:val="00DE71DC"/>
    <w:rsid w:val="00DF12F9"/>
    <w:rsid w:val="00DF5C22"/>
    <w:rsid w:val="00E0183F"/>
    <w:rsid w:val="00E04ABE"/>
    <w:rsid w:val="00E158C2"/>
    <w:rsid w:val="00E15FB1"/>
    <w:rsid w:val="00E172FE"/>
    <w:rsid w:val="00E255A1"/>
    <w:rsid w:val="00E35B1A"/>
    <w:rsid w:val="00E4101A"/>
    <w:rsid w:val="00E517A2"/>
    <w:rsid w:val="00E52836"/>
    <w:rsid w:val="00E5320A"/>
    <w:rsid w:val="00E6017B"/>
    <w:rsid w:val="00E65AFA"/>
    <w:rsid w:val="00E74665"/>
    <w:rsid w:val="00E76DCF"/>
    <w:rsid w:val="00E80527"/>
    <w:rsid w:val="00E86B97"/>
    <w:rsid w:val="00E93B86"/>
    <w:rsid w:val="00EA463F"/>
    <w:rsid w:val="00EA693A"/>
    <w:rsid w:val="00EB1C5C"/>
    <w:rsid w:val="00EB279C"/>
    <w:rsid w:val="00EC59A7"/>
    <w:rsid w:val="00EC5E9E"/>
    <w:rsid w:val="00ED036D"/>
    <w:rsid w:val="00ED05C2"/>
    <w:rsid w:val="00ED3C95"/>
    <w:rsid w:val="00ED6E0A"/>
    <w:rsid w:val="00EE6B74"/>
    <w:rsid w:val="00EF1192"/>
    <w:rsid w:val="00F00E09"/>
    <w:rsid w:val="00F01FFF"/>
    <w:rsid w:val="00F06E83"/>
    <w:rsid w:val="00F21D39"/>
    <w:rsid w:val="00F408BD"/>
    <w:rsid w:val="00F4106B"/>
    <w:rsid w:val="00F4541E"/>
    <w:rsid w:val="00F46A93"/>
    <w:rsid w:val="00F470C9"/>
    <w:rsid w:val="00F5147E"/>
    <w:rsid w:val="00F616BD"/>
    <w:rsid w:val="00F62F0A"/>
    <w:rsid w:val="00F654E9"/>
    <w:rsid w:val="00F66875"/>
    <w:rsid w:val="00F66BBE"/>
    <w:rsid w:val="00F713E2"/>
    <w:rsid w:val="00F75AEE"/>
    <w:rsid w:val="00F77B60"/>
    <w:rsid w:val="00F83BBB"/>
    <w:rsid w:val="00F868F0"/>
    <w:rsid w:val="00F90489"/>
    <w:rsid w:val="00F90D1C"/>
    <w:rsid w:val="00F91574"/>
    <w:rsid w:val="00FA3CB0"/>
    <w:rsid w:val="00FA3D1D"/>
    <w:rsid w:val="00FB0DCF"/>
    <w:rsid w:val="00FB2923"/>
    <w:rsid w:val="00FB3250"/>
    <w:rsid w:val="00FB505B"/>
    <w:rsid w:val="00FC607C"/>
    <w:rsid w:val="00FD0794"/>
    <w:rsid w:val="00FD0AC8"/>
    <w:rsid w:val="00FE22D2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B19B5"/>
  <w14:defaultImageDpi w14:val="0"/>
  <w15:docId w15:val="{05301A35-CA20-425F-86C1-CA2EFBB4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D0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D0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D05C2"/>
    <w:rPr>
      <w:rFonts w:cs="Times New Roman"/>
      <w:sz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ED0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F4B66"/>
    <w:rPr>
      <w:rFonts w:cs="Times New Roman"/>
      <w:b/>
    </w:rPr>
  </w:style>
  <w:style w:type="character" w:styleId="Hyperlink">
    <w:name w:val="Hyperlink"/>
    <w:basedOn w:val="DefaultParagraphFont"/>
    <w:uiPriority w:val="99"/>
    <w:rsid w:val="00A16C02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374F68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374F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74F68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74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374F68"/>
    <w:rPr>
      <w:rFonts w:cs="Times New Roman"/>
      <w:b/>
    </w:rPr>
  </w:style>
  <w:style w:type="character" w:styleId="FollowedHyperlink">
    <w:name w:val="FollowedHyperlink"/>
    <w:basedOn w:val="DefaultParagraphFont"/>
    <w:uiPriority w:val="99"/>
    <w:rsid w:val="0007149B"/>
    <w:rPr>
      <w:rFonts w:cs="Times New Roman"/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3E2"/>
    <w:rPr>
      <w:rFonts w:cs="Times New Roman"/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963557"/>
    <w:pPr>
      <w:spacing w:after="520"/>
      <w:ind w:left="1440" w:right="720"/>
      <w:jc w:val="both"/>
    </w:pPr>
    <w:rPr>
      <w:sz w:val="26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locked/>
    <w:rsid w:val="00963557"/>
    <w:rPr>
      <w:rFonts w:cs="Times New Roman"/>
      <w:sz w:val="26"/>
      <w:lang w:val="x-none" w:eastAsia="en-US"/>
    </w:rPr>
  </w:style>
  <w:style w:type="paragraph" w:customStyle="1" w:styleId="ParaLevel1">
    <w:name w:val="ParaLevel1"/>
    <w:basedOn w:val="Normal"/>
    <w:rsid w:val="001C3374"/>
    <w:pPr>
      <w:numPr>
        <w:numId w:val="13"/>
      </w:numPr>
      <w:suppressAutoHyphens/>
      <w:spacing w:after="520" w:line="480" w:lineRule="auto"/>
      <w:jc w:val="both"/>
      <w:outlineLvl w:val="0"/>
    </w:pPr>
    <w:rPr>
      <w:sz w:val="26"/>
      <w:szCs w:val="20"/>
      <w:lang w:eastAsia="en-US"/>
    </w:rPr>
  </w:style>
  <w:style w:type="paragraph" w:customStyle="1" w:styleId="ParaLevel2">
    <w:name w:val="ParaLevel2"/>
    <w:basedOn w:val="Normal"/>
    <w:rsid w:val="001C3374"/>
    <w:pPr>
      <w:numPr>
        <w:ilvl w:val="1"/>
        <w:numId w:val="13"/>
      </w:numPr>
      <w:suppressAutoHyphens/>
      <w:spacing w:after="520" w:line="480" w:lineRule="auto"/>
      <w:ind w:left="709"/>
      <w:jc w:val="both"/>
      <w:outlineLvl w:val="1"/>
    </w:pPr>
    <w:rPr>
      <w:sz w:val="26"/>
      <w:szCs w:val="20"/>
      <w:lang w:eastAsia="en-US"/>
    </w:rPr>
  </w:style>
  <w:style w:type="paragraph" w:customStyle="1" w:styleId="ParaLevel3">
    <w:name w:val="ParaLevel3"/>
    <w:basedOn w:val="Normal"/>
    <w:rsid w:val="001C3374"/>
    <w:pPr>
      <w:numPr>
        <w:ilvl w:val="2"/>
        <w:numId w:val="13"/>
      </w:numPr>
      <w:suppressAutoHyphens/>
      <w:spacing w:after="520" w:line="480" w:lineRule="auto"/>
      <w:ind w:left="1418"/>
      <w:jc w:val="both"/>
      <w:outlineLvl w:val="2"/>
    </w:pPr>
    <w:rPr>
      <w:sz w:val="26"/>
      <w:szCs w:val="20"/>
      <w:lang w:eastAsia="en-US"/>
    </w:rPr>
  </w:style>
  <w:style w:type="paragraph" w:customStyle="1" w:styleId="ParaLevel4">
    <w:name w:val="ParaLevel4"/>
    <w:basedOn w:val="Normal"/>
    <w:rsid w:val="001C3374"/>
    <w:pPr>
      <w:numPr>
        <w:ilvl w:val="3"/>
        <w:numId w:val="13"/>
      </w:numPr>
      <w:suppressAutoHyphens/>
      <w:spacing w:after="520" w:line="480" w:lineRule="auto"/>
      <w:ind w:left="2127"/>
      <w:jc w:val="both"/>
      <w:outlineLvl w:val="3"/>
    </w:pPr>
    <w:rPr>
      <w:sz w:val="26"/>
      <w:szCs w:val="20"/>
      <w:lang w:eastAsia="en-US"/>
    </w:rPr>
  </w:style>
  <w:style w:type="paragraph" w:customStyle="1" w:styleId="ParaLevel5">
    <w:name w:val="ParaLevel5"/>
    <w:basedOn w:val="Normal"/>
    <w:rsid w:val="001C3374"/>
    <w:pPr>
      <w:numPr>
        <w:ilvl w:val="4"/>
        <w:numId w:val="13"/>
      </w:numPr>
      <w:suppressAutoHyphens/>
      <w:spacing w:after="520" w:line="480" w:lineRule="auto"/>
      <w:ind w:left="2836"/>
      <w:jc w:val="both"/>
      <w:outlineLvl w:val="4"/>
    </w:pPr>
    <w:rPr>
      <w:sz w:val="26"/>
      <w:szCs w:val="20"/>
      <w:lang w:eastAsia="en-US"/>
    </w:rPr>
  </w:style>
  <w:style w:type="paragraph" w:customStyle="1" w:styleId="ParaLevel6">
    <w:name w:val="ParaLevel6"/>
    <w:basedOn w:val="Normal"/>
    <w:rsid w:val="001C3374"/>
    <w:pPr>
      <w:numPr>
        <w:ilvl w:val="5"/>
        <w:numId w:val="13"/>
      </w:numPr>
      <w:suppressAutoHyphens/>
      <w:spacing w:after="520" w:line="480" w:lineRule="auto"/>
      <w:ind w:left="3545"/>
      <w:jc w:val="both"/>
      <w:outlineLvl w:val="5"/>
    </w:pPr>
    <w:rPr>
      <w:sz w:val="26"/>
      <w:szCs w:val="20"/>
      <w:lang w:eastAsia="en-US"/>
    </w:rPr>
  </w:style>
  <w:style w:type="paragraph" w:customStyle="1" w:styleId="ParaLevel7">
    <w:name w:val="ParaLevel7"/>
    <w:basedOn w:val="Normal"/>
    <w:rsid w:val="001C3374"/>
    <w:pPr>
      <w:numPr>
        <w:ilvl w:val="6"/>
        <w:numId w:val="13"/>
      </w:numPr>
      <w:suppressAutoHyphens/>
      <w:spacing w:after="520" w:line="480" w:lineRule="auto"/>
      <w:ind w:left="4254"/>
      <w:jc w:val="both"/>
      <w:outlineLvl w:val="6"/>
    </w:pPr>
    <w:rPr>
      <w:sz w:val="26"/>
      <w:szCs w:val="20"/>
      <w:lang w:eastAsia="en-US"/>
    </w:rPr>
  </w:style>
  <w:style w:type="paragraph" w:customStyle="1" w:styleId="ParaLevel8">
    <w:name w:val="ParaLevel8"/>
    <w:basedOn w:val="Normal"/>
    <w:rsid w:val="001C3374"/>
    <w:pPr>
      <w:numPr>
        <w:ilvl w:val="7"/>
        <w:numId w:val="13"/>
      </w:numPr>
      <w:suppressAutoHyphens/>
      <w:spacing w:after="520" w:line="480" w:lineRule="auto"/>
      <w:ind w:left="4963"/>
      <w:jc w:val="both"/>
      <w:outlineLvl w:val="7"/>
    </w:pPr>
    <w:rPr>
      <w:sz w:val="26"/>
      <w:szCs w:val="20"/>
      <w:lang w:eastAsia="en-US"/>
    </w:rPr>
  </w:style>
  <w:style w:type="paragraph" w:customStyle="1" w:styleId="ParaLevel9">
    <w:name w:val="ParaLevel9"/>
    <w:basedOn w:val="Normal"/>
    <w:rsid w:val="001C3374"/>
    <w:pPr>
      <w:numPr>
        <w:ilvl w:val="8"/>
        <w:numId w:val="13"/>
      </w:numPr>
      <w:suppressAutoHyphens/>
      <w:spacing w:after="520" w:line="480" w:lineRule="auto"/>
      <w:ind w:left="5672"/>
      <w:jc w:val="both"/>
      <w:outlineLvl w:val="8"/>
    </w:pPr>
    <w:rPr>
      <w:sz w:val="26"/>
      <w:szCs w:val="20"/>
      <w:lang w:eastAsia="en-US"/>
    </w:rPr>
  </w:style>
  <w:style w:type="paragraph" w:styleId="ListParagraph">
    <w:name w:val="List Paragraph"/>
    <w:basedOn w:val="Normal"/>
    <w:uiPriority w:val="72"/>
    <w:qFormat/>
    <w:rsid w:val="004B227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2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jcpc.uk/decided-cases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251F3824E8E4BABF966FB1FF33114" ma:contentTypeVersion="8" ma:contentTypeDescription="Create a new document." ma:contentTypeScope="" ma:versionID="35ff4edaec662327009a93fff317a5a5">
  <xsd:schema xmlns:xsd="http://www.w3.org/2001/XMLSchema" xmlns:xs="http://www.w3.org/2001/XMLSchema" xmlns:p="http://schemas.microsoft.com/office/2006/metadata/properties" xmlns:ns2="d1912800-d0d5-4897-aa13-fa15486e9ce2" xmlns:ns3="f87e7dc2-70e0-493d-9bcf-91b6939b3a72" targetNamespace="http://schemas.microsoft.com/office/2006/metadata/properties" ma:root="true" ma:fieldsID="54a42eab02f6bfb85084c5824c747c5b" ns2:_="" ns3:_="">
    <xsd:import namespace="d1912800-d0d5-4897-aa13-fa15486e9ce2"/>
    <xsd:import namespace="f87e7dc2-70e0-493d-9bcf-91b6939b3a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12800-d0d5-4897-aa13-fa15486e9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e7dc2-70e0-493d-9bcf-91b6939b3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64D42-5E6A-4E0B-B37D-2D677AF933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8FDAE-BD9D-4E6E-811D-C9575B65719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19D2A5B-8CD2-44CF-9C12-4C13FD52C227}"/>
</file>

<file path=customXml/itemProps4.xml><?xml version="1.0" encoding="utf-8"?>
<ds:datastoreItem xmlns:ds="http://schemas.openxmlformats.org/officeDocument/2006/customXml" ds:itemID="{7767B35F-3994-4FFD-A087-48B81781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matter of Stanford International Bank Ltd (In Liquidation) (Acting by and through its Joint Liquidators Mark McDonald and Hugh Dickson) (Antigua and Barbuda)</vt:lpstr>
    </vt:vector>
  </TitlesOfParts>
  <Company>Judicial Committee of the Privy Council (JCPC)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matter of Stanford International Bank Ltd (In Liquidation) (Acting by and through its Joint Liquidators Mark McDonald and Hugh Dickson) (Antigua and Barbuda)</dc:title>
  <dc:subject>Judgment promulgated on Monday 16 December 2019</dc:subject>
  <dc:creator>Judicial Committee of the Privy Council (JCPC)</dc:creator>
  <cp:keywords>JCPC 2018/0075; [2019] UKPC 45</cp:keywords>
  <dc:description/>
  <cp:lastModifiedBy>Anita Homji</cp:lastModifiedBy>
  <cp:revision>4</cp:revision>
  <cp:lastPrinted>2019-10-25T10:49:00Z</cp:lastPrinted>
  <dcterms:created xsi:type="dcterms:W3CDTF">2019-12-13T14:51:00Z</dcterms:created>
  <dcterms:modified xsi:type="dcterms:W3CDTF">2019-12-13T14:58:00Z</dcterms:modified>
  <cp:category>Decided cases; Press Summary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0x010100AAB251F3824E8E4BABF966FB1FF33114</vt:lpwstr>
  </property>
  <property fmtid="{D5CDD505-2E9C-101B-9397-08002B2CF9AE}" pid="3" name="CaseName">
    <vt:lpwstr>In the matter of Stanford International Bank Ltd (In Liquidation) (Acting by and through its Joint Liquidators Mark McDonald and Hugh Dickson) (Antigua and Barbuda)</vt:lpwstr>
  </property>
  <property fmtid="{D5CDD505-2E9C-101B-9397-08002B2CF9AE}" pid="4" name="HandDownDate">
    <vt:lpwstr>16 December 2019</vt:lpwstr>
  </property>
  <property fmtid="{D5CDD505-2E9C-101B-9397-08002B2CF9AE}" pid="5" name="CaseID">
    <vt:lpwstr>JCPC 2018/0075</vt:lpwstr>
  </property>
  <property fmtid="{D5CDD505-2E9C-101B-9397-08002B2CF9AE}" pid="6" name="NeutralCitationNumber">
    <vt:lpwstr>[2019] UKPC 45</vt:lpwstr>
  </property>
  <property fmtid="{D5CDD505-2E9C-101B-9397-08002B2CF9AE}" pid="7" name="Jurisdiction">
    <vt:lpwstr>The Court of Appeal of the Eastern Caribbean Supreme Court (Antigua and Barbuda)</vt:lpwstr>
  </property>
</Properties>
</file>