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3EA1" w14:textId="77777777" w:rsidR="00A23AAB" w:rsidRDefault="00A23AAB" w:rsidP="00C1383F">
      <w:pPr>
        <w:rPr>
          <w:rFonts w:ascii="Times New Roman" w:eastAsia="Times New Roman" w:hAnsi="Times New Roman"/>
          <w:b/>
          <w:bCs/>
          <w:color w:val="FF0000"/>
          <w:sz w:val="26"/>
          <w:szCs w:val="26"/>
        </w:rPr>
      </w:pPr>
    </w:p>
    <w:p w14:paraId="7BA05605" w14:textId="47AD2435" w:rsidR="004D18F6" w:rsidRPr="000D6AF6" w:rsidRDefault="00A23AAB" w:rsidP="00C1383F">
      <w:pPr>
        <w:rPr>
          <w:rFonts w:ascii="Times New Roman" w:eastAsia="Times New Roman" w:hAnsi="Times New Roman"/>
          <w:b/>
          <w:bCs/>
          <w:color w:val="FF0000"/>
          <w:sz w:val="26"/>
          <w:szCs w:val="26"/>
        </w:rPr>
      </w:pPr>
      <w:r w:rsidRPr="00B07235">
        <w:rPr>
          <w:rFonts w:ascii="Times New Roman" w:hAnsi="Times New Roman"/>
          <w:b/>
          <w:bCs/>
          <w:noProof/>
          <w:color w:val="FF0000"/>
          <w:sz w:val="26"/>
          <w:szCs w:val="26"/>
        </w:rPr>
        <w:drawing>
          <wp:anchor distT="0" distB="0" distL="114300" distR="114300" simplePos="0" relativeHeight="251658240" behindDoc="0" locked="0" layoutInCell="1" allowOverlap="1" wp14:anchorId="061FEF67" wp14:editId="68C1A1B2">
            <wp:simplePos x="0" y="0"/>
            <wp:positionH relativeFrom="margin">
              <wp:align>left</wp:align>
            </wp:positionH>
            <wp:positionV relativeFrom="paragraph">
              <wp:posOffset>207</wp:posOffset>
            </wp:positionV>
            <wp:extent cx="1066800" cy="1428750"/>
            <wp:effectExtent l="0" t="0" r="0" b="0"/>
            <wp:wrapTopAndBottom/>
            <wp:docPr id="1" name="Picture 1" descr="UK Supreme Court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066800" cy="1428750"/>
                    </a:xfrm>
                    <a:prstGeom prst="rect">
                      <a:avLst/>
                    </a:prstGeom>
                  </pic:spPr>
                </pic:pic>
              </a:graphicData>
            </a:graphic>
          </wp:anchor>
        </w:drawing>
      </w:r>
      <w:r w:rsidR="000D6AF6" w:rsidRPr="00B07235">
        <w:rPr>
          <w:rFonts w:ascii="Times New Roman" w:hAnsi="Times New Roman"/>
          <w:b/>
          <w:bCs/>
          <w:noProof/>
          <w:color w:val="FF0000"/>
          <w:sz w:val="26"/>
          <w:szCs w:val="26"/>
        </w:rPr>
        <w:t>THE COURT ORDERED that no one shall publish or reveal the names or addresses of AAA, HTN, RM, AS, SAA or ASM (the “Claimants”) or publish or reveal any information which would be likely to lead to the identification of the Claimants or of any member of their respective families in connection with these proceedings.</w:t>
      </w:r>
    </w:p>
    <w:p w14:paraId="7D24060D" w14:textId="6A43AA1D" w:rsidR="16EEC756" w:rsidRDefault="009D175C" w:rsidP="00C1383F">
      <w:pPr>
        <w:pStyle w:val="PressSummary"/>
        <w:rPr>
          <w:rFonts w:ascii="Times New Roman" w:eastAsia="Times New Roman" w:hAnsi="Times New Roman" w:cs="Times New Roman"/>
          <w:szCs w:val="36"/>
        </w:rPr>
      </w:pPr>
      <w:r w:rsidRPr="62CAF38F">
        <w:rPr>
          <w:rFonts w:ascii="Times New Roman" w:eastAsia="Times New Roman" w:hAnsi="Times New Roman" w:cs="Times New Roman"/>
          <w:szCs w:val="36"/>
        </w:rPr>
        <w:t>Press Summary</w:t>
      </w:r>
    </w:p>
    <w:p w14:paraId="119AD243" w14:textId="0EA56519" w:rsidR="009D175C" w:rsidRPr="00FE4543" w:rsidRDefault="008F7E41" w:rsidP="00C1383F">
      <w:pPr>
        <w:pStyle w:val="Date"/>
        <w:jc w:val="left"/>
        <w:rPr>
          <w:rFonts w:ascii="Times New Roman" w:hAnsi="Times New Roman"/>
        </w:rPr>
      </w:pPr>
      <w:r>
        <w:rPr>
          <w:rFonts w:ascii="Times New Roman" w:hAnsi="Times New Roman"/>
        </w:rPr>
        <w:t>15 November 2023</w:t>
      </w:r>
    </w:p>
    <w:p w14:paraId="3B00D407" w14:textId="62333930" w:rsidR="00787F91" w:rsidRPr="00A23AAB" w:rsidRDefault="00476467" w:rsidP="00C1383F">
      <w:pPr>
        <w:pStyle w:val="Heading3"/>
        <w:spacing w:after="240" w:line="259" w:lineRule="auto"/>
        <w:rPr>
          <w:rFonts w:ascii="Times New Roman" w:eastAsia="Times New Roman" w:hAnsi="Times New Roman" w:cs="Times New Roman"/>
          <w:sz w:val="30"/>
          <w:szCs w:val="30"/>
        </w:rPr>
      </w:pPr>
      <w:r w:rsidRPr="00A23AAB">
        <w:rPr>
          <w:rFonts w:ascii="Times New Roman" w:eastAsia="Times New Roman" w:hAnsi="Times New Roman" w:cs="Times New Roman"/>
          <w:sz w:val="30"/>
          <w:szCs w:val="30"/>
        </w:rPr>
        <w:t>R (on the application of AAA (Syria) and others) (Respondents</w:t>
      </w:r>
      <w:r w:rsidR="00E21AF1" w:rsidRPr="00A23AAB">
        <w:rPr>
          <w:rFonts w:ascii="Times New Roman" w:eastAsia="Times New Roman" w:hAnsi="Times New Roman" w:cs="Times New Roman"/>
          <w:sz w:val="30"/>
          <w:szCs w:val="30"/>
        </w:rPr>
        <w:t>/Cross Appellants</w:t>
      </w:r>
      <w:r w:rsidRPr="00A23AAB">
        <w:rPr>
          <w:rFonts w:ascii="Times New Roman" w:eastAsia="Times New Roman" w:hAnsi="Times New Roman" w:cs="Times New Roman"/>
          <w:sz w:val="30"/>
          <w:szCs w:val="30"/>
        </w:rPr>
        <w:t>) v Secretary of State for the Home Department (Appellant</w:t>
      </w:r>
      <w:r w:rsidR="00E21AF1" w:rsidRPr="00A23AAB">
        <w:rPr>
          <w:rFonts w:ascii="Times New Roman" w:eastAsia="Times New Roman" w:hAnsi="Times New Roman" w:cs="Times New Roman"/>
          <w:sz w:val="30"/>
          <w:szCs w:val="30"/>
        </w:rPr>
        <w:t>/Cross Respondent</w:t>
      </w:r>
      <w:r w:rsidRPr="00A23AAB">
        <w:rPr>
          <w:rFonts w:ascii="Times New Roman" w:eastAsia="Times New Roman" w:hAnsi="Times New Roman" w:cs="Times New Roman"/>
          <w:sz w:val="30"/>
          <w:szCs w:val="30"/>
        </w:rPr>
        <w:t>)</w:t>
      </w:r>
    </w:p>
    <w:p w14:paraId="56CA4D6B" w14:textId="6219ABE1" w:rsidR="00180510" w:rsidRPr="00A23AAB" w:rsidRDefault="0027249A" w:rsidP="00C1383F">
      <w:pPr>
        <w:spacing w:after="240"/>
        <w:rPr>
          <w:rFonts w:ascii="Times New Roman" w:hAnsi="Times New Roman"/>
          <w:b/>
          <w:bCs/>
          <w:sz w:val="30"/>
          <w:szCs w:val="30"/>
          <w:lang w:eastAsia="en-GB"/>
        </w:rPr>
      </w:pPr>
      <w:r w:rsidRPr="00A23AAB">
        <w:rPr>
          <w:rFonts w:ascii="Times New Roman" w:hAnsi="Times New Roman"/>
          <w:b/>
          <w:bCs/>
          <w:sz w:val="30"/>
          <w:szCs w:val="30"/>
          <w:lang w:eastAsia="en-GB"/>
        </w:rPr>
        <w:t>R (on the application of HTN (Vietnam)) (Respondent</w:t>
      </w:r>
      <w:r w:rsidR="0089694E" w:rsidRPr="00A23AAB">
        <w:rPr>
          <w:rFonts w:ascii="Times New Roman" w:hAnsi="Times New Roman"/>
          <w:b/>
          <w:bCs/>
          <w:sz w:val="30"/>
          <w:szCs w:val="30"/>
          <w:lang w:eastAsia="en-GB"/>
        </w:rPr>
        <w:t>/Cross Appellant</w:t>
      </w:r>
      <w:r w:rsidRPr="00A23AAB">
        <w:rPr>
          <w:rFonts w:ascii="Times New Roman" w:hAnsi="Times New Roman"/>
          <w:b/>
          <w:bCs/>
          <w:sz w:val="30"/>
          <w:szCs w:val="30"/>
          <w:lang w:eastAsia="en-GB"/>
        </w:rPr>
        <w:t>) v Secretary of State for the Home Department (Appellant</w:t>
      </w:r>
      <w:r w:rsidR="0089694E" w:rsidRPr="00A23AAB">
        <w:rPr>
          <w:rFonts w:ascii="Times New Roman" w:hAnsi="Times New Roman"/>
          <w:b/>
          <w:bCs/>
          <w:sz w:val="30"/>
          <w:szCs w:val="30"/>
          <w:lang w:eastAsia="en-GB"/>
        </w:rPr>
        <w:t>/Cross Respondent</w:t>
      </w:r>
      <w:r w:rsidRPr="00A23AAB">
        <w:rPr>
          <w:rFonts w:ascii="Times New Roman" w:hAnsi="Times New Roman"/>
          <w:b/>
          <w:bCs/>
          <w:sz w:val="30"/>
          <w:szCs w:val="30"/>
          <w:lang w:eastAsia="en-GB"/>
        </w:rPr>
        <w:t>)</w:t>
      </w:r>
    </w:p>
    <w:p w14:paraId="32AD9219" w14:textId="0E06A47A" w:rsidR="00180510" w:rsidRPr="00A23AAB" w:rsidRDefault="00180510" w:rsidP="00C1383F">
      <w:pPr>
        <w:spacing w:after="240"/>
        <w:rPr>
          <w:rFonts w:ascii="Times New Roman" w:hAnsi="Times New Roman"/>
          <w:b/>
          <w:bCs/>
          <w:sz w:val="30"/>
          <w:szCs w:val="30"/>
          <w:lang w:eastAsia="en-GB"/>
        </w:rPr>
      </w:pPr>
      <w:r w:rsidRPr="00A23AAB">
        <w:rPr>
          <w:rFonts w:ascii="Times New Roman" w:hAnsi="Times New Roman"/>
          <w:b/>
          <w:bCs/>
          <w:sz w:val="30"/>
          <w:szCs w:val="30"/>
          <w:lang w:eastAsia="en-GB"/>
        </w:rPr>
        <w:t>R (on the application of RM (Iran)) (Respondent) v Secretary of State for the Home Department (Appellant)</w:t>
      </w:r>
    </w:p>
    <w:p w14:paraId="42B3D699" w14:textId="73FF83AA" w:rsidR="00180510" w:rsidRPr="00A23AAB" w:rsidRDefault="00180510" w:rsidP="00C1383F">
      <w:pPr>
        <w:spacing w:after="240"/>
        <w:rPr>
          <w:rFonts w:ascii="Times New Roman" w:hAnsi="Times New Roman"/>
          <w:b/>
          <w:bCs/>
          <w:sz w:val="30"/>
          <w:szCs w:val="30"/>
          <w:lang w:eastAsia="en-GB"/>
        </w:rPr>
      </w:pPr>
      <w:r w:rsidRPr="00A23AAB">
        <w:rPr>
          <w:rFonts w:ascii="Times New Roman" w:hAnsi="Times New Roman"/>
          <w:b/>
          <w:bCs/>
          <w:sz w:val="30"/>
          <w:szCs w:val="30"/>
          <w:lang w:eastAsia="en-GB"/>
        </w:rPr>
        <w:t>R (on the application of AS (Iran)) (Respondent</w:t>
      </w:r>
      <w:r w:rsidR="00464B7C" w:rsidRPr="00A23AAB">
        <w:rPr>
          <w:rFonts w:ascii="Times New Roman" w:hAnsi="Times New Roman"/>
          <w:b/>
          <w:bCs/>
          <w:sz w:val="30"/>
          <w:szCs w:val="30"/>
          <w:lang w:eastAsia="en-GB"/>
        </w:rPr>
        <w:t>/Cross Appellant</w:t>
      </w:r>
      <w:r w:rsidRPr="00A23AAB">
        <w:rPr>
          <w:rFonts w:ascii="Times New Roman" w:hAnsi="Times New Roman"/>
          <w:b/>
          <w:bCs/>
          <w:sz w:val="30"/>
          <w:szCs w:val="30"/>
          <w:lang w:eastAsia="en-GB"/>
        </w:rPr>
        <w:t>) v Secretary of State for the Home Department (Appellant</w:t>
      </w:r>
      <w:r w:rsidR="00464B7C" w:rsidRPr="00A23AAB">
        <w:rPr>
          <w:rFonts w:ascii="Times New Roman" w:hAnsi="Times New Roman"/>
          <w:b/>
          <w:bCs/>
          <w:sz w:val="30"/>
          <w:szCs w:val="30"/>
          <w:lang w:eastAsia="en-GB"/>
        </w:rPr>
        <w:t>/Cross Respondent</w:t>
      </w:r>
      <w:r w:rsidRPr="00A23AAB">
        <w:rPr>
          <w:rFonts w:ascii="Times New Roman" w:hAnsi="Times New Roman"/>
          <w:b/>
          <w:bCs/>
          <w:sz w:val="30"/>
          <w:szCs w:val="30"/>
          <w:lang w:eastAsia="en-GB"/>
        </w:rPr>
        <w:t xml:space="preserve">) </w:t>
      </w:r>
    </w:p>
    <w:p w14:paraId="73437107" w14:textId="4B809EF1" w:rsidR="00180510" w:rsidRPr="00A23AAB" w:rsidRDefault="00180510" w:rsidP="00C1383F">
      <w:pPr>
        <w:spacing w:after="240"/>
        <w:rPr>
          <w:rFonts w:ascii="Times New Roman" w:hAnsi="Times New Roman"/>
          <w:b/>
          <w:bCs/>
          <w:sz w:val="30"/>
          <w:szCs w:val="30"/>
          <w:lang w:eastAsia="en-GB"/>
        </w:rPr>
      </w:pPr>
      <w:r w:rsidRPr="00A23AAB">
        <w:rPr>
          <w:rFonts w:ascii="Times New Roman" w:hAnsi="Times New Roman"/>
          <w:b/>
          <w:bCs/>
          <w:sz w:val="30"/>
          <w:szCs w:val="30"/>
          <w:lang w:eastAsia="en-GB"/>
        </w:rPr>
        <w:t xml:space="preserve">R (on the application of SAA (Sudan)) (Respondent) v Secretary of State for the Home Department (Appellant) and </w:t>
      </w:r>
    </w:p>
    <w:p w14:paraId="182359FB" w14:textId="77777777" w:rsidR="00A23AAB" w:rsidRDefault="00180510" w:rsidP="00A23AAB">
      <w:pPr>
        <w:spacing w:after="0"/>
        <w:rPr>
          <w:rFonts w:ascii="Times New Roman" w:hAnsi="Times New Roman"/>
          <w:b/>
          <w:bCs/>
          <w:sz w:val="30"/>
          <w:szCs w:val="30"/>
          <w:lang w:eastAsia="en-GB"/>
        </w:rPr>
      </w:pPr>
      <w:r w:rsidRPr="00A23AAB">
        <w:rPr>
          <w:rFonts w:ascii="Times New Roman" w:hAnsi="Times New Roman"/>
          <w:b/>
          <w:bCs/>
          <w:sz w:val="30"/>
          <w:szCs w:val="30"/>
          <w:lang w:eastAsia="en-GB"/>
        </w:rPr>
        <w:t>R (on the application of ASM (Iraq)) (Appellant) v Secretary of State for the Home Department (Respondent)</w:t>
      </w:r>
    </w:p>
    <w:p w14:paraId="31B23A5B" w14:textId="77777777" w:rsidR="00A23AAB" w:rsidRDefault="00A23AAB" w:rsidP="00A23AAB">
      <w:pPr>
        <w:spacing w:after="0"/>
        <w:rPr>
          <w:rFonts w:ascii="Times New Roman" w:hAnsi="Times New Roman"/>
          <w:b/>
          <w:bCs/>
          <w:sz w:val="30"/>
          <w:szCs w:val="30"/>
          <w:lang w:eastAsia="en-GB"/>
        </w:rPr>
      </w:pPr>
    </w:p>
    <w:p w14:paraId="063D52B7" w14:textId="77777777" w:rsidR="00A23AAB" w:rsidRDefault="00787F91" w:rsidP="00A23AAB">
      <w:pPr>
        <w:spacing w:after="0"/>
        <w:rPr>
          <w:rFonts w:ascii="Times New Roman" w:eastAsia="Times New Roman" w:hAnsi="Times New Roman"/>
          <w:b/>
          <w:bCs/>
          <w:sz w:val="30"/>
          <w:szCs w:val="30"/>
        </w:rPr>
      </w:pPr>
      <w:r w:rsidRPr="00A23AAB">
        <w:rPr>
          <w:rFonts w:ascii="Times New Roman" w:eastAsia="Times New Roman" w:hAnsi="Times New Roman"/>
          <w:b/>
          <w:bCs/>
          <w:sz w:val="30"/>
          <w:szCs w:val="30"/>
        </w:rPr>
        <w:t>[</w:t>
      </w:r>
      <w:r w:rsidR="00320857" w:rsidRPr="00A23AAB">
        <w:rPr>
          <w:rFonts w:ascii="Times New Roman" w:eastAsia="Times New Roman" w:hAnsi="Times New Roman"/>
          <w:b/>
          <w:bCs/>
          <w:sz w:val="30"/>
          <w:szCs w:val="30"/>
        </w:rPr>
        <w:t>2023</w:t>
      </w:r>
      <w:r w:rsidRPr="00A23AAB">
        <w:rPr>
          <w:rFonts w:ascii="Times New Roman" w:eastAsia="Times New Roman" w:hAnsi="Times New Roman"/>
          <w:b/>
          <w:bCs/>
          <w:sz w:val="30"/>
          <w:szCs w:val="30"/>
        </w:rPr>
        <w:t>]</w:t>
      </w:r>
      <w:r w:rsidR="00320857" w:rsidRPr="00A23AAB">
        <w:rPr>
          <w:rFonts w:ascii="Times New Roman" w:eastAsia="Times New Roman" w:hAnsi="Times New Roman"/>
          <w:b/>
          <w:bCs/>
          <w:sz w:val="30"/>
          <w:szCs w:val="30"/>
        </w:rPr>
        <w:t xml:space="preserve"> UKSC </w:t>
      </w:r>
      <w:r w:rsidR="00641F90" w:rsidRPr="00A23AAB">
        <w:rPr>
          <w:rFonts w:ascii="Times New Roman" w:eastAsia="Times New Roman" w:hAnsi="Times New Roman"/>
          <w:b/>
          <w:bCs/>
          <w:sz w:val="30"/>
          <w:szCs w:val="30"/>
        </w:rPr>
        <w:t>42</w:t>
      </w:r>
    </w:p>
    <w:p w14:paraId="1AD58A85" w14:textId="53628962" w:rsidR="00787F91" w:rsidRPr="00A23AAB" w:rsidRDefault="00787F91" w:rsidP="00A23AAB">
      <w:pPr>
        <w:spacing w:after="0"/>
        <w:rPr>
          <w:rFonts w:ascii="Times New Roman" w:hAnsi="Times New Roman"/>
          <w:b/>
          <w:bCs/>
          <w:sz w:val="30"/>
          <w:szCs w:val="30"/>
          <w:lang w:eastAsia="en-GB"/>
        </w:rPr>
      </w:pPr>
      <w:r w:rsidRPr="00650E53">
        <w:rPr>
          <w:rFonts w:ascii="Times New Roman" w:eastAsia="Times New Roman" w:hAnsi="Times New Roman"/>
          <w:i/>
          <w:iCs/>
          <w:sz w:val="28"/>
          <w:szCs w:val="28"/>
        </w:rPr>
        <w:t xml:space="preserve">On appeal from </w:t>
      </w:r>
      <w:r w:rsidR="00940891" w:rsidRPr="00650E53">
        <w:rPr>
          <w:rFonts w:ascii="Times New Roman" w:eastAsia="Times New Roman" w:hAnsi="Times New Roman"/>
          <w:i/>
          <w:iCs/>
          <w:sz w:val="28"/>
          <w:szCs w:val="28"/>
        </w:rPr>
        <w:t>[2023] EWCA Civ 745</w:t>
      </w:r>
    </w:p>
    <w:p w14:paraId="1AD302D8" w14:textId="6056C631" w:rsidR="00021E35" w:rsidRPr="007C6D24" w:rsidRDefault="00021E35" w:rsidP="00C1383F">
      <w:pPr>
        <w:pStyle w:val="Heading4"/>
        <w:rPr>
          <w:rFonts w:ascii="Times New Roman" w:eastAsia="Times New Roman" w:hAnsi="Times New Roman" w:cs="Times New Roman"/>
          <w:b w:val="0"/>
          <w:sz w:val="24"/>
          <w:szCs w:val="24"/>
          <w:lang w:eastAsia="en-GB"/>
        </w:rPr>
      </w:pPr>
      <w:r w:rsidRPr="62CAF38F">
        <w:rPr>
          <w:rFonts w:ascii="Times New Roman" w:eastAsia="Times New Roman" w:hAnsi="Times New Roman" w:cs="Times New Roman"/>
          <w:sz w:val="28"/>
          <w:szCs w:val="28"/>
          <w:lang w:eastAsia="en-GB"/>
        </w:rPr>
        <w:lastRenderedPageBreak/>
        <w:t>Justices:</w:t>
      </w:r>
      <w:r w:rsidRPr="62CAF38F">
        <w:rPr>
          <w:rFonts w:ascii="Times New Roman" w:eastAsia="Times New Roman" w:hAnsi="Times New Roman" w:cs="Times New Roman"/>
          <w:b w:val="0"/>
          <w:sz w:val="28"/>
          <w:szCs w:val="28"/>
          <w:lang w:eastAsia="en-GB"/>
        </w:rPr>
        <w:t xml:space="preserve"> </w:t>
      </w:r>
      <w:r w:rsidR="000C5B3C">
        <w:rPr>
          <w:rFonts w:ascii="Times New Roman" w:eastAsia="Times New Roman" w:hAnsi="Times New Roman" w:cs="Times New Roman"/>
          <w:b w:val="0"/>
          <w:sz w:val="28"/>
          <w:szCs w:val="28"/>
          <w:lang w:eastAsia="en-GB"/>
        </w:rPr>
        <w:t>Lord Reed (President), Lord Hodge (Deputy President), Lord Lloyd-Jones, Lord Briggs, Lord Sales</w:t>
      </w:r>
    </w:p>
    <w:p w14:paraId="2C20E040" w14:textId="77777777" w:rsidR="00021E35" w:rsidRDefault="00021E35" w:rsidP="00C1383F">
      <w:pPr>
        <w:pStyle w:val="Heading5"/>
        <w:rPr>
          <w:rFonts w:ascii="Times New Roman" w:eastAsia="Times New Roman" w:hAnsi="Times New Roman" w:cs="Times New Roman"/>
          <w:lang w:eastAsia="en-GB"/>
        </w:rPr>
      </w:pPr>
      <w:r w:rsidRPr="62CAF38F">
        <w:rPr>
          <w:rFonts w:ascii="Times New Roman" w:eastAsia="Times New Roman" w:hAnsi="Times New Roman" w:cs="Times New Roman"/>
          <w:lang w:eastAsia="en-GB"/>
        </w:rPr>
        <w:t>Background to the Appeal</w:t>
      </w:r>
    </w:p>
    <w:p w14:paraId="77DCB411" w14:textId="4F963934" w:rsidR="00DD2F74" w:rsidRDefault="00B02BD1" w:rsidP="00C1383F">
      <w:pPr>
        <w:rPr>
          <w:rFonts w:ascii="Times New Roman" w:hAnsi="Times New Roman"/>
          <w:lang w:eastAsia="en-GB"/>
        </w:rPr>
      </w:pPr>
      <w:r>
        <w:rPr>
          <w:rFonts w:ascii="Times New Roman" w:hAnsi="Times New Roman"/>
          <w:lang w:eastAsia="en-GB"/>
        </w:rPr>
        <w:t>Under the</w:t>
      </w:r>
      <w:r w:rsidR="00DD2F74">
        <w:rPr>
          <w:rFonts w:ascii="Times New Roman" w:hAnsi="Times New Roman"/>
          <w:lang w:eastAsia="en-GB"/>
        </w:rPr>
        <w:t xml:space="preserve"> </w:t>
      </w:r>
      <w:r w:rsidR="00696F0F">
        <w:rPr>
          <w:rFonts w:ascii="Times New Roman" w:hAnsi="Times New Roman"/>
          <w:lang w:eastAsia="en-GB"/>
        </w:rPr>
        <w:t xml:space="preserve">Home Secretary’s </w:t>
      </w:r>
      <w:r w:rsidR="00DD2F74">
        <w:rPr>
          <w:rFonts w:ascii="Times New Roman" w:hAnsi="Times New Roman"/>
          <w:lang w:eastAsia="en-GB"/>
        </w:rPr>
        <w:t>Rwanda</w:t>
      </w:r>
      <w:r>
        <w:rPr>
          <w:rFonts w:ascii="Times New Roman" w:hAnsi="Times New Roman"/>
          <w:lang w:eastAsia="en-GB"/>
        </w:rPr>
        <w:t xml:space="preserve"> policy, </w:t>
      </w:r>
      <w:r w:rsidR="00070CEF">
        <w:rPr>
          <w:rFonts w:ascii="Times New Roman" w:hAnsi="Times New Roman"/>
          <w:lang w:eastAsia="en-GB"/>
        </w:rPr>
        <w:t xml:space="preserve">certain people claiming asylum in the </w:t>
      </w:r>
      <w:r w:rsidR="00394712">
        <w:rPr>
          <w:rFonts w:ascii="Times New Roman" w:hAnsi="Times New Roman"/>
          <w:lang w:eastAsia="en-GB"/>
        </w:rPr>
        <w:t>UK</w:t>
      </w:r>
      <w:r w:rsidR="00070CEF">
        <w:rPr>
          <w:rFonts w:ascii="Times New Roman" w:hAnsi="Times New Roman"/>
          <w:lang w:eastAsia="en-GB"/>
        </w:rPr>
        <w:t xml:space="preserve"> will be </w:t>
      </w:r>
      <w:r w:rsidR="001371D8">
        <w:rPr>
          <w:rFonts w:ascii="Times New Roman" w:hAnsi="Times New Roman"/>
          <w:lang w:eastAsia="en-GB"/>
        </w:rPr>
        <w:t>sent to Rwanda where the</w:t>
      </w:r>
      <w:r w:rsidR="00563E9F">
        <w:rPr>
          <w:rFonts w:ascii="Times New Roman" w:hAnsi="Times New Roman"/>
          <w:lang w:eastAsia="en-GB"/>
        </w:rPr>
        <w:t xml:space="preserve">ir </w:t>
      </w:r>
      <w:r w:rsidR="001371D8">
        <w:rPr>
          <w:rFonts w:ascii="Times New Roman" w:hAnsi="Times New Roman"/>
          <w:lang w:eastAsia="en-GB"/>
        </w:rPr>
        <w:t>claims will be decided by the Rwandan authorities. If</w:t>
      </w:r>
      <w:r w:rsidR="00070CEF">
        <w:rPr>
          <w:rFonts w:ascii="Times New Roman" w:hAnsi="Times New Roman"/>
          <w:lang w:eastAsia="en-GB"/>
        </w:rPr>
        <w:t xml:space="preserve"> </w:t>
      </w:r>
      <w:r w:rsidR="00563E9F">
        <w:rPr>
          <w:rFonts w:ascii="Times New Roman" w:hAnsi="Times New Roman"/>
          <w:lang w:eastAsia="en-GB"/>
        </w:rPr>
        <w:t>their claims are successful, they will be granted asylum in Rwanda.</w:t>
      </w:r>
      <w:r w:rsidR="00F53611">
        <w:rPr>
          <w:rFonts w:ascii="Times New Roman" w:hAnsi="Times New Roman"/>
          <w:lang w:eastAsia="en-GB"/>
        </w:rPr>
        <w:t xml:space="preserve"> </w:t>
      </w:r>
      <w:r w:rsidR="00696F0F">
        <w:rPr>
          <w:rFonts w:ascii="Times New Roman" w:hAnsi="Times New Roman"/>
          <w:lang w:eastAsia="en-GB"/>
        </w:rPr>
        <w:t xml:space="preserve">In </w:t>
      </w:r>
      <w:r w:rsidR="002A40EF">
        <w:rPr>
          <w:rFonts w:ascii="Times New Roman" w:hAnsi="Times New Roman"/>
          <w:lang w:eastAsia="en-GB"/>
        </w:rPr>
        <w:t>this appeal,</w:t>
      </w:r>
      <w:r w:rsidR="00696F0F">
        <w:rPr>
          <w:rFonts w:ascii="Times New Roman" w:hAnsi="Times New Roman"/>
          <w:lang w:eastAsia="en-GB"/>
        </w:rPr>
        <w:t xml:space="preserve"> the Supreme Court is </w:t>
      </w:r>
      <w:r w:rsidR="0042681B">
        <w:rPr>
          <w:rFonts w:ascii="Times New Roman" w:hAnsi="Times New Roman"/>
          <w:lang w:eastAsia="en-GB"/>
        </w:rPr>
        <w:t>required</w:t>
      </w:r>
      <w:r w:rsidR="00696F0F">
        <w:rPr>
          <w:rFonts w:ascii="Times New Roman" w:hAnsi="Times New Roman"/>
          <w:lang w:eastAsia="en-GB"/>
        </w:rPr>
        <w:t xml:space="preserve"> to decide whether the Rwanda policy is lawful. This is a legal question</w:t>
      </w:r>
      <w:r w:rsidR="00A50E73">
        <w:rPr>
          <w:rFonts w:ascii="Times New Roman" w:hAnsi="Times New Roman"/>
          <w:lang w:eastAsia="en-GB"/>
        </w:rPr>
        <w:t xml:space="preserve"> which the Court has been asked to decide on the basis of the evidence and </w:t>
      </w:r>
      <w:r w:rsidR="00696F0F">
        <w:rPr>
          <w:rFonts w:ascii="Times New Roman" w:hAnsi="Times New Roman"/>
          <w:lang w:eastAsia="en-GB"/>
        </w:rPr>
        <w:t>established legal principles</w:t>
      </w:r>
      <w:r w:rsidR="006A795F">
        <w:rPr>
          <w:rFonts w:ascii="Times New Roman" w:hAnsi="Times New Roman"/>
          <w:lang w:eastAsia="en-GB"/>
        </w:rPr>
        <w:t>, including the law as l</w:t>
      </w:r>
      <w:r w:rsidR="00DF4F7D">
        <w:rPr>
          <w:rFonts w:ascii="Times New Roman" w:hAnsi="Times New Roman"/>
          <w:lang w:eastAsia="en-GB"/>
        </w:rPr>
        <w:t>aid down by Parliament</w:t>
      </w:r>
      <w:r w:rsidR="00696F0F">
        <w:rPr>
          <w:rFonts w:ascii="Times New Roman" w:hAnsi="Times New Roman"/>
          <w:lang w:eastAsia="en-GB"/>
        </w:rPr>
        <w:t>. The Court is not</w:t>
      </w:r>
      <w:r w:rsidR="009B5BAC">
        <w:rPr>
          <w:rFonts w:ascii="Times New Roman" w:hAnsi="Times New Roman"/>
          <w:lang w:eastAsia="en-GB"/>
        </w:rPr>
        <w:t xml:space="preserve"> concerned with and should not</w:t>
      </w:r>
      <w:r w:rsidR="00101221">
        <w:rPr>
          <w:rFonts w:ascii="Times New Roman" w:hAnsi="Times New Roman"/>
          <w:lang w:eastAsia="en-GB"/>
        </w:rPr>
        <w:t xml:space="preserve"> be</w:t>
      </w:r>
      <w:r w:rsidR="009B5BAC">
        <w:rPr>
          <w:rFonts w:ascii="Times New Roman" w:hAnsi="Times New Roman"/>
          <w:lang w:eastAsia="en-GB"/>
        </w:rPr>
        <w:t xml:space="preserve"> regarded as supporting or opposing any</w:t>
      </w:r>
      <w:r w:rsidR="006B3ACA">
        <w:rPr>
          <w:rFonts w:ascii="Times New Roman" w:hAnsi="Times New Roman"/>
          <w:lang w:eastAsia="en-GB"/>
        </w:rPr>
        <w:t xml:space="preserve"> aspect of the political debate surrounding the policy</w:t>
      </w:r>
      <w:r w:rsidR="00696F0F">
        <w:rPr>
          <w:rFonts w:ascii="Times New Roman" w:hAnsi="Times New Roman"/>
          <w:lang w:eastAsia="en-GB"/>
        </w:rPr>
        <w:t>.</w:t>
      </w:r>
    </w:p>
    <w:p w14:paraId="2E370BE9" w14:textId="04C4C545" w:rsidR="00596998" w:rsidRDefault="008C16C3" w:rsidP="00C1383F">
      <w:pPr>
        <w:rPr>
          <w:rFonts w:ascii="Times New Roman" w:hAnsi="Times New Roman"/>
          <w:lang w:eastAsia="en-GB"/>
        </w:rPr>
      </w:pPr>
      <w:r w:rsidRPr="008C16C3">
        <w:rPr>
          <w:rFonts w:ascii="Times New Roman" w:hAnsi="Times New Roman"/>
          <w:lang w:eastAsia="en-GB"/>
        </w:rPr>
        <w:t xml:space="preserve">For </w:t>
      </w:r>
      <w:r w:rsidR="008C1F32">
        <w:rPr>
          <w:rFonts w:ascii="Times New Roman" w:hAnsi="Times New Roman"/>
          <w:lang w:eastAsia="en-GB"/>
        </w:rPr>
        <w:t xml:space="preserve">the </w:t>
      </w:r>
      <w:r w:rsidRPr="008C16C3">
        <w:rPr>
          <w:rFonts w:ascii="Times New Roman" w:hAnsi="Times New Roman"/>
          <w:lang w:eastAsia="en-GB"/>
        </w:rPr>
        <w:t>asylum claims</w:t>
      </w:r>
      <w:r w:rsidR="00E269DB">
        <w:rPr>
          <w:rFonts w:ascii="Times New Roman" w:hAnsi="Times New Roman"/>
          <w:lang w:eastAsia="en-GB"/>
        </w:rPr>
        <w:t xml:space="preserve"> in these proceedings</w:t>
      </w:r>
      <w:r w:rsidRPr="008C16C3">
        <w:rPr>
          <w:rFonts w:ascii="Times New Roman" w:hAnsi="Times New Roman"/>
          <w:lang w:eastAsia="en-GB"/>
        </w:rPr>
        <w:t xml:space="preserve">, </w:t>
      </w:r>
      <w:r>
        <w:rPr>
          <w:rFonts w:ascii="Times New Roman" w:hAnsi="Times New Roman"/>
          <w:lang w:eastAsia="en-GB"/>
        </w:rPr>
        <w:t>t</w:t>
      </w:r>
      <w:r w:rsidR="0094517E">
        <w:rPr>
          <w:rFonts w:ascii="Times New Roman" w:hAnsi="Times New Roman"/>
          <w:lang w:eastAsia="en-GB"/>
        </w:rPr>
        <w:t xml:space="preserve">he legal basis for the Rwanda policy </w:t>
      </w:r>
      <w:r>
        <w:rPr>
          <w:rFonts w:ascii="Times New Roman" w:hAnsi="Times New Roman"/>
          <w:lang w:eastAsia="en-GB"/>
        </w:rPr>
        <w:t>was</w:t>
      </w:r>
      <w:r w:rsidR="000F59D6">
        <w:rPr>
          <w:rFonts w:ascii="Times New Roman" w:hAnsi="Times New Roman"/>
          <w:lang w:eastAsia="en-GB"/>
        </w:rPr>
        <w:t xml:space="preserve"> set out in paragraphs 345A to 345D of the Immigration Rules, made </w:t>
      </w:r>
      <w:r w:rsidR="00851D93">
        <w:rPr>
          <w:rFonts w:ascii="Times New Roman" w:hAnsi="Times New Roman"/>
          <w:lang w:eastAsia="en-GB"/>
        </w:rPr>
        <w:t>in accordance with</w:t>
      </w:r>
      <w:r w:rsidR="00422907">
        <w:rPr>
          <w:rFonts w:ascii="Times New Roman" w:hAnsi="Times New Roman"/>
          <w:lang w:eastAsia="en-GB"/>
        </w:rPr>
        <w:t xml:space="preserve"> section 3 of the Immigration Act 1971. </w:t>
      </w:r>
      <w:r w:rsidR="00BD609E">
        <w:rPr>
          <w:rFonts w:ascii="Times New Roman" w:hAnsi="Times New Roman"/>
          <w:lang w:eastAsia="en-GB"/>
        </w:rPr>
        <w:t>Broadly speaking, th</w:t>
      </w:r>
      <w:r w:rsidR="000F7CDE">
        <w:rPr>
          <w:rFonts w:ascii="Times New Roman" w:hAnsi="Times New Roman"/>
          <w:lang w:eastAsia="en-GB"/>
        </w:rPr>
        <w:t>e</w:t>
      </w:r>
      <w:r w:rsidR="00BD609E">
        <w:rPr>
          <w:rFonts w:ascii="Times New Roman" w:hAnsi="Times New Roman"/>
          <w:lang w:eastAsia="en-GB"/>
        </w:rPr>
        <w:t>se</w:t>
      </w:r>
      <w:r w:rsidR="000F7CDE">
        <w:rPr>
          <w:rFonts w:ascii="Times New Roman" w:hAnsi="Times New Roman"/>
          <w:lang w:eastAsia="en-GB"/>
        </w:rPr>
        <w:t xml:space="preserve"> paragraphs permi</w:t>
      </w:r>
      <w:r w:rsidR="008D528A">
        <w:rPr>
          <w:rFonts w:ascii="Times New Roman" w:hAnsi="Times New Roman"/>
          <w:lang w:eastAsia="en-GB"/>
        </w:rPr>
        <w:t>t</w:t>
      </w:r>
      <w:r w:rsidR="000F7CDE">
        <w:rPr>
          <w:rFonts w:ascii="Times New Roman" w:hAnsi="Times New Roman"/>
          <w:lang w:eastAsia="en-GB"/>
        </w:rPr>
        <w:t xml:space="preserve"> the Home Secretary to </w:t>
      </w:r>
      <w:r w:rsidR="00BD609E">
        <w:rPr>
          <w:rFonts w:ascii="Times New Roman" w:hAnsi="Times New Roman"/>
          <w:lang w:eastAsia="en-GB"/>
        </w:rPr>
        <w:t>treat an asylum claim as inadmissibl</w:t>
      </w:r>
      <w:r w:rsidR="00B42165">
        <w:rPr>
          <w:rFonts w:ascii="Times New Roman" w:hAnsi="Times New Roman"/>
          <w:lang w:eastAsia="en-GB"/>
        </w:rPr>
        <w:t>e</w:t>
      </w:r>
      <w:r w:rsidR="00BD609E">
        <w:rPr>
          <w:rFonts w:ascii="Times New Roman" w:hAnsi="Times New Roman"/>
          <w:lang w:eastAsia="en-GB"/>
        </w:rPr>
        <w:t xml:space="preserve"> if the claimant </w:t>
      </w:r>
      <w:r w:rsidR="0001292B">
        <w:rPr>
          <w:rFonts w:ascii="Times New Roman" w:hAnsi="Times New Roman"/>
          <w:lang w:eastAsia="en-GB"/>
        </w:rPr>
        <w:t>had the opportunity to apply for asylum in a safe third country</w:t>
      </w:r>
      <w:r w:rsidR="0057226A">
        <w:rPr>
          <w:rFonts w:ascii="Times New Roman" w:hAnsi="Times New Roman"/>
          <w:lang w:eastAsia="en-GB"/>
        </w:rPr>
        <w:t xml:space="preserve"> </w:t>
      </w:r>
      <w:r w:rsidR="0001292B">
        <w:rPr>
          <w:rFonts w:ascii="Times New Roman" w:hAnsi="Times New Roman"/>
          <w:lang w:eastAsia="en-GB"/>
        </w:rPr>
        <w:t>but did not do so.</w:t>
      </w:r>
      <w:r w:rsidR="00954336">
        <w:rPr>
          <w:rFonts w:ascii="Times New Roman" w:hAnsi="Times New Roman"/>
          <w:lang w:eastAsia="en-GB"/>
        </w:rPr>
        <w:t xml:space="preserve"> </w:t>
      </w:r>
      <w:r w:rsidR="009F2FA6">
        <w:rPr>
          <w:rFonts w:ascii="Times New Roman" w:hAnsi="Times New Roman"/>
          <w:lang w:eastAsia="en-GB"/>
        </w:rPr>
        <w:t>The claimant can then be removed from the UK to any safe third country which</w:t>
      </w:r>
      <w:r w:rsidR="002E22C7">
        <w:rPr>
          <w:rFonts w:ascii="Times New Roman" w:hAnsi="Times New Roman"/>
          <w:lang w:eastAsia="en-GB"/>
        </w:rPr>
        <w:t xml:space="preserve"> agrees to accept them. </w:t>
      </w:r>
      <w:r w:rsidR="009925C1">
        <w:rPr>
          <w:rFonts w:ascii="Times New Roman" w:hAnsi="Times New Roman"/>
          <w:lang w:eastAsia="en-GB"/>
        </w:rPr>
        <w:t xml:space="preserve">Under paragraph 345B, a country </w:t>
      </w:r>
      <w:r w:rsidR="00396587">
        <w:rPr>
          <w:rFonts w:ascii="Times New Roman" w:hAnsi="Times New Roman"/>
          <w:lang w:eastAsia="en-GB"/>
        </w:rPr>
        <w:t xml:space="preserve">will </w:t>
      </w:r>
      <w:r w:rsidR="001C74E0">
        <w:rPr>
          <w:rFonts w:ascii="Times New Roman" w:hAnsi="Times New Roman"/>
          <w:lang w:eastAsia="en-GB"/>
        </w:rPr>
        <w:t xml:space="preserve">only qualify as a safe third country if the principle </w:t>
      </w:r>
      <w:r w:rsidR="00D50A76">
        <w:rPr>
          <w:rFonts w:ascii="Times New Roman" w:hAnsi="Times New Roman"/>
          <w:lang w:eastAsia="en-GB"/>
        </w:rPr>
        <w:t xml:space="preserve">of </w:t>
      </w:r>
      <w:r w:rsidR="00F7002D">
        <w:rPr>
          <w:rFonts w:ascii="Times New Roman" w:hAnsi="Times New Roman"/>
          <w:lang w:eastAsia="en-GB"/>
        </w:rPr>
        <w:t>“</w:t>
      </w:r>
      <w:r w:rsidR="00D50A76" w:rsidRPr="00F7002D">
        <w:rPr>
          <w:rFonts w:ascii="Times New Roman" w:hAnsi="Times New Roman"/>
          <w:b/>
          <w:bCs/>
          <w:lang w:eastAsia="en-GB"/>
        </w:rPr>
        <w:t>non-refoulement</w:t>
      </w:r>
      <w:r w:rsidR="00F7002D">
        <w:rPr>
          <w:rFonts w:ascii="Times New Roman" w:hAnsi="Times New Roman"/>
          <w:lang w:eastAsia="en-GB"/>
        </w:rPr>
        <w:t>”</w:t>
      </w:r>
      <w:r w:rsidR="00D50A76">
        <w:rPr>
          <w:rFonts w:ascii="Times New Roman" w:hAnsi="Times New Roman"/>
          <w:lang w:eastAsia="en-GB"/>
        </w:rPr>
        <w:t xml:space="preserve"> is respected</w:t>
      </w:r>
      <w:r w:rsidR="003D7B0C">
        <w:rPr>
          <w:rFonts w:ascii="Times New Roman" w:hAnsi="Times New Roman"/>
          <w:lang w:eastAsia="en-GB"/>
        </w:rPr>
        <w:t xml:space="preserve"> there</w:t>
      </w:r>
      <w:r w:rsidR="00D50A76">
        <w:rPr>
          <w:rFonts w:ascii="Times New Roman" w:hAnsi="Times New Roman"/>
          <w:lang w:eastAsia="en-GB"/>
        </w:rPr>
        <w:t xml:space="preserve">. </w:t>
      </w:r>
      <w:r w:rsidR="009573DF">
        <w:rPr>
          <w:rFonts w:ascii="Times New Roman" w:hAnsi="Times New Roman"/>
          <w:lang w:eastAsia="en-GB"/>
        </w:rPr>
        <w:t>This</w:t>
      </w:r>
      <w:r w:rsidR="007002A2">
        <w:rPr>
          <w:rFonts w:ascii="Times New Roman" w:hAnsi="Times New Roman"/>
          <w:lang w:eastAsia="en-GB"/>
        </w:rPr>
        <w:t xml:space="preserve"> </w:t>
      </w:r>
      <w:r w:rsidR="009027D0">
        <w:rPr>
          <w:rFonts w:ascii="Times New Roman" w:hAnsi="Times New Roman"/>
          <w:lang w:eastAsia="en-GB"/>
        </w:rPr>
        <w:t xml:space="preserve">principle </w:t>
      </w:r>
      <w:r w:rsidR="007002A2">
        <w:rPr>
          <w:rFonts w:ascii="Times New Roman" w:hAnsi="Times New Roman"/>
          <w:lang w:eastAsia="en-GB"/>
        </w:rPr>
        <w:t xml:space="preserve">requires that </w:t>
      </w:r>
      <w:r w:rsidR="00D57A77">
        <w:rPr>
          <w:rFonts w:ascii="Times New Roman" w:hAnsi="Times New Roman"/>
          <w:lang w:eastAsia="en-GB"/>
        </w:rPr>
        <w:t xml:space="preserve">asylum </w:t>
      </w:r>
      <w:r w:rsidR="00666B6A">
        <w:rPr>
          <w:rFonts w:ascii="Times New Roman" w:hAnsi="Times New Roman"/>
          <w:lang w:eastAsia="en-GB"/>
        </w:rPr>
        <w:t xml:space="preserve">seekers </w:t>
      </w:r>
      <w:r w:rsidR="007002A2">
        <w:rPr>
          <w:rFonts w:ascii="Times New Roman" w:hAnsi="Times New Roman"/>
          <w:lang w:eastAsia="en-GB"/>
        </w:rPr>
        <w:t xml:space="preserve">are not </w:t>
      </w:r>
      <w:r w:rsidR="008D022A">
        <w:rPr>
          <w:rFonts w:ascii="Times New Roman" w:hAnsi="Times New Roman"/>
          <w:lang w:eastAsia="en-GB"/>
        </w:rPr>
        <w:t>returned</w:t>
      </w:r>
      <w:r w:rsidR="00F13BA3">
        <w:rPr>
          <w:rFonts w:ascii="Times New Roman" w:hAnsi="Times New Roman"/>
          <w:lang w:eastAsia="en-GB"/>
        </w:rPr>
        <w:t>, directly or indirectly,</w:t>
      </w:r>
      <w:r w:rsidR="00E35CD3">
        <w:rPr>
          <w:rFonts w:ascii="Times New Roman" w:hAnsi="Times New Roman"/>
          <w:lang w:eastAsia="en-GB"/>
        </w:rPr>
        <w:t xml:space="preserve"> to</w:t>
      </w:r>
      <w:r w:rsidR="007002A2">
        <w:rPr>
          <w:rFonts w:ascii="Times New Roman" w:hAnsi="Times New Roman"/>
          <w:lang w:eastAsia="en-GB"/>
        </w:rPr>
        <w:t xml:space="preserve"> a country where </w:t>
      </w:r>
      <w:r w:rsidR="00AA0ACA">
        <w:rPr>
          <w:rFonts w:ascii="Times New Roman" w:hAnsi="Times New Roman"/>
          <w:lang w:eastAsia="en-GB"/>
        </w:rPr>
        <w:t>their life or freedom would be threatened</w:t>
      </w:r>
      <w:r w:rsidR="008D022A" w:rsidRPr="008D022A">
        <w:rPr>
          <w:rFonts w:ascii="Times New Roman" w:hAnsi="Times New Roman"/>
          <w:lang w:eastAsia="en-GB"/>
        </w:rPr>
        <w:t xml:space="preserve"> on account of their race, religion, nationality, membership of a particular social group or political opinion</w:t>
      </w:r>
      <w:r w:rsidR="00AA0ACA">
        <w:rPr>
          <w:rFonts w:ascii="Times New Roman" w:hAnsi="Times New Roman"/>
          <w:lang w:eastAsia="en-GB"/>
        </w:rPr>
        <w:t xml:space="preserve">, or they would </w:t>
      </w:r>
      <w:r w:rsidR="00EE015A">
        <w:rPr>
          <w:rFonts w:ascii="Times New Roman" w:hAnsi="Times New Roman"/>
          <w:lang w:eastAsia="en-GB"/>
        </w:rPr>
        <w:t xml:space="preserve">be at real risk of </w:t>
      </w:r>
      <w:r w:rsidR="00D57A77">
        <w:rPr>
          <w:rFonts w:ascii="Times New Roman" w:hAnsi="Times New Roman"/>
          <w:lang w:eastAsia="en-GB"/>
        </w:rPr>
        <w:t>torture or inhuman or degrading treatment.</w:t>
      </w:r>
      <w:r w:rsidR="007002A2">
        <w:rPr>
          <w:rFonts w:ascii="Times New Roman" w:hAnsi="Times New Roman"/>
          <w:lang w:eastAsia="en-GB"/>
        </w:rPr>
        <w:t xml:space="preserve"> </w:t>
      </w:r>
    </w:p>
    <w:p w14:paraId="70ACBCEB" w14:textId="56385162" w:rsidR="00AC26CA" w:rsidRDefault="0014260D" w:rsidP="00C1383F">
      <w:pPr>
        <w:rPr>
          <w:rFonts w:ascii="Times New Roman" w:hAnsi="Times New Roman"/>
          <w:lang w:eastAsia="en-GB"/>
        </w:rPr>
      </w:pPr>
      <w:r>
        <w:rPr>
          <w:rFonts w:ascii="Times New Roman" w:hAnsi="Times New Roman"/>
          <w:lang w:eastAsia="en-GB"/>
        </w:rPr>
        <w:t xml:space="preserve">On 13 </w:t>
      </w:r>
      <w:r w:rsidR="00596998">
        <w:rPr>
          <w:rFonts w:ascii="Times New Roman" w:hAnsi="Times New Roman"/>
          <w:lang w:eastAsia="en-GB"/>
        </w:rPr>
        <w:t xml:space="preserve">April 2022, the </w:t>
      </w:r>
      <w:r>
        <w:rPr>
          <w:rFonts w:ascii="Times New Roman" w:hAnsi="Times New Roman"/>
          <w:lang w:eastAsia="en-GB"/>
        </w:rPr>
        <w:t>UK and Rwandan governments entered into a Migration and Economic Development Partnership (“</w:t>
      </w:r>
      <w:r w:rsidRPr="00BF458B">
        <w:rPr>
          <w:rFonts w:ascii="Times New Roman" w:hAnsi="Times New Roman"/>
          <w:b/>
          <w:bCs/>
          <w:lang w:eastAsia="en-GB"/>
        </w:rPr>
        <w:t>MEDP</w:t>
      </w:r>
      <w:r>
        <w:rPr>
          <w:rFonts w:ascii="Times New Roman" w:hAnsi="Times New Roman"/>
          <w:lang w:eastAsia="en-GB"/>
        </w:rPr>
        <w:t xml:space="preserve">”), </w:t>
      </w:r>
      <w:r w:rsidR="00BF458B">
        <w:rPr>
          <w:rFonts w:ascii="Times New Roman" w:hAnsi="Times New Roman"/>
          <w:lang w:eastAsia="en-GB"/>
        </w:rPr>
        <w:t xml:space="preserve">recorded in </w:t>
      </w:r>
      <w:r w:rsidR="00BF458B" w:rsidRPr="00BF458B">
        <w:rPr>
          <w:rFonts w:ascii="Times New Roman" w:hAnsi="Times New Roman"/>
          <w:lang w:eastAsia="en-GB"/>
        </w:rPr>
        <w:t xml:space="preserve">a Memorandum of Understanding and </w:t>
      </w:r>
      <w:r w:rsidR="00BF458B">
        <w:rPr>
          <w:rFonts w:ascii="Times New Roman" w:hAnsi="Times New Roman"/>
          <w:lang w:eastAsia="en-GB"/>
        </w:rPr>
        <w:t>two</w:t>
      </w:r>
      <w:r w:rsidR="00BF458B" w:rsidRPr="00BF458B">
        <w:rPr>
          <w:rFonts w:ascii="Times New Roman" w:hAnsi="Times New Roman"/>
          <w:lang w:eastAsia="en-GB"/>
        </w:rPr>
        <w:t xml:space="preserve"> diplomatic </w:t>
      </w:r>
      <w:r w:rsidR="00BF458B">
        <w:rPr>
          <w:rFonts w:ascii="Times New Roman" w:hAnsi="Times New Roman"/>
          <w:lang w:eastAsia="en-GB"/>
        </w:rPr>
        <w:t>“</w:t>
      </w:r>
      <w:r w:rsidR="00BF458B" w:rsidRPr="00BF458B">
        <w:rPr>
          <w:rFonts w:ascii="Times New Roman" w:hAnsi="Times New Roman"/>
          <w:lang w:eastAsia="en-GB"/>
        </w:rPr>
        <w:t>Notes Verbales</w:t>
      </w:r>
      <w:r w:rsidR="00BF458B">
        <w:rPr>
          <w:rFonts w:ascii="Times New Roman" w:hAnsi="Times New Roman"/>
          <w:lang w:eastAsia="en-GB"/>
        </w:rPr>
        <w:t>”.</w:t>
      </w:r>
      <w:r w:rsidR="00A07378">
        <w:rPr>
          <w:rFonts w:ascii="Times New Roman" w:hAnsi="Times New Roman"/>
          <w:lang w:eastAsia="en-GB"/>
        </w:rPr>
        <w:t xml:space="preserve"> On the basis of the arrangements made and assurances given in the MEDP, the Home Secretary decided that Rwanda was a safe third country to which asylum </w:t>
      </w:r>
      <w:r w:rsidR="00783756">
        <w:rPr>
          <w:rFonts w:ascii="Times New Roman" w:hAnsi="Times New Roman"/>
          <w:lang w:eastAsia="en-GB"/>
        </w:rPr>
        <w:t>seekers</w:t>
      </w:r>
      <w:r w:rsidR="00A07378">
        <w:rPr>
          <w:rFonts w:ascii="Times New Roman" w:hAnsi="Times New Roman"/>
          <w:lang w:eastAsia="en-GB"/>
        </w:rPr>
        <w:t xml:space="preserve"> </w:t>
      </w:r>
      <w:r w:rsidR="006707EB">
        <w:rPr>
          <w:rFonts w:ascii="Times New Roman" w:hAnsi="Times New Roman"/>
          <w:lang w:eastAsia="en-GB"/>
        </w:rPr>
        <w:t>could be removed.</w:t>
      </w:r>
    </w:p>
    <w:p w14:paraId="50860AEC" w14:textId="11FD436E" w:rsidR="001E2EA4" w:rsidRDefault="00312A56" w:rsidP="00C1383F">
      <w:pPr>
        <w:rPr>
          <w:rFonts w:ascii="Times New Roman" w:hAnsi="Times New Roman"/>
          <w:lang w:eastAsia="en-GB"/>
        </w:rPr>
      </w:pPr>
      <w:r>
        <w:rPr>
          <w:rFonts w:ascii="Times New Roman" w:hAnsi="Times New Roman"/>
          <w:lang w:eastAsia="en-GB"/>
        </w:rPr>
        <w:t>A number of asylum</w:t>
      </w:r>
      <w:r w:rsidR="00666B6A">
        <w:rPr>
          <w:rFonts w:ascii="Times New Roman" w:hAnsi="Times New Roman"/>
          <w:lang w:eastAsia="en-GB"/>
        </w:rPr>
        <w:t xml:space="preserve"> seekers</w:t>
      </w:r>
      <w:r>
        <w:rPr>
          <w:rFonts w:ascii="Times New Roman" w:hAnsi="Times New Roman"/>
          <w:lang w:eastAsia="en-GB"/>
        </w:rPr>
        <w:t xml:space="preserve">, including the respondents to the Home Secretary’s appeal, </w:t>
      </w:r>
      <w:r w:rsidR="002975ED">
        <w:rPr>
          <w:rFonts w:ascii="Times New Roman" w:hAnsi="Times New Roman"/>
          <w:lang w:eastAsia="en-GB"/>
        </w:rPr>
        <w:t xml:space="preserve">challenged </w:t>
      </w:r>
      <w:r w:rsidR="00F07E54">
        <w:rPr>
          <w:rFonts w:ascii="Times New Roman" w:hAnsi="Times New Roman"/>
          <w:lang w:eastAsia="en-GB"/>
        </w:rPr>
        <w:t xml:space="preserve">both the lawfulness of the Rwanda policy and the Home Secretary’s decisions to remove each </w:t>
      </w:r>
      <w:r w:rsidR="00F14E1C">
        <w:rPr>
          <w:rFonts w:ascii="Times New Roman" w:hAnsi="Times New Roman"/>
          <w:lang w:eastAsia="en-GB"/>
        </w:rPr>
        <w:t xml:space="preserve">particular </w:t>
      </w:r>
      <w:r w:rsidR="00F07E54">
        <w:rPr>
          <w:rFonts w:ascii="Times New Roman" w:hAnsi="Times New Roman"/>
          <w:lang w:eastAsia="en-GB"/>
        </w:rPr>
        <w:t>claimant to Rwanda.</w:t>
      </w:r>
      <w:r w:rsidR="006805DB">
        <w:rPr>
          <w:rFonts w:ascii="Times New Roman" w:hAnsi="Times New Roman"/>
          <w:lang w:eastAsia="en-GB"/>
        </w:rPr>
        <w:t xml:space="preserve"> T</w:t>
      </w:r>
      <w:r w:rsidR="006805DB" w:rsidRPr="006805DB">
        <w:rPr>
          <w:rFonts w:ascii="Times New Roman" w:hAnsi="Times New Roman"/>
          <w:lang w:eastAsia="en-GB"/>
        </w:rPr>
        <w:t>he United Nations High Commissioner for Refugees (“</w:t>
      </w:r>
      <w:r w:rsidR="006805DB" w:rsidRPr="006805DB">
        <w:rPr>
          <w:rFonts w:ascii="Times New Roman" w:hAnsi="Times New Roman"/>
          <w:b/>
          <w:bCs/>
          <w:lang w:eastAsia="en-GB"/>
        </w:rPr>
        <w:t>UNHCR</w:t>
      </w:r>
      <w:r w:rsidR="006805DB" w:rsidRPr="006805DB">
        <w:rPr>
          <w:rFonts w:ascii="Times New Roman" w:hAnsi="Times New Roman"/>
          <w:lang w:eastAsia="en-GB"/>
        </w:rPr>
        <w:t xml:space="preserve">”), the UN Refugee Agency, </w:t>
      </w:r>
      <w:r w:rsidR="00AD26C4">
        <w:rPr>
          <w:rFonts w:ascii="Times New Roman" w:hAnsi="Times New Roman"/>
          <w:lang w:eastAsia="en-GB"/>
        </w:rPr>
        <w:t>intervened</w:t>
      </w:r>
      <w:r w:rsidR="006805DB">
        <w:rPr>
          <w:rFonts w:ascii="Times New Roman" w:hAnsi="Times New Roman"/>
          <w:lang w:eastAsia="en-GB"/>
        </w:rPr>
        <w:t xml:space="preserve"> in the proceedings.</w:t>
      </w:r>
      <w:r w:rsidR="00FE4D66">
        <w:rPr>
          <w:rFonts w:ascii="Times New Roman" w:hAnsi="Times New Roman"/>
          <w:lang w:eastAsia="en-GB"/>
        </w:rPr>
        <w:t xml:space="preserve"> </w:t>
      </w:r>
      <w:r w:rsidR="00527BB8">
        <w:rPr>
          <w:rFonts w:ascii="Times New Roman" w:hAnsi="Times New Roman"/>
          <w:lang w:eastAsia="en-GB"/>
        </w:rPr>
        <w:t>T</w:t>
      </w:r>
      <w:r w:rsidR="00F14E1C" w:rsidRPr="00F14E1C">
        <w:rPr>
          <w:rFonts w:ascii="Times New Roman" w:hAnsi="Times New Roman"/>
          <w:lang w:eastAsia="en-GB"/>
        </w:rPr>
        <w:t>he Divisional Court held that the Rwanda policy was, in principle, lawful. However, the way in which the Home Secretary had implemented the policy in the claimants</w:t>
      </w:r>
      <w:r w:rsidR="00F14E1C">
        <w:rPr>
          <w:rFonts w:ascii="Times New Roman" w:hAnsi="Times New Roman"/>
          <w:lang w:eastAsia="en-GB"/>
        </w:rPr>
        <w:t>’</w:t>
      </w:r>
      <w:r w:rsidR="00F14E1C" w:rsidRPr="00F14E1C">
        <w:rPr>
          <w:rFonts w:ascii="Times New Roman" w:hAnsi="Times New Roman"/>
          <w:lang w:eastAsia="en-GB"/>
        </w:rPr>
        <w:t xml:space="preserve"> individual cases was procedurally flawed. </w:t>
      </w:r>
      <w:r w:rsidR="00C105FB">
        <w:rPr>
          <w:rFonts w:ascii="Times New Roman" w:hAnsi="Times New Roman"/>
          <w:lang w:eastAsia="en-GB"/>
        </w:rPr>
        <w:t>The</w:t>
      </w:r>
      <w:r w:rsidR="00F14E1C" w:rsidRPr="00F14E1C">
        <w:rPr>
          <w:rFonts w:ascii="Times New Roman" w:hAnsi="Times New Roman"/>
          <w:lang w:eastAsia="en-GB"/>
        </w:rPr>
        <w:t xml:space="preserve"> decisions in those cases would</w:t>
      </w:r>
      <w:r w:rsidR="003A0411">
        <w:rPr>
          <w:rFonts w:ascii="Times New Roman" w:hAnsi="Times New Roman"/>
          <w:lang w:eastAsia="en-GB"/>
        </w:rPr>
        <w:t xml:space="preserve"> </w:t>
      </w:r>
      <w:r w:rsidR="00AB41C7">
        <w:rPr>
          <w:rFonts w:ascii="Times New Roman" w:hAnsi="Times New Roman"/>
          <w:lang w:eastAsia="en-GB"/>
        </w:rPr>
        <w:t>consequently</w:t>
      </w:r>
      <w:r w:rsidR="00F14E1C" w:rsidRPr="00F14E1C">
        <w:rPr>
          <w:rFonts w:ascii="Times New Roman" w:hAnsi="Times New Roman"/>
          <w:lang w:eastAsia="en-GB"/>
        </w:rPr>
        <w:t xml:space="preserve"> be quashed and remitted to </w:t>
      </w:r>
      <w:r w:rsidR="00C105FB">
        <w:rPr>
          <w:rFonts w:ascii="Times New Roman" w:hAnsi="Times New Roman"/>
          <w:lang w:eastAsia="en-GB"/>
        </w:rPr>
        <w:t>the Home Secretary</w:t>
      </w:r>
      <w:r w:rsidR="00F14E1C" w:rsidRPr="00F14E1C">
        <w:rPr>
          <w:rFonts w:ascii="Times New Roman" w:hAnsi="Times New Roman"/>
          <w:lang w:eastAsia="en-GB"/>
        </w:rPr>
        <w:t xml:space="preserve"> for reconsideration.</w:t>
      </w:r>
      <w:r w:rsidR="005609C3">
        <w:rPr>
          <w:rFonts w:ascii="Times New Roman" w:hAnsi="Times New Roman"/>
          <w:lang w:eastAsia="en-GB"/>
        </w:rPr>
        <w:t xml:space="preserve"> </w:t>
      </w:r>
    </w:p>
    <w:p w14:paraId="2BB9929C" w14:textId="7862F325" w:rsidR="00E04A20" w:rsidRDefault="00CF1A08" w:rsidP="00C1383F">
      <w:pPr>
        <w:rPr>
          <w:rFonts w:ascii="Times New Roman" w:hAnsi="Times New Roman"/>
          <w:lang w:eastAsia="en-GB"/>
        </w:rPr>
      </w:pPr>
      <w:r>
        <w:rPr>
          <w:rFonts w:ascii="Times New Roman" w:hAnsi="Times New Roman"/>
          <w:lang w:eastAsia="en-GB"/>
        </w:rPr>
        <w:t>The appeal to the Court of Appeal concerned only the challenge to the lawfulness of the Rwanda policy</w:t>
      </w:r>
      <w:r w:rsidR="002D0A62">
        <w:rPr>
          <w:rFonts w:ascii="Times New Roman" w:hAnsi="Times New Roman"/>
          <w:lang w:eastAsia="en-GB"/>
        </w:rPr>
        <w:t>. By a majority, the Court</w:t>
      </w:r>
      <w:r w:rsidR="00185999">
        <w:rPr>
          <w:rFonts w:ascii="Times New Roman" w:hAnsi="Times New Roman"/>
          <w:lang w:eastAsia="en-GB"/>
        </w:rPr>
        <w:t xml:space="preserve"> of Appeal</w:t>
      </w:r>
      <w:r w:rsidR="002D0A62">
        <w:rPr>
          <w:rFonts w:ascii="Times New Roman" w:hAnsi="Times New Roman"/>
          <w:lang w:eastAsia="en-GB"/>
        </w:rPr>
        <w:t xml:space="preserve"> </w:t>
      </w:r>
      <w:r w:rsidR="00926122">
        <w:rPr>
          <w:rFonts w:ascii="Times New Roman" w:hAnsi="Times New Roman"/>
          <w:lang w:eastAsia="en-GB"/>
        </w:rPr>
        <w:t xml:space="preserve">held that </w:t>
      </w:r>
      <w:r w:rsidR="00BC324A">
        <w:rPr>
          <w:rFonts w:ascii="Times New Roman" w:hAnsi="Times New Roman"/>
          <w:lang w:eastAsia="en-GB"/>
        </w:rPr>
        <w:t>the Rwanda policy was unlawful</w:t>
      </w:r>
      <w:r w:rsidR="00556F37">
        <w:rPr>
          <w:rFonts w:ascii="Times New Roman" w:hAnsi="Times New Roman"/>
          <w:lang w:eastAsia="en-GB"/>
        </w:rPr>
        <w:t xml:space="preserve">. This was because, on the evidence before the Divisional Court, there were substantial grounds for believing </w:t>
      </w:r>
      <w:r w:rsidR="0068018A">
        <w:rPr>
          <w:rFonts w:ascii="Times New Roman" w:hAnsi="Times New Roman"/>
          <w:lang w:eastAsia="en-GB"/>
        </w:rPr>
        <w:t xml:space="preserve">that there were real risks that asylum claims would not be properly determined by the Rwandan authorities. </w:t>
      </w:r>
      <w:r w:rsidR="00FA4D32">
        <w:rPr>
          <w:rFonts w:ascii="Times New Roman" w:hAnsi="Times New Roman"/>
          <w:lang w:eastAsia="en-GB"/>
        </w:rPr>
        <w:t>There were, therefore, real risks of refoulement</w:t>
      </w:r>
      <w:r w:rsidR="00301549">
        <w:rPr>
          <w:rFonts w:ascii="Times New Roman" w:hAnsi="Times New Roman"/>
          <w:lang w:eastAsia="en-GB"/>
        </w:rPr>
        <w:t xml:space="preserve">. </w:t>
      </w:r>
      <w:r w:rsidR="00F10F4F">
        <w:rPr>
          <w:rFonts w:ascii="Times New Roman" w:hAnsi="Times New Roman"/>
          <w:lang w:eastAsia="en-GB"/>
        </w:rPr>
        <w:t xml:space="preserve">Accordingly, </w:t>
      </w:r>
      <w:r w:rsidR="008033D1">
        <w:rPr>
          <w:rFonts w:ascii="Times New Roman" w:hAnsi="Times New Roman"/>
          <w:lang w:eastAsia="en-GB"/>
        </w:rPr>
        <w:t xml:space="preserve">unless and </w:t>
      </w:r>
      <w:r w:rsidR="00F10F4F">
        <w:rPr>
          <w:rFonts w:ascii="Times New Roman" w:hAnsi="Times New Roman"/>
          <w:lang w:eastAsia="en-GB"/>
        </w:rPr>
        <w:t>un</w:t>
      </w:r>
      <w:r w:rsidR="00D51814">
        <w:rPr>
          <w:rFonts w:ascii="Times New Roman" w:hAnsi="Times New Roman"/>
          <w:lang w:eastAsia="en-GB"/>
        </w:rPr>
        <w:t>til</w:t>
      </w:r>
      <w:r w:rsidR="00F10F4F">
        <w:rPr>
          <w:rFonts w:ascii="Times New Roman" w:hAnsi="Times New Roman"/>
          <w:lang w:eastAsia="en-GB"/>
        </w:rPr>
        <w:t xml:space="preserve"> the deficiencies in the Rwandan </w:t>
      </w:r>
      <w:r w:rsidR="00D51814">
        <w:rPr>
          <w:rFonts w:ascii="Times New Roman" w:hAnsi="Times New Roman"/>
          <w:lang w:eastAsia="en-GB"/>
        </w:rPr>
        <w:t xml:space="preserve">asylum system </w:t>
      </w:r>
      <w:r w:rsidR="00355478">
        <w:rPr>
          <w:rFonts w:ascii="Times New Roman" w:hAnsi="Times New Roman"/>
          <w:lang w:eastAsia="en-GB"/>
        </w:rPr>
        <w:t xml:space="preserve">were </w:t>
      </w:r>
      <w:r w:rsidR="00D51814">
        <w:rPr>
          <w:rFonts w:ascii="Times New Roman" w:hAnsi="Times New Roman"/>
          <w:lang w:eastAsia="en-GB"/>
        </w:rPr>
        <w:t xml:space="preserve">corrected, </w:t>
      </w:r>
      <w:r w:rsidR="00B72BBE">
        <w:rPr>
          <w:rFonts w:ascii="Times New Roman" w:hAnsi="Times New Roman"/>
          <w:lang w:eastAsia="en-GB"/>
        </w:rPr>
        <w:t>any</w:t>
      </w:r>
      <w:r w:rsidR="008033D1">
        <w:rPr>
          <w:rFonts w:ascii="Times New Roman" w:hAnsi="Times New Roman"/>
          <w:lang w:eastAsia="en-GB"/>
        </w:rPr>
        <w:t xml:space="preserve"> removal of asylum seekers to Rwanda under the MEDP w</w:t>
      </w:r>
      <w:r w:rsidR="00B72BBE">
        <w:rPr>
          <w:rFonts w:ascii="Times New Roman" w:hAnsi="Times New Roman"/>
          <w:lang w:eastAsia="en-GB"/>
        </w:rPr>
        <w:t xml:space="preserve">ould </w:t>
      </w:r>
      <w:r w:rsidR="008033D1">
        <w:rPr>
          <w:rFonts w:ascii="Times New Roman" w:hAnsi="Times New Roman"/>
          <w:lang w:eastAsia="en-GB"/>
        </w:rPr>
        <w:t>breach section 6 of the Human Rights Act 1998</w:t>
      </w:r>
      <w:r w:rsidR="00BE62DF">
        <w:rPr>
          <w:rFonts w:ascii="Times New Roman" w:hAnsi="Times New Roman"/>
          <w:lang w:eastAsia="en-GB"/>
        </w:rPr>
        <w:t>.</w:t>
      </w:r>
    </w:p>
    <w:p w14:paraId="5D7D3431" w14:textId="1B93175D" w:rsidR="00E04A20" w:rsidRDefault="00240B70" w:rsidP="00C1383F">
      <w:pPr>
        <w:rPr>
          <w:rFonts w:ascii="Times New Roman" w:hAnsi="Times New Roman"/>
          <w:lang w:eastAsia="en-GB"/>
        </w:rPr>
      </w:pPr>
      <w:r>
        <w:rPr>
          <w:rFonts w:ascii="Times New Roman" w:hAnsi="Times New Roman"/>
          <w:lang w:eastAsia="en-GB"/>
        </w:rPr>
        <w:t>The Court of Appeal reject</w:t>
      </w:r>
      <w:r w:rsidR="00355478">
        <w:rPr>
          <w:rFonts w:ascii="Times New Roman" w:hAnsi="Times New Roman"/>
          <w:lang w:eastAsia="en-GB"/>
        </w:rPr>
        <w:t xml:space="preserve">ed </w:t>
      </w:r>
      <w:r>
        <w:rPr>
          <w:rFonts w:ascii="Times New Roman" w:hAnsi="Times New Roman"/>
          <w:lang w:eastAsia="en-GB"/>
        </w:rPr>
        <w:t xml:space="preserve">an argument that the Rwanda </w:t>
      </w:r>
      <w:r w:rsidR="003C1C74">
        <w:rPr>
          <w:rFonts w:ascii="Times New Roman" w:hAnsi="Times New Roman"/>
          <w:lang w:eastAsia="en-GB"/>
        </w:rPr>
        <w:t>policy is also incompatible with</w:t>
      </w:r>
      <w:r w:rsidR="00323FF2">
        <w:rPr>
          <w:rFonts w:ascii="Times New Roman" w:hAnsi="Times New Roman"/>
          <w:lang w:eastAsia="en-GB"/>
        </w:rPr>
        <w:t xml:space="preserve"> retained EU law</w:t>
      </w:r>
      <w:r w:rsidR="009C66A4">
        <w:rPr>
          <w:rFonts w:ascii="Times New Roman" w:hAnsi="Times New Roman"/>
          <w:lang w:eastAsia="en-GB"/>
        </w:rPr>
        <w:t xml:space="preserve">, </w:t>
      </w:r>
      <w:r w:rsidR="009C66A4" w:rsidRPr="009C66A4">
        <w:rPr>
          <w:rFonts w:ascii="Times New Roman" w:hAnsi="Times New Roman"/>
          <w:lang w:eastAsia="en-GB"/>
        </w:rPr>
        <w:t xml:space="preserve">namely Council Directive 2005/85/EC of 1 December 2005 on minimum standards </w:t>
      </w:r>
      <w:r w:rsidR="00A63D25">
        <w:rPr>
          <w:rFonts w:ascii="Times New Roman" w:hAnsi="Times New Roman"/>
          <w:lang w:eastAsia="en-GB"/>
        </w:rPr>
        <w:t xml:space="preserve">on procedures </w:t>
      </w:r>
      <w:r w:rsidR="009C66A4" w:rsidRPr="009C66A4">
        <w:rPr>
          <w:rFonts w:ascii="Times New Roman" w:hAnsi="Times New Roman"/>
          <w:lang w:eastAsia="en-GB"/>
        </w:rPr>
        <w:t xml:space="preserve">in member states for granting and withdrawing refugee status (“the </w:t>
      </w:r>
      <w:r w:rsidR="009C66A4" w:rsidRPr="009C66A4">
        <w:rPr>
          <w:rFonts w:ascii="Times New Roman" w:hAnsi="Times New Roman"/>
          <w:b/>
          <w:bCs/>
          <w:lang w:eastAsia="en-GB"/>
        </w:rPr>
        <w:t>Procedures Directive</w:t>
      </w:r>
      <w:r w:rsidR="009C66A4" w:rsidRPr="009C66A4">
        <w:rPr>
          <w:rFonts w:ascii="Times New Roman" w:hAnsi="Times New Roman"/>
          <w:lang w:eastAsia="en-GB"/>
        </w:rPr>
        <w:t>”).</w:t>
      </w:r>
      <w:r w:rsidR="00D42BA6">
        <w:rPr>
          <w:rFonts w:ascii="Times New Roman" w:hAnsi="Times New Roman"/>
          <w:lang w:eastAsia="en-GB"/>
        </w:rPr>
        <w:t xml:space="preserve"> </w:t>
      </w:r>
      <w:r w:rsidR="00261A72">
        <w:rPr>
          <w:rFonts w:ascii="Times New Roman" w:hAnsi="Times New Roman"/>
          <w:lang w:eastAsia="en-GB"/>
        </w:rPr>
        <w:t xml:space="preserve">This is relevant because </w:t>
      </w:r>
      <w:r w:rsidR="00AE274A">
        <w:rPr>
          <w:rFonts w:ascii="Times New Roman" w:eastAsia="Times New Roman" w:hAnsi="Times New Roman"/>
          <w:lang w:eastAsia="en-GB"/>
        </w:rPr>
        <w:t xml:space="preserve">articles 25 and 27 of </w:t>
      </w:r>
      <w:r w:rsidR="00261A72">
        <w:rPr>
          <w:rFonts w:ascii="Times New Roman" w:hAnsi="Times New Roman"/>
          <w:lang w:eastAsia="en-GB"/>
        </w:rPr>
        <w:t>the Procedures</w:t>
      </w:r>
      <w:r w:rsidR="00261A72" w:rsidRPr="00261A72">
        <w:rPr>
          <w:rFonts w:ascii="Times New Roman" w:hAnsi="Times New Roman"/>
          <w:lang w:eastAsia="en-GB"/>
        </w:rPr>
        <w:t xml:space="preserve"> Directive only permit asylum seekers to be removed to a safe third country if they have some </w:t>
      </w:r>
      <w:r w:rsidR="00261A72" w:rsidRPr="00261A72">
        <w:rPr>
          <w:rFonts w:ascii="Times New Roman" w:hAnsi="Times New Roman"/>
          <w:lang w:eastAsia="en-GB"/>
        </w:rPr>
        <w:lastRenderedPageBreak/>
        <w:t>connection to it. None of the</w:t>
      </w:r>
      <w:r w:rsidR="00ED61F8">
        <w:rPr>
          <w:rFonts w:ascii="Times New Roman" w:hAnsi="Times New Roman"/>
          <w:lang w:eastAsia="en-GB"/>
        </w:rPr>
        <w:t xml:space="preserve"> asylum seekers in these proceedings</w:t>
      </w:r>
      <w:r w:rsidR="00261A72" w:rsidRPr="00261A72">
        <w:rPr>
          <w:rFonts w:ascii="Times New Roman" w:hAnsi="Times New Roman"/>
          <w:lang w:eastAsia="en-GB"/>
        </w:rPr>
        <w:t xml:space="preserve"> has any connection to Rwanda.</w:t>
      </w:r>
    </w:p>
    <w:p w14:paraId="0FC09D67" w14:textId="7562F83A" w:rsidR="0051371F" w:rsidRDefault="0051371F" w:rsidP="00C1383F">
      <w:pPr>
        <w:rPr>
          <w:rFonts w:ascii="Times New Roman" w:hAnsi="Times New Roman"/>
          <w:lang w:eastAsia="en-GB"/>
        </w:rPr>
      </w:pPr>
      <w:r>
        <w:rPr>
          <w:rFonts w:ascii="Times New Roman" w:hAnsi="Times New Roman"/>
          <w:lang w:eastAsia="en-GB"/>
        </w:rPr>
        <w:t xml:space="preserve">The Home Secretary </w:t>
      </w:r>
      <w:r w:rsidR="00565F46">
        <w:rPr>
          <w:rFonts w:ascii="Times New Roman" w:hAnsi="Times New Roman"/>
          <w:lang w:eastAsia="en-GB"/>
        </w:rPr>
        <w:t>appeals to the Supreme Court</w:t>
      </w:r>
      <w:r w:rsidR="00422784">
        <w:rPr>
          <w:rFonts w:ascii="Times New Roman" w:hAnsi="Times New Roman"/>
          <w:lang w:eastAsia="en-GB"/>
        </w:rPr>
        <w:t xml:space="preserve"> against the Court of Appeal’s decision</w:t>
      </w:r>
      <w:r w:rsidR="00565F46">
        <w:rPr>
          <w:rFonts w:ascii="Times New Roman" w:hAnsi="Times New Roman"/>
          <w:lang w:eastAsia="en-GB"/>
        </w:rPr>
        <w:t xml:space="preserve"> on the refoulement ground. ASM (Iraq) </w:t>
      </w:r>
      <w:r w:rsidR="00A111F3">
        <w:rPr>
          <w:rFonts w:ascii="Times New Roman" w:hAnsi="Times New Roman"/>
          <w:lang w:eastAsia="en-GB"/>
        </w:rPr>
        <w:t>cross</w:t>
      </w:r>
      <w:r w:rsidR="00106C7A">
        <w:rPr>
          <w:rFonts w:ascii="Times New Roman" w:hAnsi="Times New Roman"/>
          <w:lang w:eastAsia="en-GB"/>
        </w:rPr>
        <w:t xml:space="preserve"> </w:t>
      </w:r>
      <w:r w:rsidR="00565F46">
        <w:rPr>
          <w:rFonts w:ascii="Times New Roman" w:hAnsi="Times New Roman"/>
          <w:lang w:eastAsia="en-GB"/>
        </w:rPr>
        <w:t>appeals</w:t>
      </w:r>
      <w:r w:rsidR="00422784">
        <w:rPr>
          <w:rFonts w:ascii="Times New Roman" w:hAnsi="Times New Roman"/>
          <w:lang w:eastAsia="en-GB"/>
        </w:rPr>
        <w:t xml:space="preserve"> against the Court of Appeal’s </w:t>
      </w:r>
      <w:r w:rsidR="00FD2308">
        <w:rPr>
          <w:rFonts w:ascii="Times New Roman" w:hAnsi="Times New Roman"/>
          <w:lang w:eastAsia="en-GB"/>
        </w:rPr>
        <w:t>decision</w:t>
      </w:r>
      <w:r w:rsidR="00565F46">
        <w:rPr>
          <w:rFonts w:ascii="Times New Roman" w:hAnsi="Times New Roman"/>
          <w:lang w:eastAsia="en-GB"/>
        </w:rPr>
        <w:t xml:space="preserve"> on t</w:t>
      </w:r>
      <w:r w:rsidR="00292EE9">
        <w:rPr>
          <w:rFonts w:ascii="Times New Roman" w:hAnsi="Times New Roman"/>
          <w:lang w:eastAsia="en-GB"/>
        </w:rPr>
        <w:t>he retained EU law ground.</w:t>
      </w:r>
    </w:p>
    <w:p w14:paraId="0447D18B" w14:textId="77777777" w:rsidR="00021E35" w:rsidRDefault="00021E35" w:rsidP="00C1383F">
      <w:pPr>
        <w:pStyle w:val="Heading5"/>
        <w:rPr>
          <w:rFonts w:ascii="Times New Roman" w:eastAsia="Times New Roman" w:hAnsi="Times New Roman" w:cs="Times New Roman"/>
          <w:lang w:eastAsia="en-GB"/>
        </w:rPr>
      </w:pPr>
      <w:r w:rsidRPr="62CAF38F">
        <w:rPr>
          <w:rFonts w:ascii="Times New Roman" w:eastAsia="Times New Roman" w:hAnsi="Times New Roman" w:cs="Times New Roman"/>
          <w:lang w:eastAsia="en-GB"/>
        </w:rPr>
        <w:t>Judgment</w:t>
      </w:r>
    </w:p>
    <w:p w14:paraId="4E373160" w14:textId="4785388B" w:rsidR="000E524D" w:rsidRPr="00ED45C8" w:rsidRDefault="00EE415F" w:rsidP="00C1383F">
      <w:pPr>
        <w:rPr>
          <w:rFonts w:ascii="Times New Roman" w:eastAsia="Times New Roman" w:hAnsi="Times New Roman"/>
          <w:lang w:eastAsia="en-GB"/>
        </w:rPr>
      </w:pPr>
      <w:r>
        <w:rPr>
          <w:rFonts w:ascii="Times New Roman" w:eastAsia="Times New Roman" w:hAnsi="Times New Roman"/>
          <w:lang w:eastAsia="en-GB"/>
        </w:rPr>
        <w:t xml:space="preserve">The Supreme Court </w:t>
      </w:r>
      <w:r w:rsidR="00865201">
        <w:rPr>
          <w:rFonts w:ascii="Times New Roman" w:eastAsia="Times New Roman" w:hAnsi="Times New Roman"/>
          <w:lang w:eastAsia="en-GB"/>
        </w:rPr>
        <w:t>unanimously dismisses the Home Secretary’s appeal</w:t>
      </w:r>
      <w:r w:rsidR="00EF1634">
        <w:rPr>
          <w:rFonts w:ascii="Times New Roman" w:eastAsia="Times New Roman" w:hAnsi="Times New Roman"/>
          <w:lang w:eastAsia="en-GB"/>
        </w:rPr>
        <w:t xml:space="preserve">, and </w:t>
      </w:r>
      <w:r w:rsidR="000F2C32">
        <w:rPr>
          <w:rFonts w:ascii="Times New Roman" w:eastAsia="Times New Roman" w:hAnsi="Times New Roman"/>
          <w:lang w:eastAsia="en-GB"/>
        </w:rPr>
        <w:t>upholds the Court of Appeal’s conclusion that the Rwanda policy is unlawful</w:t>
      </w:r>
      <w:r w:rsidR="00EF1634">
        <w:rPr>
          <w:rFonts w:ascii="Times New Roman" w:eastAsia="Times New Roman" w:hAnsi="Times New Roman"/>
          <w:lang w:eastAsia="en-GB"/>
        </w:rPr>
        <w:t>. This is</w:t>
      </w:r>
      <w:r w:rsidR="001E2641">
        <w:rPr>
          <w:rFonts w:ascii="Times New Roman" w:eastAsia="Times New Roman" w:hAnsi="Times New Roman"/>
          <w:lang w:eastAsia="en-GB"/>
        </w:rPr>
        <w:t xml:space="preserve"> because there are </w:t>
      </w:r>
      <w:r w:rsidR="001E2641" w:rsidRPr="00F80DFA">
        <w:rPr>
          <w:rFonts w:ascii="Times New Roman" w:eastAsia="Times New Roman" w:hAnsi="Times New Roman"/>
          <w:lang w:eastAsia="en-GB"/>
        </w:rPr>
        <w:t>substantial grounds for</w:t>
      </w:r>
      <w:r w:rsidR="001E2641">
        <w:rPr>
          <w:rFonts w:ascii="Times New Roman" w:eastAsia="Times New Roman" w:hAnsi="Times New Roman"/>
          <w:lang w:eastAsia="en-GB"/>
        </w:rPr>
        <w:t xml:space="preserve"> believing</w:t>
      </w:r>
      <w:r w:rsidR="001E2641" w:rsidRPr="00F80DFA">
        <w:rPr>
          <w:rFonts w:ascii="Times New Roman" w:eastAsia="Times New Roman" w:hAnsi="Times New Roman"/>
          <w:lang w:eastAsia="en-GB"/>
        </w:rPr>
        <w:t xml:space="preserve"> that asylum </w:t>
      </w:r>
      <w:r w:rsidR="00666B6A">
        <w:rPr>
          <w:rFonts w:ascii="Times New Roman" w:eastAsia="Times New Roman" w:hAnsi="Times New Roman"/>
          <w:lang w:eastAsia="en-GB"/>
        </w:rPr>
        <w:t>seekers</w:t>
      </w:r>
      <w:r w:rsidR="00622E3B">
        <w:rPr>
          <w:rFonts w:ascii="Times New Roman" w:eastAsia="Times New Roman" w:hAnsi="Times New Roman"/>
          <w:lang w:eastAsia="en-GB"/>
        </w:rPr>
        <w:t xml:space="preserve"> </w:t>
      </w:r>
      <w:r w:rsidR="001E2641" w:rsidRPr="00F80DFA">
        <w:rPr>
          <w:rFonts w:ascii="Times New Roman" w:eastAsia="Times New Roman" w:hAnsi="Times New Roman"/>
          <w:lang w:eastAsia="en-GB"/>
        </w:rPr>
        <w:t xml:space="preserve">would face a real risk of ill-treatment by reason of refoulement </w:t>
      </w:r>
      <w:r w:rsidR="00534FC9">
        <w:rPr>
          <w:rFonts w:ascii="Times New Roman" w:eastAsia="Times New Roman" w:hAnsi="Times New Roman"/>
          <w:lang w:eastAsia="en-GB"/>
        </w:rPr>
        <w:t xml:space="preserve">to their country of origin </w:t>
      </w:r>
      <w:r w:rsidR="001E2641">
        <w:rPr>
          <w:rFonts w:ascii="Times New Roman" w:eastAsia="Times New Roman" w:hAnsi="Times New Roman"/>
          <w:lang w:eastAsia="en-GB"/>
        </w:rPr>
        <w:t xml:space="preserve">if they were </w:t>
      </w:r>
      <w:r w:rsidR="001E2641" w:rsidRPr="00F80DFA">
        <w:rPr>
          <w:rFonts w:ascii="Times New Roman" w:eastAsia="Times New Roman" w:hAnsi="Times New Roman"/>
          <w:lang w:eastAsia="en-GB"/>
        </w:rPr>
        <w:t>remo</w:t>
      </w:r>
      <w:r w:rsidR="001E2641">
        <w:rPr>
          <w:rFonts w:ascii="Times New Roman" w:eastAsia="Times New Roman" w:hAnsi="Times New Roman"/>
          <w:lang w:eastAsia="en-GB"/>
        </w:rPr>
        <w:t xml:space="preserve">ved </w:t>
      </w:r>
      <w:r w:rsidR="001E2641" w:rsidRPr="00F80DFA">
        <w:rPr>
          <w:rFonts w:ascii="Times New Roman" w:eastAsia="Times New Roman" w:hAnsi="Times New Roman"/>
          <w:lang w:eastAsia="en-GB"/>
        </w:rPr>
        <w:t>to Rwanda</w:t>
      </w:r>
      <w:r w:rsidR="001E2641">
        <w:rPr>
          <w:rFonts w:ascii="Times New Roman" w:eastAsia="Times New Roman" w:hAnsi="Times New Roman"/>
          <w:lang w:eastAsia="en-GB"/>
        </w:rPr>
        <w:t>.</w:t>
      </w:r>
      <w:r w:rsidR="00A27754">
        <w:rPr>
          <w:rFonts w:ascii="Times New Roman" w:eastAsia="Times New Roman" w:hAnsi="Times New Roman"/>
          <w:lang w:eastAsia="en-GB"/>
        </w:rPr>
        <w:t xml:space="preserve"> </w:t>
      </w:r>
      <w:r w:rsidR="000E524D">
        <w:rPr>
          <w:rFonts w:ascii="Times New Roman" w:eastAsia="Times New Roman" w:hAnsi="Times New Roman"/>
          <w:lang w:eastAsia="en-GB"/>
        </w:rPr>
        <w:t xml:space="preserve">Lord Reed and Lord Lloyd-Jones give a joint judgment with which the other members of the </w:t>
      </w:r>
      <w:r w:rsidR="006020A8">
        <w:rPr>
          <w:rFonts w:ascii="Times New Roman" w:eastAsia="Times New Roman" w:hAnsi="Times New Roman"/>
          <w:lang w:eastAsia="en-GB"/>
        </w:rPr>
        <w:t>C</w:t>
      </w:r>
      <w:r w:rsidR="000E524D">
        <w:rPr>
          <w:rFonts w:ascii="Times New Roman" w:eastAsia="Times New Roman" w:hAnsi="Times New Roman"/>
          <w:lang w:eastAsia="en-GB"/>
        </w:rPr>
        <w:t>ourt agree.</w:t>
      </w:r>
    </w:p>
    <w:p w14:paraId="40652E47" w14:textId="77777777" w:rsidR="00021E35" w:rsidRDefault="00021E35" w:rsidP="00C1383F">
      <w:pPr>
        <w:pStyle w:val="Heading5"/>
        <w:rPr>
          <w:rFonts w:ascii="Times New Roman" w:eastAsia="Times New Roman" w:hAnsi="Times New Roman" w:cs="Times New Roman"/>
          <w:lang w:eastAsia="en-GB"/>
        </w:rPr>
      </w:pPr>
      <w:r w:rsidRPr="62CAF38F">
        <w:rPr>
          <w:rFonts w:ascii="Times New Roman" w:eastAsia="Times New Roman" w:hAnsi="Times New Roman" w:cs="Times New Roman"/>
          <w:lang w:eastAsia="en-GB"/>
        </w:rPr>
        <w:t>Reasons for the Judgment</w:t>
      </w:r>
    </w:p>
    <w:p w14:paraId="3ECE1C98" w14:textId="006ABD79" w:rsidR="00ED4310" w:rsidRPr="00DE27B5" w:rsidRDefault="00367A63" w:rsidP="00C1383F">
      <w:pPr>
        <w:rPr>
          <w:rFonts w:ascii="Times New Roman" w:hAnsi="Times New Roman"/>
          <w:lang w:eastAsia="en-GB"/>
        </w:rPr>
      </w:pPr>
      <w:r>
        <w:rPr>
          <w:rFonts w:ascii="Times New Roman" w:hAnsi="Times New Roman"/>
          <w:lang w:eastAsia="en-GB"/>
        </w:rPr>
        <w:t>The</w:t>
      </w:r>
      <w:r w:rsidR="00AE5306">
        <w:rPr>
          <w:rFonts w:ascii="Times New Roman" w:hAnsi="Times New Roman"/>
          <w:lang w:eastAsia="en-GB"/>
        </w:rPr>
        <w:t xml:space="preserve"> Supreme Court’s</w:t>
      </w:r>
      <w:r>
        <w:rPr>
          <w:rFonts w:ascii="Times New Roman" w:hAnsi="Times New Roman"/>
          <w:lang w:eastAsia="en-GB"/>
        </w:rPr>
        <w:t xml:space="preserve"> judgment focusses primarily on the grounds of appeal concerning: (1) ref</w:t>
      </w:r>
      <w:r w:rsidR="00CC7E88">
        <w:rPr>
          <w:rFonts w:ascii="Times New Roman" w:hAnsi="Times New Roman"/>
          <w:lang w:eastAsia="en-GB"/>
        </w:rPr>
        <w:t xml:space="preserve">oulement, and (2) retained EU law. </w:t>
      </w:r>
      <w:r w:rsidR="00491567">
        <w:rPr>
          <w:rFonts w:ascii="Times New Roman" w:hAnsi="Times New Roman"/>
          <w:lang w:eastAsia="en-GB"/>
        </w:rPr>
        <w:t xml:space="preserve">Some </w:t>
      </w:r>
      <w:r w:rsidR="003F64E6">
        <w:rPr>
          <w:rFonts w:ascii="Times New Roman" w:hAnsi="Times New Roman"/>
          <w:lang w:eastAsia="en-GB"/>
        </w:rPr>
        <w:t xml:space="preserve">of the </w:t>
      </w:r>
      <w:r w:rsidR="00833134">
        <w:rPr>
          <w:rFonts w:ascii="Times New Roman" w:hAnsi="Times New Roman"/>
          <w:lang w:eastAsia="en-GB"/>
        </w:rPr>
        <w:t xml:space="preserve">asylum seekers </w:t>
      </w:r>
      <w:r w:rsidR="00CC7E88">
        <w:rPr>
          <w:rFonts w:ascii="Times New Roman" w:hAnsi="Times New Roman"/>
          <w:lang w:eastAsia="en-GB"/>
        </w:rPr>
        <w:t xml:space="preserve">were granted permission to </w:t>
      </w:r>
      <w:r w:rsidR="00833134">
        <w:rPr>
          <w:rFonts w:ascii="Times New Roman" w:hAnsi="Times New Roman"/>
          <w:lang w:eastAsia="en-GB"/>
        </w:rPr>
        <w:t>cross-</w:t>
      </w:r>
      <w:r w:rsidR="00CC7E88">
        <w:rPr>
          <w:rFonts w:ascii="Times New Roman" w:hAnsi="Times New Roman"/>
          <w:lang w:eastAsia="en-GB"/>
        </w:rPr>
        <w:t>appeal on two other grounds</w:t>
      </w:r>
      <w:r w:rsidR="00277F77">
        <w:rPr>
          <w:rFonts w:ascii="Times New Roman" w:hAnsi="Times New Roman"/>
          <w:lang w:eastAsia="en-GB"/>
        </w:rPr>
        <w:t>, but</w:t>
      </w:r>
      <w:r w:rsidR="006D754A">
        <w:rPr>
          <w:rFonts w:ascii="Times New Roman" w:hAnsi="Times New Roman"/>
          <w:lang w:eastAsia="en-GB"/>
        </w:rPr>
        <w:t xml:space="preserve"> given the Court’s conclusion on the refoulement ground, it is unnecessary for the </w:t>
      </w:r>
      <w:r w:rsidR="00A806B7">
        <w:rPr>
          <w:rFonts w:ascii="Times New Roman" w:hAnsi="Times New Roman"/>
          <w:lang w:eastAsia="en-GB"/>
        </w:rPr>
        <w:t xml:space="preserve">Court to </w:t>
      </w:r>
      <w:r w:rsidR="00090F7F">
        <w:rPr>
          <w:rFonts w:ascii="Times New Roman" w:hAnsi="Times New Roman"/>
          <w:lang w:eastAsia="en-GB"/>
        </w:rPr>
        <w:t>determine them</w:t>
      </w:r>
      <w:r w:rsidR="00277F77">
        <w:rPr>
          <w:rFonts w:ascii="Times New Roman" w:hAnsi="Times New Roman"/>
          <w:lang w:eastAsia="en-GB"/>
        </w:rPr>
        <w:t xml:space="preserve"> </w:t>
      </w:r>
      <w:r w:rsidR="00A806B7">
        <w:rPr>
          <w:rFonts w:ascii="Times New Roman" w:hAnsi="Times New Roman"/>
          <w:lang w:eastAsia="en-GB"/>
        </w:rPr>
        <w:t>[</w:t>
      </w:r>
      <w:r w:rsidR="00277F77" w:rsidRPr="00A806B7">
        <w:rPr>
          <w:rFonts w:ascii="Times New Roman" w:hAnsi="Times New Roman"/>
          <w:b/>
          <w:bCs/>
          <w:lang w:eastAsia="en-GB"/>
        </w:rPr>
        <w:t>17</w:t>
      </w:r>
      <w:r w:rsidR="00277F77">
        <w:rPr>
          <w:rFonts w:ascii="Times New Roman" w:hAnsi="Times New Roman"/>
          <w:lang w:eastAsia="en-GB"/>
        </w:rPr>
        <w:t>]</w:t>
      </w:r>
      <w:r w:rsidR="003267C3">
        <w:rPr>
          <w:rFonts w:ascii="Times New Roman" w:hAnsi="Times New Roman"/>
          <w:lang w:eastAsia="en-GB"/>
        </w:rPr>
        <w:t>, [</w:t>
      </w:r>
      <w:r w:rsidR="003267C3" w:rsidRPr="003267C3">
        <w:rPr>
          <w:rFonts w:ascii="Times New Roman" w:hAnsi="Times New Roman"/>
          <w:b/>
          <w:bCs/>
          <w:lang w:eastAsia="en-GB"/>
        </w:rPr>
        <w:t>106</w:t>
      </w:r>
      <w:r w:rsidR="003267C3">
        <w:rPr>
          <w:rFonts w:ascii="Times New Roman" w:hAnsi="Times New Roman"/>
          <w:lang w:eastAsia="en-GB"/>
        </w:rPr>
        <w:t>]</w:t>
      </w:r>
      <w:r w:rsidR="00277F77">
        <w:rPr>
          <w:rFonts w:ascii="Times New Roman" w:hAnsi="Times New Roman"/>
          <w:lang w:eastAsia="en-GB"/>
        </w:rPr>
        <w:t xml:space="preserve">. </w:t>
      </w:r>
    </w:p>
    <w:p w14:paraId="5B12B56D" w14:textId="7BEBEECC" w:rsidR="00365F6D" w:rsidRPr="00A27754" w:rsidRDefault="00365F6D" w:rsidP="00C1383F">
      <w:pPr>
        <w:rPr>
          <w:rFonts w:ascii="Times New Roman" w:eastAsia="Times New Roman" w:hAnsi="Times New Roman"/>
          <w:b/>
          <w:bCs/>
        </w:rPr>
      </w:pPr>
      <w:r w:rsidRPr="00365F6D">
        <w:rPr>
          <w:rFonts w:ascii="Times New Roman" w:eastAsia="Times New Roman" w:hAnsi="Times New Roman"/>
          <w:b/>
          <w:bCs/>
        </w:rPr>
        <w:t>Ground 1: Refoulement</w:t>
      </w:r>
    </w:p>
    <w:p w14:paraId="308B0318" w14:textId="1C411E96" w:rsidR="009E3D2F" w:rsidRDefault="00AE785D" w:rsidP="00C1383F">
      <w:pPr>
        <w:rPr>
          <w:rFonts w:ascii="Times New Roman" w:eastAsia="Times New Roman" w:hAnsi="Times New Roman"/>
        </w:rPr>
      </w:pPr>
      <w:r>
        <w:rPr>
          <w:rFonts w:ascii="Times New Roman" w:eastAsia="Times New Roman" w:hAnsi="Times New Roman"/>
        </w:rPr>
        <w:t xml:space="preserve">Non-refoulement is a core principle of international law. </w:t>
      </w:r>
      <w:r w:rsidR="00544C4D">
        <w:rPr>
          <w:rFonts w:ascii="Times New Roman" w:eastAsia="Times New Roman" w:hAnsi="Times New Roman"/>
        </w:rPr>
        <w:t xml:space="preserve">Asylum </w:t>
      </w:r>
      <w:r w:rsidR="00DF5370">
        <w:rPr>
          <w:rFonts w:ascii="Times New Roman" w:eastAsia="Times New Roman" w:hAnsi="Times New Roman"/>
        </w:rPr>
        <w:t>seekers</w:t>
      </w:r>
      <w:r w:rsidR="00544C4D">
        <w:rPr>
          <w:rFonts w:ascii="Times New Roman" w:eastAsia="Times New Roman" w:hAnsi="Times New Roman"/>
        </w:rPr>
        <w:t xml:space="preserve"> are protected </w:t>
      </w:r>
      <w:r w:rsidR="00E9283E">
        <w:rPr>
          <w:rFonts w:ascii="Times New Roman" w:eastAsia="Times New Roman" w:hAnsi="Times New Roman"/>
        </w:rPr>
        <w:t>against</w:t>
      </w:r>
      <w:r w:rsidR="00544C4D">
        <w:rPr>
          <w:rFonts w:ascii="Times New Roman" w:eastAsia="Times New Roman" w:hAnsi="Times New Roman"/>
        </w:rPr>
        <w:t xml:space="preserve"> refoulement</w:t>
      </w:r>
      <w:r w:rsidR="004C23EA">
        <w:rPr>
          <w:rFonts w:ascii="Times New Roman" w:eastAsia="Times New Roman" w:hAnsi="Times New Roman"/>
        </w:rPr>
        <w:t xml:space="preserve"> </w:t>
      </w:r>
      <w:r w:rsidR="0033434A">
        <w:rPr>
          <w:rFonts w:ascii="Times New Roman" w:eastAsia="Times New Roman" w:hAnsi="Times New Roman"/>
        </w:rPr>
        <w:t xml:space="preserve">by </w:t>
      </w:r>
      <w:r w:rsidR="006B5D7C">
        <w:rPr>
          <w:rFonts w:ascii="Times New Roman" w:eastAsia="Times New Roman" w:hAnsi="Times New Roman"/>
        </w:rPr>
        <w:t xml:space="preserve">several international treaties </w:t>
      </w:r>
      <w:r w:rsidR="00224AB0">
        <w:rPr>
          <w:rFonts w:ascii="Times New Roman" w:eastAsia="Times New Roman" w:hAnsi="Times New Roman"/>
        </w:rPr>
        <w:t>ratified by the UK</w:t>
      </w:r>
      <w:r w:rsidR="006B5D7C">
        <w:rPr>
          <w:rFonts w:ascii="Times New Roman" w:eastAsia="Times New Roman" w:hAnsi="Times New Roman"/>
        </w:rPr>
        <w:t>. These</w:t>
      </w:r>
      <w:r w:rsidR="0033434A">
        <w:rPr>
          <w:rFonts w:ascii="Times New Roman" w:eastAsia="Times New Roman" w:hAnsi="Times New Roman"/>
        </w:rPr>
        <w:t xml:space="preserve"> protections are set out in</w:t>
      </w:r>
      <w:r w:rsidR="00366E4B">
        <w:rPr>
          <w:rFonts w:ascii="Times New Roman" w:eastAsia="Times New Roman" w:hAnsi="Times New Roman"/>
        </w:rPr>
        <w:t xml:space="preserve"> </w:t>
      </w:r>
      <w:r w:rsidR="009E7327">
        <w:rPr>
          <w:rFonts w:ascii="Times New Roman" w:eastAsia="Times New Roman" w:hAnsi="Times New Roman"/>
        </w:rPr>
        <w:t xml:space="preserve">article </w:t>
      </w:r>
      <w:r w:rsidR="00366E4B">
        <w:rPr>
          <w:rFonts w:ascii="Times New Roman" w:eastAsia="Times New Roman" w:hAnsi="Times New Roman"/>
        </w:rPr>
        <w:t>33</w:t>
      </w:r>
      <w:r w:rsidR="00363AEC">
        <w:rPr>
          <w:rFonts w:ascii="Times New Roman" w:eastAsia="Times New Roman" w:hAnsi="Times New Roman"/>
        </w:rPr>
        <w:t>(1)</w:t>
      </w:r>
      <w:r w:rsidR="00366E4B">
        <w:rPr>
          <w:rFonts w:ascii="Times New Roman" w:eastAsia="Times New Roman" w:hAnsi="Times New Roman"/>
        </w:rPr>
        <w:t xml:space="preserve"> of </w:t>
      </w:r>
      <w:r w:rsidR="00A84F57">
        <w:rPr>
          <w:rFonts w:ascii="Times New Roman" w:eastAsia="Times New Roman" w:hAnsi="Times New Roman"/>
        </w:rPr>
        <w:t xml:space="preserve">the </w:t>
      </w:r>
      <w:r w:rsidR="00A84F57" w:rsidRPr="00A84F57">
        <w:rPr>
          <w:rFonts w:ascii="Times New Roman" w:eastAsia="Times New Roman" w:hAnsi="Times New Roman"/>
        </w:rPr>
        <w:t xml:space="preserve">United Nations 1951 Convention relating to the Status of Refugees and its 1967 Protocol (“the </w:t>
      </w:r>
      <w:r w:rsidR="00A84F57" w:rsidRPr="00366E4B">
        <w:rPr>
          <w:rFonts w:ascii="Times New Roman" w:eastAsia="Times New Roman" w:hAnsi="Times New Roman"/>
          <w:b/>
          <w:bCs/>
        </w:rPr>
        <w:t>Refugee Convention</w:t>
      </w:r>
      <w:r w:rsidR="00A84F57" w:rsidRPr="00A84F57">
        <w:rPr>
          <w:rFonts w:ascii="Times New Roman" w:eastAsia="Times New Roman" w:hAnsi="Times New Roman"/>
        </w:rPr>
        <w:t>”)</w:t>
      </w:r>
      <w:r w:rsidR="00366E4B">
        <w:rPr>
          <w:rFonts w:ascii="Times New Roman" w:eastAsia="Times New Roman" w:hAnsi="Times New Roman"/>
        </w:rPr>
        <w:t xml:space="preserve"> and article 3 of the European Convention on Human Rights (“the </w:t>
      </w:r>
      <w:r w:rsidR="00366E4B" w:rsidRPr="00410549">
        <w:rPr>
          <w:rFonts w:ascii="Times New Roman" w:eastAsia="Times New Roman" w:hAnsi="Times New Roman"/>
          <w:b/>
          <w:bCs/>
        </w:rPr>
        <w:t>ECHR</w:t>
      </w:r>
      <w:r w:rsidR="00366E4B">
        <w:rPr>
          <w:rFonts w:ascii="Times New Roman" w:eastAsia="Times New Roman" w:hAnsi="Times New Roman"/>
        </w:rPr>
        <w:t>”)</w:t>
      </w:r>
      <w:r w:rsidR="009E7327">
        <w:rPr>
          <w:rFonts w:ascii="Times New Roman" w:eastAsia="Times New Roman" w:hAnsi="Times New Roman"/>
        </w:rPr>
        <w:t>, among others</w:t>
      </w:r>
      <w:r w:rsidR="00727F8F">
        <w:rPr>
          <w:rFonts w:ascii="Times New Roman" w:eastAsia="Times New Roman" w:hAnsi="Times New Roman"/>
        </w:rPr>
        <w:t xml:space="preserve"> [</w:t>
      </w:r>
      <w:r w:rsidR="00727F8F" w:rsidRPr="00727F8F">
        <w:rPr>
          <w:rFonts w:ascii="Times New Roman" w:eastAsia="Times New Roman" w:hAnsi="Times New Roman"/>
          <w:b/>
          <w:bCs/>
        </w:rPr>
        <w:t>19</w:t>
      </w:r>
      <w:r w:rsidR="00727F8F">
        <w:rPr>
          <w:rFonts w:ascii="Times New Roman" w:eastAsia="Times New Roman" w:hAnsi="Times New Roman"/>
        </w:rPr>
        <w:t>]-[</w:t>
      </w:r>
      <w:r w:rsidR="00727F8F" w:rsidRPr="00727F8F">
        <w:rPr>
          <w:rFonts w:ascii="Times New Roman" w:eastAsia="Times New Roman" w:hAnsi="Times New Roman"/>
          <w:b/>
          <w:bCs/>
        </w:rPr>
        <w:t>26</w:t>
      </w:r>
      <w:r w:rsidR="00727F8F">
        <w:rPr>
          <w:rFonts w:ascii="Times New Roman" w:eastAsia="Times New Roman" w:hAnsi="Times New Roman"/>
        </w:rPr>
        <w:t>]</w:t>
      </w:r>
      <w:r w:rsidR="00366E4B">
        <w:rPr>
          <w:rFonts w:ascii="Times New Roman" w:eastAsia="Times New Roman" w:hAnsi="Times New Roman"/>
        </w:rPr>
        <w:t xml:space="preserve">. </w:t>
      </w:r>
    </w:p>
    <w:p w14:paraId="53CC595F" w14:textId="07DEE0E3" w:rsidR="005F7E7B" w:rsidRDefault="00E60344" w:rsidP="00C1383F">
      <w:pPr>
        <w:rPr>
          <w:rFonts w:ascii="Times New Roman" w:eastAsia="Times New Roman" w:hAnsi="Times New Roman"/>
        </w:rPr>
      </w:pPr>
      <w:r>
        <w:rPr>
          <w:rFonts w:ascii="Times New Roman" w:eastAsia="Times New Roman" w:hAnsi="Times New Roman"/>
        </w:rPr>
        <w:t xml:space="preserve">Parliament has given </w:t>
      </w:r>
      <w:r w:rsidR="00F150F3">
        <w:rPr>
          <w:rFonts w:ascii="Times New Roman" w:eastAsia="Times New Roman" w:hAnsi="Times New Roman"/>
        </w:rPr>
        <w:t xml:space="preserve">effect to </w:t>
      </w:r>
      <w:r>
        <w:rPr>
          <w:rFonts w:ascii="Times New Roman" w:eastAsia="Times New Roman" w:hAnsi="Times New Roman"/>
        </w:rPr>
        <w:t>b</w:t>
      </w:r>
      <w:r w:rsidR="00A86DA4">
        <w:rPr>
          <w:rFonts w:ascii="Times New Roman" w:eastAsia="Times New Roman" w:hAnsi="Times New Roman"/>
        </w:rPr>
        <w:t xml:space="preserve">oth the </w:t>
      </w:r>
      <w:r>
        <w:rPr>
          <w:rFonts w:ascii="Times New Roman" w:eastAsia="Times New Roman" w:hAnsi="Times New Roman"/>
        </w:rPr>
        <w:t xml:space="preserve">Refugee Convention and the ECHR </w:t>
      </w:r>
      <w:r w:rsidR="00F150F3">
        <w:rPr>
          <w:rFonts w:ascii="Times New Roman" w:eastAsia="Times New Roman" w:hAnsi="Times New Roman"/>
        </w:rPr>
        <w:t>in our domestic law</w:t>
      </w:r>
      <w:r>
        <w:rPr>
          <w:rFonts w:ascii="Times New Roman" w:eastAsia="Times New Roman" w:hAnsi="Times New Roman"/>
        </w:rPr>
        <w:t xml:space="preserve">. </w:t>
      </w:r>
      <w:r w:rsidR="00CB5871">
        <w:rPr>
          <w:rFonts w:ascii="Times New Roman" w:eastAsia="Times New Roman" w:hAnsi="Times New Roman"/>
        </w:rPr>
        <w:t>Asylum seekers are protected against refoulement by the Human Rights Act</w:t>
      </w:r>
      <w:r w:rsidR="00BE62DF">
        <w:rPr>
          <w:rFonts w:ascii="Times New Roman" w:eastAsia="Times New Roman" w:hAnsi="Times New Roman"/>
        </w:rPr>
        <w:t xml:space="preserve"> 1998</w:t>
      </w:r>
      <w:r w:rsidR="00CB5871">
        <w:rPr>
          <w:rFonts w:ascii="Times New Roman" w:eastAsia="Times New Roman" w:hAnsi="Times New Roman"/>
        </w:rPr>
        <w:t xml:space="preserve">, section 6 of which makes it unlawful for the Home Secretary to remove asylum seekers to </w:t>
      </w:r>
      <w:r w:rsidR="00CB5871" w:rsidRPr="005C635B">
        <w:rPr>
          <w:rFonts w:ascii="Times New Roman" w:eastAsia="Times New Roman" w:hAnsi="Times New Roman"/>
        </w:rPr>
        <w:t>countries where there are substantial grounds to believe that they would be at real risk of refoulement</w:t>
      </w:r>
      <w:r w:rsidR="00CB5871">
        <w:rPr>
          <w:rFonts w:ascii="Times New Roman" w:eastAsia="Times New Roman" w:hAnsi="Times New Roman"/>
        </w:rPr>
        <w:t xml:space="preserve"> contrary to article 3 ECHR. </w:t>
      </w:r>
      <w:r w:rsidR="005F7E7B">
        <w:rPr>
          <w:rFonts w:ascii="Times New Roman" w:eastAsia="Times New Roman" w:hAnsi="Times New Roman"/>
        </w:rPr>
        <w:t>Further protection is provided</w:t>
      </w:r>
      <w:r w:rsidR="00E346D1">
        <w:rPr>
          <w:rFonts w:ascii="Times New Roman" w:eastAsia="Times New Roman" w:hAnsi="Times New Roman"/>
        </w:rPr>
        <w:t xml:space="preserve"> by provisions in the </w:t>
      </w:r>
      <w:r w:rsidR="00E346D1" w:rsidRPr="005F044E">
        <w:rPr>
          <w:rFonts w:ascii="Times New Roman" w:eastAsia="Times New Roman" w:hAnsi="Times New Roman"/>
        </w:rPr>
        <w:t>Asylum and Immigration Appeals Act 1993</w:t>
      </w:r>
      <w:r w:rsidR="00E346D1">
        <w:rPr>
          <w:rFonts w:ascii="Times New Roman" w:eastAsia="Times New Roman" w:hAnsi="Times New Roman"/>
        </w:rPr>
        <w:t xml:space="preserve">, the </w:t>
      </w:r>
      <w:r w:rsidR="00E346D1" w:rsidRPr="006B70CF">
        <w:rPr>
          <w:rFonts w:ascii="Times New Roman" w:eastAsia="Times New Roman" w:hAnsi="Times New Roman"/>
        </w:rPr>
        <w:t>Nationality, Immigration and Asylum Act 2002</w:t>
      </w:r>
      <w:r w:rsidR="00E346D1">
        <w:rPr>
          <w:rFonts w:ascii="Times New Roman" w:eastAsia="Times New Roman" w:hAnsi="Times New Roman"/>
        </w:rPr>
        <w:t xml:space="preserve"> and the </w:t>
      </w:r>
      <w:r w:rsidR="005F7E7B" w:rsidRPr="005F7E7B">
        <w:rPr>
          <w:rFonts w:ascii="Times New Roman" w:eastAsia="Times New Roman" w:hAnsi="Times New Roman"/>
        </w:rPr>
        <w:t>Asylum and Immigration (Treatment of Claimants etc) Act 2004</w:t>
      </w:r>
      <w:r w:rsidR="005F7E7B">
        <w:rPr>
          <w:rFonts w:ascii="Times New Roman" w:eastAsia="Times New Roman" w:hAnsi="Times New Roman"/>
        </w:rPr>
        <w:t>, u</w:t>
      </w:r>
      <w:r w:rsidR="005F7E7B" w:rsidRPr="00B97EC7">
        <w:rPr>
          <w:rFonts w:ascii="Times New Roman" w:eastAsia="Times New Roman" w:hAnsi="Times New Roman"/>
        </w:rPr>
        <w:t>nder which Parliament has given effect to the Refugee Convention as well as the ECHR</w:t>
      </w:r>
      <w:r w:rsidR="005F7E7B">
        <w:rPr>
          <w:rFonts w:ascii="Times New Roman" w:eastAsia="Times New Roman" w:hAnsi="Times New Roman"/>
        </w:rPr>
        <w:t xml:space="preserve"> [</w:t>
      </w:r>
      <w:r w:rsidR="005F7E7B" w:rsidRPr="006B70CF">
        <w:rPr>
          <w:rFonts w:ascii="Times New Roman" w:eastAsia="Times New Roman" w:hAnsi="Times New Roman"/>
          <w:b/>
          <w:bCs/>
        </w:rPr>
        <w:t>27</w:t>
      </w:r>
      <w:r w:rsidR="005F7E7B">
        <w:rPr>
          <w:rFonts w:ascii="Times New Roman" w:eastAsia="Times New Roman" w:hAnsi="Times New Roman"/>
        </w:rPr>
        <w:t>]-[</w:t>
      </w:r>
      <w:r w:rsidR="005F7E7B" w:rsidRPr="006B70CF">
        <w:rPr>
          <w:rFonts w:ascii="Times New Roman" w:eastAsia="Times New Roman" w:hAnsi="Times New Roman"/>
          <w:b/>
          <w:bCs/>
        </w:rPr>
        <w:t>33</w:t>
      </w:r>
      <w:r w:rsidR="005F7E7B">
        <w:rPr>
          <w:rFonts w:ascii="Times New Roman" w:eastAsia="Times New Roman" w:hAnsi="Times New Roman"/>
        </w:rPr>
        <w:t>].</w:t>
      </w:r>
    </w:p>
    <w:p w14:paraId="29B8AF2B" w14:textId="7209DA05" w:rsidR="00CB5871" w:rsidRPr="005F7E7B" w:rsidRDefault="00740623" w:rsidP="00C1383F">
      <w:pPr>
        <w:rPr>
          <w:rFonts w:ascii="Times New Roman" w:eastAsia="Times New Roman" w:hAnsi="Times New Roman"/>
        </w:rPr>
      </w:pPr>
      <w:r>
        <w:rPr>
          <w:rFonts w:ascii="Times New Roman" w:eastAsia="Times New Roman" w:hAnsi="Times New Roman"/>
        </w:rPr>
        <w:t>The Home Secretary’s appeal against the Court of Appeal’s decision on refoulement raises three issues, each of which is discussed in turn [</w:t>
      </w:r>
      <w:r w:rsidR="00A030EF" w:rsidRPr="00A030EF">
        <w:rPr>
          <w:rFonts w:ascii="Times New Roman" w:eastAsia="Times New Roman" w:hAnsi="Times New Roman"/>
          <w:b/>
          <w:bCs/>
        </w:rPr>
        <w:t>37</w:t>
      </w:r>
      <w:r w:rsidR="00A030EF">
        <w:rPr>
          <w:rFonts w:ascii="Times New Roman" w:eastAsia="Times New Roman" w:hAnsi="Times New Roman"/>
        </w:rPr>
        <w:t xml:space="preserve">]. </w:t>
      </w:r>
    </w:p>
    <w:p w14:paraId="21A834CD" w14:textId="275832B0" w:rsidR="00581709" w:rsidRPr="000741F3" w:rsidRDefault="00B97EC7" w:rsidP="00C1383F">
      <w:pPr>
        <w:rPr>
          <w:rFonts w:ascii="Times New Roman" w:hAnsi="Times New Roman"/>
          <w:b/>
          <w:bCs/>
          <w:i/>
          <w:iCs/>
          <w:lang w:eastAsia="en-GB"/>
        </w:rPr>
      </w:pPr>
      <w:r w:rsidRPr="000741F3">
        <w:rPr>
          <w:rFonts w:ascii="Times New Roman" w:eastAsia="Times New Roman" w:hAnsi="Times New Roman"/>
          <w:b/>
          <w:bCs/>
          <w:i/>
          <w:iCs/>
        </w:rPr>
        <w:t>Issue 1:</w:t>
      </w:r>
      <w:r w:rsidR="000741F3" w:rsidRPr="000741F3">
        <w:rPr>
          <w:rFonts w:ascii="Times New Roman" w:eastAsia="Times New Roman" w:hAnsi="Times New Roman"/>
          <w:b/>
          <w:bCs/>
          <w:i/>
          <w:iCs/>
        </w:rPr>
        <w:t xml:space="preserve"> Did </w:t>
      </w:r>
      <w:r w:rsidR="000741F3" w:rsidRPr="000741F3">
        <w:rPr>
          <w:rFonts w:ascii="Times New Roman" w:hAnsi="Times New Roman"/>
          <w:b/>
          <w:bCs/>
          <w:i/>
          <w:iCs/>
          <w:lang w:eastAsia="en-GB"/>
        </w:rPr>
        <w:t>the Divisional Court apply the wrong legal test when considering the risk of refoulement?</w:t>
      </w:r>
    </w:p>
    <w:p w14:paraId="5AC9706C" w14:textId="5D419086" w:rsidR="00B97EC7" w:rsidRPr="00DA339A" w:rsidRDefault="00F64017" w:rsidP="00C1383F">
      <w:pPr>
        <w:rPr>
          <w:rFonts w:ascii="Times New Roman" w:hAnsi="Times New Roman"/>
          <w:lang w:eastAsia="en-GB"/>
        </w:rPr>
      </w:pPr>
      <w:r>
        <w:rPr>
          <w:rFonts w:ascii="Times New Roman" w:hAnsi="Times New Roman"/>
          <w:lang w:eastAsia="en-GB"/>
        </w:rPr>
        <w:t>The correct legal test</w:t>
      </w:r>
      <w:r w:rsidR="00D11A8A">
        <w:rPr>
          <w:rFonts w:ascii="Times New Roman" w:hAnsi="Times New Roman"/>
          <w:lang w:eastAsia="en-GB"/>
        </w:rPr>
        <w:t xml:space="preserve"> to be applied by the court is whether there are substantial grounds for believing that the removal of asylum seekers to Rwanda would expose them to a real risk of ill</w:t>
      </w:r>
      <w:r w:rsidR="003E0921">
        <w:rPr>
          <w:rFonts w:ascii="Times New Roman" w:hAnsi="Times New Roman"/>
          <w:lang w:eastAsia="en-GB"/>
        </w:rPr>
        <w:t xml:space="preserve"> treatment as a result of refoulement to another country.</w:t>
      </w:r>
      <w:r w:rsidR="00D823C9">
        <w:rPr>
          <w:rFonts w:ascii="Times New Roman" w:hAnsi="Times New Roman"/>
          <w:lang w:eastAsia="en-GB"/>
        </w:rPr>
        <w:t xml:space="preserve"> </w:t>
      </w:r>
      <w:r w:rsidR="006037BD">
        <w:rPr>
          <w:rFonts w:ascii="Times New Roman" w:hAnsi="Times New Roman"/>
          <w:lang w:eastAsia="en-GB"/>
        </w:rPr>
        <w:t>Th</w:t>
      </w:r>
      <w:r w:rsidR="00812AA7">
        <w:rPr>
          <w:rFonts w:ascii="Times New Roman" w:hAnsi="Times New Roman"/>
          <w:lang w:eastAsia="en-GB"/>
        </w:rPr>
        <w:t xml:space="preserve">e court must answer this question for itself, based on its assessment of the evidence before it. </w:t>
      </w:r>
      <w:r w:rsidR="00FF4B5B">
        <w:rPr>
          <w:rFonts w:ascii="Times New Roman" w:hAnsi="Times New Roman"/>
          <w:lang w:eastAsia="en-GB"/>
        </w:rPr>
        <w:t xml:space="preserve">It is unclear from the Divisional Court’s judgment whether it applied </w:t>
      </w:r>
      <w:r w:rsidR="00D8172C">
        <w:rPr>
          <w:rFonts w:ascii="Times New Roman" w:hAnsi="Times New Roman"/>
          <w:lang w:eastAsia="en-GB"/>
        </w:rPr>
        <w:t>the correct legal test</w:t>
      </w:r>
      <w:r w:rsidR="00FF4B5B">
        <w:rPr>
          <w:rFonts w:ascii="Times New Roman" w:hAnsi="Times New Roman"/>
          <w:lang w:eastAsia="en-GB"/>
        </w:rPr>
        <w:t>.</w:t>
      </w:r>
      <w:r w:rsidR="0069503F">
        <w:rPr>
          <w:rFonts w:ascii="Times New Roman" w:hAnsi="Times New Roman"/>
          <w:lang w:eastAsia="en-GB"/>
        </w:rPr>
        <w:t xml:space="preserve"> However, </w:t>
      </w:r>
      <w:r w:rsidR="00BC0048">
        <w:rPr>
          <w:rFonts w:ascii="Times New Roman" w:hAnsi="Times New Roman"/>
          <w:lang w:eastAsia="en-GB"/>
        </w:rPr>
        <w:t>as explained in relation to</w:t>
      </w:r>
      <w:r w:rsidR="00323C9E">
        <w:rPr>
          <w:rFonts w:ascii="Times New Roman" w:hAnsi="Times New Roman"/>
          <w:lang w:eastAsia="en-GB"/>
        </w:rPr>
        <w:t xml:space="preserve"> issue 2 </w:t>
      </w:r>
      <w:r w:rsidR="00B3015D">
        <w:rPr>
          <w:rFonts w:ascii="Times New Roman" w:hAnsi="Times New Roman"/>
          <w:lang w:eastAsia="en-GB"/>
        </w:rPr>
        <w:t xml:space="preserve">below, the Supreme Court is satisfied that </w:t>
      </w:r>
      <w:r w:rsidR="00DA339A" w:rsidRPr="00DA339A">
        <w:rPr>
          <w:rFonts w:ascii="Times New Roman" w:hAnsi="Times New Roman"/>
          <w:lang w:eastAsia="en-GB"/>
        </w:rPr>
        <w:t>the Court of Appeal was</w:t>
      </w:r>
      <w:r w:rsidR="00CC4273">
        <w:rPr>
          <w:rFonts w:ascii="Times New Roman" w:hAnsi="Times New Roman"/>
          <w:lang w:eastAsia="en-GB"/>
        </w:rPr>
        <w:t xml:space="preserve"> in any event </w:t>
      </w:r>
      <w:r w:rsidR="00DA339A" w:rsidRPr="00DA339A">
        <w:rPr>
          <w:rFonts w:ascii="Times New Roman" w:hAnsi="Times New Roman"/>
          <w:lang w:eastAsia="en-GB"/>
        </w:rPr>
        <w:t xml:space="preserve">entitled to consider the </w:t>
      </w:r>
      <w:r w:rsidR="00DA339A">
        <w:rPr>
          <w:rFonts w:ascii="Times New Roman" w:hAnsi="Times New Roman"/>
          <w:lang w:eastAsia="en-GB"/>
        </w:rPr>
        <w:t xml:space="preserve">refoulement issue for itself </w:t>
      </w:r>
      <w:r w:rsidR="003E48E3">
        <w:rPr>
          <w:rFonts w:ascii="Times New Roman" w:hAnsi="Times New Roman"/>
          <w:lang w:eastAsia="en-GB"/>
        </w:rPr>
        <w:t>[</w:t>
      </w:r>
      <w:r w:rsidR="003E48E3" w:rsidRPr="007F72D4">
        <w:rPr>
          <w:rFonts w:ascii="Times New Roman" w:hAnsi="Times New Roman"/>
          <w:b/>
          <w:bCs/>
          <w:lang w:eastAsia="en-GB"/>
        </w:rPr>
        <w:t>23</w:t>
      </w:r>
      <w:r w:rsidR="003E48E3">
        <w:rPr>
          <w:rFonts w:ascii="Times New Roman" w:hAnsi="Times New Roman"/>
          <w:lang w:eastAsia="en-GB"/>
        </w:rPr>
        <w:t>],</w:t>
      </w:r>
      <w:r w:rsidR="00CE3CF3">
        <w:rPr>
          <w:rFonts w:ascii="Times New Roman" w:hAnsi="Times New Roman"/>
          <w:lang w:eastAsia="en-GB"/>
        </w:rPr>
        <w:t xml:space="preserve"> [</w:t>
      </w:r>
      <w:r w:rsidR="00CE3CF3" w:rsidRPr="007F72D4">
        <w:rPr>
          <w:rFonts w:ascii="Times New Roman" w:hAnsi="Times New Roman"/>
          <w:b/>
          <w:bCs/>
          <w:lang w:eastAsia="en-GB"/>
        </w:rPr>
        <w:t>34</w:t>
      </w:r>
      <w:r w:rsidR="00CE3CF3">
        <w:rPr>
          <w:rFonts w:ascii="Times New Roman" w:hAnsi="Times New Roman"/>
          <w:lang w:eastAsia="en-GB"/>
        </w:rPr>
        <w:t>],</w:t>
      </w:r>
      <w:r w:rsidR="003E48E3">
        <w:rPr>
          <w:rFonts w:ascii="Times New Roman" w:hAnsi="Times New Roman"/>
          <w:lang w:eastAsia="en-GB"/>
        </w:rPr>
        <w:t xml:space="preserve"> </w:t>
      </w:r>
      <w:r w:rsidR="00F71BDC">
        <w:rPr>
          <w:rFonts w:ascii="Times New Roman" w:hAnsi="Times New Roman"/>
          <w:lang w:eastAsia="en-GB"/>
        </w:rPr>
        <w:t>[</w:t>
      </w:r>
      <w:r w:rsidR="00F71BDC" w:rsidRPr="007F72D4">
        <w:rPr>
          <w:rFonts w:ascii="Times New Roman" w:hAnsi="Times New Roman"/>
          <w:b/>
          <w:bCs/>
          <w:lang w:eastAsia="en-GB"/>
        </w:rPr>
        <w:t>38</w:t>
      </w:r>
      <w:r w:rsidR="00F71BDC">
        <w:rPr>
          <w:rFonts w:ascii="Times New Roman" w:hAnsi="Times New Roman"/>
          <w:lang w:eastAsia="en-GB"/>
        </w:rPr>
        <w:t>]</w:t>
      </w:r>
      <w:r w:rsidR="001077D4">
        <w:rPr>
          <w:rFonts w:ascii="Times New Roman" w:hAnsi="Times New Roman"/>
          <w:lang w:eastAsia="en-GB"/>
        </w:rPr>
        <w:t>-[</w:t>
      </w:r>
      <w:r w:rsidR="001077D4" w:rsidRPr="007F72D4">
        <w:rPr>
          <w:rFonts w:ascii="Times New Roman" w:hAnsi="Times New Roman"/>
          <w:b/>
          <w:bCs/>
          <w:lang w:eastAsia="en-GB"/>
        </w:rPr>
        <w:t>41</w:t>
      </w:r>
      <w:r w:rsidR="001077D4">
        <w:rPr>
          <w:rFonts w:ascii="Times New Roman" w:hAnsi="Times New Roman"/>
          <w:lang w:eastAsia="en-GB"/>
        </w:rPr>
        <w:t>]</w:t>
      </w:r>
      <w:r w:rsidR="00DA339A">
        <w:rPr>
          <w:rFonts w:ascii="Times New Roman" w:hAnsi="Times New Roman"/>
          <w:lang w:eastAsia="en-GB"/>
        </w:rPr>
        <w:t>.</w:t>
      </w:r>
    </w:p>
    <w:p w14:paraId="575736B5" w14:textId="2EAEF198" w:rsidR="00B97EC7" w:rsidRPr="00544C4D" w:rsidRDefault="00B97EC7" w:rsidP="00C1383F">
      <w:pPr>
        <w:rPr>
          <w:rFonts w:ascii="Times New Roman" w:eastAsia="Times New Roman" w:hAnsi="Times New Roman"/>
          <w:b/>
          <w:bCs/>
          <w:i/>
          <w:iCs/>
        </w:rPr>
      </w:pPr>
      <w:r w:rsidRPr="00544C4D">
        <w:rPr>
          <w:rFonts w:ascii="Times New Roman" w:eastAsia="Times New Roman" w:hAnsi="Times New Roman"/>
          <w:b/>
          <w:bCs/>
          <w:i/>
          <w:iCs/>
        </w:rPr>
        <w:t xml:space="preserve">Issue 2: </w:t>
      </w:r>
      <w:r w:rsidR="000668F4" w:rsidRPr="00544C4D">
        <w:rPr>
          <w:rFonts w:ascii="Times New Roman" w:eastAsia="Times New Roman" w:hAnsi="Times New Roman"/>
          <w:b/>
          <w:bCs/>
          <w:i/>
          <w:iCs/>
        </w:rPr>
        <w:t>If the Divisional Court applied the right test, was the Court of Appeal entitled to interfere with its conclusion on the risk of refoulement?</w:t>
      </w:r>
    </w:p>
    <w:p w14:paraId="288DDB13" w14:textId="3A354F29" w:rsidR="000033EB" w:rsidRDefault="006708DF" w:rsidP="00C1383F">
      <w:pPr>
        <w:rPr>
          <w:rFonts w:ascii="Times New Roman" w:eastAsia="Times New Roman" w:hAnsi="Times New Roman"/>
        </w:rPr>
      </w:pPr>
      <w:r>
        <w:rPr>
          <w:rFonts w:ascii="Times New Roman" w:eastAsia="Times New Roman" w:hAnsi="Times New Roman"/>
        </w:rPr>
        <w:lastRenderedPageBreak/>
        <w:t>Yes</w:t>
      </w:r>
      <w:r w:rsidR="000033EB">
        <w:rPr>
          <w:rFonts w:ascii="Times New Roman" w:eastAsia="Times New Roman" w:hAnsi="Times New Roman"/>
        </w:rPr>
        <w:t>, t</w:t>
      </w:r>
      <w:r w:rsidR="00223F9E">
        <w:rPr>
          <w:rFonts w:ascii="Times New Roman" w:eastAsia="Times New Roman" w:hAnsi="Times New Roman"/>
        </w:rPr>
        <w:t xml:space="preserve">he </w:t>
      </w:r>
      <w:r w:rsidR="007B004C">
        <w:rPr>
          <w:rFonts w:ascii="Times New Roman" w:eastAsia="Times New Roman" w:hAnsi="Times New Roman"/>
        </w:rPr>
        <w:t>Court of Appeal was entitled to interfere with the Divisional Court’s conclusion</w:t>
      </w:r>
      <w:r w:rsidR="007579FF">
        <w:rPr>
          <w:rFonts w:ascii="Times New Roman" w:eastAsia="Times New Roman" w:hAnsi="Times New Roman"/>
        </w:rPr>
        <w:t xml:space="preserve"> </w:t>
      </w:r>
      <w:r w:rsidR="00E470F2">
        <w:rPr>
          <w:rFonts w:ascii="Times New Roman" w:eastAsia="Times New Roman" w:hAnsi="Times New Roman"/>
        </w:rPr>
        <w:t>because there were errors</w:t>
      </w:r>
      <w:r w:rsidR="007579FF">
        <w:rPr>
          <w:rFonts w:ascii="Times New Roman" w:eastAsia="Times New Roman" w:hAnsi="Times New Roman"/>
        </w:rPr>
        <w:t xml:space="preserve"> in the Divisional Court’s treatment of the evidence </w:t>
      </w:r>
      <w:r w:rsidR="006C4536">
        <w:rPr>
          <w:rFonts w:ascii="Times New Roman" w:eastAsia="Times New Roman" w:hAnsi="Times New Roman"/>
        </w:rPr>
        <w:t>[</w:t>
      </w:r>
      <w:r w:rsidR="006C4536" w:rsidRPr="00DD6785">
        <w:rPr>
          <w:rFonts w:ascii="Times New Roman" w:eastAsia="Times New Roman" w:hAnsi="Times New Roman"/>
          <w:b/>
          <w:bCs/>
        </w:rPr>
        <w:t>42</w:t>
      </w:r>
      <w:r w:rsidR="006C4536">
        <w:rPr>
          <w:rFonts w:ascii="Times New Roman" w:eastAsia="Times New Roman" w:hAnsi="Times New Roman"/>
        </w:rPr>
        <w:t>]</w:t>
      </w:r>
      <w:r w:rsidR="006B00CC">
        <w:rPr>
          <w:rFonts w:ascii="Times New Roman" w:eastAsia="Times New Roman" w:hAnsi="Times New Roman"/>
        </w:rPr>
        <w:t>, [</w:t>
      </w:r>
      <w:r w:rsidR="006B00CC" w:rsidRPr="006B00CC">
        <w:rPr>
          <w:rFonts w:ascii="Times New Roman" w:eastAsia="Times New Roman" w:hAnsi="Times New Roman"/>
          <w:b/>
          <w:bCs/>
        </w:rPr>
        <w:t>72</w:t>
      </w:r>
      <w:r w:rsidR="006B00CC">
        <w:rPr>
          <w:rFonts w:ascii="Times New Roman" w:eastAsia="Times New Roman" w:hAnsi="Times New Roman"/>
        </w:rPr>
        <w:t>]</w:t>
      </w:r>
      <w:r w:rsidR="006C4536">
        <w:rPr>
          <w:rFonts w:ascii="Times New Roman" w:eastAsia="Times New Roman" w:hAnsi="Times New Roman"/>
        </w:rPr>
        <w:t>.</w:t>
      </w:r>
      <w:r w:rsidR="00CA26E9">
        <w:rPr>
          <w:rFonts w:ascii="Times New Roman" w:eastAsia="Times New Roman" w:hAnsi="Times New Roman"/>
        </w:rPr>
        <w:t xml:space="preserve"> </w:t>
      </w:r>
    </w:p>
    <w:p w14:paraId="538C1580" w14:textId="3D03B74C" w:rsidR="00EA126C" w:rsidRDefault="00335195" w:rsidP="00C1383F">
      <w:pPr>
        <w:rPr>
          <w:rFonts w:ascii="Times New Roman" w:eastAsia="Times New Roman" w:hAnsi="Times New Roman"/>
        </w:rPr>
      </w:pPr>
      <w:r>
        <w:rPr>
          <w:rFonts w:ascii="Times New Roman" w:eastAsia="Times New Roman" w:hAnsi="Times New Roman"/>
        </w:rPr>
        <w:t xml:space="preserve">The </w:t>
      </w:r>
      <w:r w:rsidR="001344E2">
        <w:rPr>
          <w:rFonts w:ascii="Times New Roman" w:eastAsia="Times New Roman" w:hAnsi="Times New Roman"/>
        </w:rPr>
        <w:t>European and domestic case law is clear that</w:t>
      </w:r>
      <w:r w:rsidR="009361BA">
        <w:rPr>
          <w:rFonts w:ascii="Times New Roman" w:eastAsia="Times New Roman" w:hAnsi="Times New Roman"/>
        </w:rPr>
        <w:t>, in cases like this one, the court is required to consider how the asylum system in the receiving state</w:t>
      </w:r>
      <w:r w:rsidR="009A07EE">
        <w:rPr>
          <w:rFonts w:ascii="Times New Roman" w:eastAsia="Times New Roman" w:hAnsi="Times New Roman"/>
        </w:rPr>
        <w:t xml:space="preserve">, </w:t>
      </w:r>
      <w:r w:rsidR="007545C5">
        <w:rPr>
          <w:rFonts w:ascii="Times New Roman" w:eastAsia="Times New Roman" w:hAnsi="Times New Roman"/>
        </w:rPr>
        <w:t>in this case Rwanda</w:t>
      </w:r>
      <w:r w:rsidR="009A07EE">
        <w:rPr>
          <w:rFonts w:ascii="Times New Roman" w:eastAsia="Times New Roman" w:hAnsi="Times New Roman"/>
        </w:rPr>
        <w:t>,</w:t>
      </w:r>
      <w:r w:rsidR="007545C5">
        <w:rPr>
          <w:rFonts w:ascii="Times New Roman" w:eastAsia="Times New Roman" w:hAnsi="Times New Roman"/>
        </w:rPr>
        <w:t xml:space="preserve"> </w:t>
      </w:r>
      <w:r w:rsidR="009361BA">
        <w:rPr>
          <w:rFonts w:ascii="Times New Roman" w:eastAsia="Times New Roman" w:hAnsi="Times New Roman"/>
        </w:rPr>
        <w:t>operates in practice. In doing so, the</w:t>
      </w:r>
      <w:r w:rsidR="00EA126C">
        <w:rPr>
          <w:rFonts w:ascii="Times New Roman" w:eastAsia="Times New Roman" w:hAnsi="Times New Roman"/>
        </w:rPr>
        <w:t xml:space="preserve"> court</w:t>
      </w:r>
      <w:r w:rsidR="009361BA">
        <w:rPr>
          <w:rFonts w:ascii="Times New Roman" w:eastAsia="Times New Roman" w:hAnsi="Times New Roman"/>
        </w:rPr>
        <w:t xml:space="preserve"> should have </w:t>
      </w:r>
      <w:r w:rsidR="0060718D">
        <w:rPr>
          <w:rFonts w:ascii="Times New Roman" w:eastAsia="Times New Roman" w:hAnsi="Times New Roman"/>
        </w:rPr>
        <w:t xml:space="preserve">regard to </w:t>
      </w:r>
      <w:r w:rsidR="0028376E">
        <w:rPr>
          <w:rFonts w:ascii="Times New Roman" w:eastAsia="Times New Roman" w:hAnsi="Times New Roman"/>
        </w:rPr>
        <w:t>deficiencies identified by exp</w:t>
      </w:r>
      <w:r w:rsidR="008A5BCD">
        <w:rPr>
          <w:rFonts w:ascii="Times New Roman" w:eastAsia="Times New Roman" w:hAnsi="Times New Roman"/>
        </w:rPr>
        <w:t>e</w:t>
      </w:r>
      <w:r w:rsidR="0028376E">
        <w:rPr>
          <w:rFonts w:ascii="Times New Roman" w:eastAsia="Times New Roman" w:hAnsi="Times New Roman"/>
        </w:rPr>
        <w:t>rt bodies such as UNHC</w:t>
      </w:r>
      <w:r w:rsidR="00D60F44">
        <w:rPr>
          <w:rFonts w:ascii="Times New Roman" w:eastAsia="Times New Roman" w:hAnsi="Times New Roman"/>
        </w:rPr>
        <w:t>R.</w:t>
      </w:r>
      <w:r w:rsidR="00F07458">
        <w:rPr>
          <w:rFonts w:ascii="Times New Roman" w:eastAsia="Times New Roman" w:hAnsi="Times New Roman"/>
        </w:rPr>
        <w:t xml:space="preserve"> </w:t>
      </w:r>
      <w:r w:rsidR="000033EB">
        <w:rPr>
          <w:rFonts w:ascii="Times New Roman" w:eastAsia="Times New Roman" w:hAnsi="Times New Roman"/>
        </w:rPr>
        <w:t xml:space="preserve">Where </w:t>
      </w:r>
      <w:r w:rsidR="00D60F44">
        <w:rPr>
          <w:rFonts w:ascii="Times New Roman" w:eastAsia="Times New Roman" w:hAnsi="Times New Roman"/>
        </w:rPr>
        <w:t xml:space="preserve">safety in the receiving state </w:t>
      </w:r>
      <w:r w:rsidR="00D60F44" w:rsidRPr="00844C05">
        <w:rPr>
          <w:rFonts w:ascii="Times New Roman" w:eastAsia="Times New Roman" w:hAnsi="Times New Roman"/>
        </w:rPr>
        <w:t xml:space="preserve">depends on assurances given by its government about the treatment </w:t>
      </w:r>
      <w:r w:rsidR="00A35BAB">
        <w:rPr>
          <w:rFonts w:ascii="Times New Roman" w:eastAsia="Times New Roman" w:hAnsi="Times New Roman"/>
        </w:rPr>
        <w:t xml:space="preserve">of </w:t>
      </w:r>
      <w:r w:rsidR="00D60F44" w:rsidRPr="00844C05">
        <w:rPr>
          <w:rFonts w:ascii="Times New Roman" w:eastAsia="Times New Roman" w:hAnsi="Times New Roman"/>
        </w:rPr>
        <w:t>individuals who are sent there</w:t>
      </w:r>
      <w:r w:rsidR="00D60F44">
        <w:rPr>
          <w:rFonts w:ascii="Times New Roman" w:eastAsia="Times New Roman" w:hAnsi="Times New Roman"/>
        </w:rPr>
        <w:t xml:space="preserve">, the court is required to carry out a fact-sensitive evaluation of how the assurances will operate. Relevant factors include </w:t>
      </w:r>
      <w:r w:rsidR="00D60F44" w:rsidRPr="00CC36BB">
        <w:rPr>
          <w:rFonts w:ascii="Times New Roman" w:eastAsia="Times New Roman" w:hAnsi="Times New Roman"/>
        </w:rPr>
        <w:t xml:space="preserve">the general human rights situation in the receiving state, the receiving state’s laws and practices, </w:t>
      </w:r>
      <w:r w:rsidR="00D60F44">
        <w:rPr>
          <w:rFonts w:ascii="Times New Roman" w:eastAsia="Times New Roman" w:hAnsi="Times New Roman"/>
        </w:rPr>
        <w:t>its record in complying with</w:t>
      </w:r>
      <w:r w:rsidR="00D60F44" w:rsidRPr="00CC36BB">
        <w:rPr>
          <w:rFonts w:ascii="Times New Roman" w:eastAsia="Times New Roman" w:hAnsi="Times New Roman"/>
        </w:rPr>
        <w:t xml:space="preserve"> similar assurances</w:t>
      </w:r>
      <w:r w:rsidR="00D60F44">
        <w:rPr>
          <w:rFonts w:ascii="Times New Roman" w:eastAsia="Times New Roman" w:hAnsi="Times New Roman"/>
        </w:rPr>
        <w:t xml:space="preserve"> given in the past and</w:t>
      </w:r>
      <w:r w:rsidR="00D60F44" w:rsidRPr="00CC36BB">
        <w:rPr>
          <w:rFonts w:ascii="Times New Roman" w:eastAsia="Times New Roman" w:hAnsi="Times New Roman"/>
        </w:rPr>
        <w:t xml:space="preserve"> the existence of monitoring mechanism</w:t>
      </w:r>
      <w:r w:rsidR="00D60F44">
        <w:rPr>
          <w:rFonts w:ascii="Times New Roman" w:eastAsia="Times New Roman" w:hAnsi="Times New Roman"/>
        </w:rPr>
        <w:t>s [</w:t>
      </w:r>
      <w:r w:rsidR="00D60F44" w:rsidRPr="005C5B50">
        <w:rPr>
          <w:rFonts w:ascii="Times New Roman" w:eastAsia="Times New Roman" w:hAnsi="Times New Roman"/>
          <w:b/>
          <w:bCs/>
        </w:rPr>
        <w:t>44</w:t>
      </w:r>
      <w:r w:rsidR="00D60F44">
        <w:rPr>
          <w:rFonts w:ascii="Times New Roman" w:eastAsia="Times New Roman" w:hAnsi="Times New Roman"/>
        </w:rPr>
        <w:t>]-[</w:t>
      </w:r>
      <w:r w:rsidR="00D60F44" w:rsidRPr="005C5B50">
        <w:rPr>
          <w:rFonts w:ascii="Times New Roman" w:eastAsia="Times New Roman" w:hAnsi="Times New Roman"/>
          <w:b/>
          <w:bCs/>
        </w:rPr>
        <w:t>49</w:t>
      </w:r>
      <w:r w:rsidR="00D60F44">
        <w:rPr>
          <w:rFonts w:ascii="Times New Roman" w:eastAsia="Times New Roman" w:hAnsi="Times New Roman"/>
        </w:rPr>
        <w:t xml:space="preserve">]. </w:t>
      </w:r>
    </w:p>
    <w:p w14:paraId="0CEC23FC" w14:textId="14D0B504" w:rsidR="00544C4D" w:rsidRDefault="008A5BCD" w:rsidP="00C1383F">
      <w:pPr>
        <w:rPr>
          <w:rFonts w:ascii="Times New Roman" w:eastAsia="Times New Roman" w:hAnsi="Times New Roman"/>
        </w:rPr>
      </w:pPr>
      <w:r>
        <w:rPr>
          <w:rFonts w:ascii="Times New Roman" w:eastAsia="Times New Roman" w:hAnsi="Times New Roman"/>
        </w:rPr>
        <w:t xml:space="preserve">The Divisional Court did not follow this approach. </w:t>
      </w:r>
      <w:r w:rsidR="00AF49DD">
        <w:rPr>
          <w:rFonts w:ascii="Times New Roman" w:eastAsia="Times New Roman" w:hAnsi="Times New Roman"/>
        </w:rPr>
        <w:t>Instead, it held that the Home Secretary was entitled to rely on the assurances given by the Rwandan government in the MEDP</w:t>
      </w:r>
      <w:r w:rsidR="00ED1F21">
        <w:rPr>
          <w:rFonts w:ascii="Times New Roman" w:eastAsia="Times New Roman" w:hAnsi="Times New Roman"/>
        </w:rPr>
        <w:t>, and</w:t>
      </w:r>
      <w:r w:rsidR="007768A5">
        <w:rPr>
          <w:rFonts w:ascii="Times New Roman" w:eastAsia="Times New Roman" w:hAnsi="Times New Roman"/>
        </w:rPr>
        <w:t xml:space="preserve"> failed to engage with UNHCR’s evidence</w:t>
      </w:r>
      <w:r w:rsidR="00EA0D9D">
        <w:rPr>
          <w:rFonts w:ascii="Times New Roman" w:eastAsia="Times New Roman" w:hAnsi="Times New Roman"/>
        </w:rPr>
        <w:t xml:space="preserve">, </w:t>
      </w:r>
      <w:r w:rsidR="004241E5">
        <w:rPr>
          <w:rFonts w:ascii="Times New Roman" w:eastAsia="Times New Roman" w:hAnsi="Times New Roman"/>
        </w:rPr>
        <w:t>described below in relation to issue 3</w:t>
      </w:r>
      <w:r w:rsidR="006D77F2">
        <w:rPr>
          <w:rFonts w:ascii="Times New Roman" w:eastAsia="Times New Roman" w:hAnsi="Times New Roman"/>
        </w:rPr>
        <w:t xml:space="preserve">. </w:t>
      </w:r>
      <w:r w:rsidR="003B64FB">
        <w:rPr>
          <w:rFonts w:ascii="Times New Roman" w:eastAsia="Times New Roman" w:hAnsi="Times New Roman"/>
        </w:rPr>
        <w:t>UNH</w:t>
      </w:r>
      <w:r w:rsidR="00E6590D">
        <w:rPr>
          <w:rFonts w:ascii="Times New Roman" w:eastAsia="Times New Roman" w:hAnsi="Times New Roman"/>
        </w:rPr>
        <w:t>C</w:t>
      </w:r>
      <w:r w:rsidR="003B64FB">
        <w:rPr>
          <w:rFonts w:ascii="Times New Roman" w:eastAsia="Times New Roman" w:hAnsi="Times New Roman"/>
        </w:rPr>
        <w:t>R’s</w:t>
      </w:r>
      <w:r w:rsidR="00EF1F4A">
        <w:rPr>
          <w:rFonts w:ascii="Times New Roman" w:eastAsia="Times New Roman" w:hAnsi="Times New Roman"/>
        </w:rPr>
        <w:t xml:space="preserve"> evidence should have been given particular weight </w:t>
      </w:r>
      <w:r w:rsidR="007768A5">
        <w:rPr>
          <w:rFonts w:ascii="Times New Roman" w:eastAsia="Times New Roman" w:hAnsi="Times New Roman"/>
        </w:rPr>
        <w:t xml:space="preserve">given </w:t>
      </w:r>
      <w:r w:rsidR="009B7AC0">
        <w:rPr>
          <w:rFonts w:ascii="Times New Roman" w:eastAsia="Times New Roman" w:hAnsi="Times New Roman"/>
        </w:rPr>
        <w:t>its</w:t>
      </w:r>
      <w:r w:rsidR="007E08B7">
        <w:rPr>
          <w:rFonts w:ascii="Times New Roman" w:eastAsia="Times New Roman" w:hAnsi="Times New Roman"/>
        </w:rPr>
        <w:t xml:space="preserve"> remit and</w:t>
      </w:r>
      <w:r w:rsidR="007768A5">
        <w:rPr>
          <w:rFonts w:ascii="Times New Roman" w:eastAsia="Times New Roman" w:hAnsi="Times New Roman"/>
        </w:rPr>
        <w:t xml:space="preserve"> unrivalled practical experience of working in the Rwandan asylum system</w:t>
      </w:r>
      <w:r w:rsidR="00FE58AC">
        <w:rPr>
          <w:rFonts w:ascii="Times New Roman" w:eastAsia="Times New Roman" w:hAnsi="Times New Roman"/>
        </w:rPr>
        <w:t xml:space="preserve"> </w:t>
      </w:r>
      <w:r w:rsidR="006C4536">
        <w:rPr>
          <w:rFonts w:ascii="Times New Roman" w:eastAsia="Times New Roman" w:hAnsi="Times New Roman"/>
        </w:rPr>
        <w:t>[</w:t>
      </w:r>
      <w:r w:rsidR="006C4536" w:rsidRPr="00FE58AC">
        <w:rPr>
          <w:rFonts w:ascii="Times New Roman" w:eastAsia="Times New Roman" w:hAnsi="Times New Roman"/>
          <w:b/>
          <w:bCs/>
        </w:rPr>
        <w:t>50</w:t>
      </w:r>
      <w:r w:rsidR="006C4536">
        <w:rPr>
          <w:rFonts w:ascii="Times New Roman" w:eastAsia="Times New Roman" w:hAnsi="Times New Roman"/>
        </w:rPr>
        <w:t>]-[</w:t>
      </w:r>
      <w:r w:rsidR="006C4536" w:rsidRPr="00FE58AC">
        <w:rPr>
          <w:rFonts w:ascii="Times New Roman" w:eastAsia="Times New Roman" w:hAnsi="Times New Roman"/>
          <w:b/>
          <w:bCs/>
        </w:rPr>
        <w:t>7</w:t>
      </w:r>
      <w:r w:rsidR="006B00CC">
        <w:rPr>
          <w:rFonts w:ascii="Times New Roman" w:eastAsia="Times New Roman" w:hAnsi="Times New Roman"/>
          <w:b/>
          <w:bCs/>
        </w:rPr>
        <w:t>1</w:t>
      </w:r>
      <w:r w:rsidR="006C4536">
        <w:rPr>
          <w:rFonts w:ascii="Times New Roman" w:eastAsia="Times New Roman" w:hAnsi="Times New Roman"/>
        </w:rPr>
        <w:t>].</w:t>
      </w:r>
    </w:p>
    <w:p w14:paraId="39B21803" w14:textId="7C280083" w:rsidR="00B97EC7" w:rsidRPr="006708DF" w:rsidRDefault="00B97EC7" w:rsidP="00C1383F">
      <w:pPr>
        <w:rPr>
          <w:rFonts w:ascii="Times New Roman" w:eastAsia="Times New Roman" w:hAnsi="Times New Roman"/>
          <w:b/>
          <w:bCs/>
          <w:i/>
          <w:iCs/>
        </w:rPr>
      </w:pPr>
      <w:r w:rsidRPr="006708DF">
        <w:rPr>
          <w:rFonts w:ascii="Times New Roman" w:eastAsia="Times New Roman" w:hAnsi="Times New Roman"/>
          <w:b/>
          <w:bCs/>
          <w:i/>
          <w:iCs/>
        </w:rPr>
        <w:t>Issue 3:</w:t>
      </w:r>
      <w:r w:rsidR="003A5923" w:rsidRPr="006708DF">
        <w:rPr>
          <w:rFonts w:ascii="Times New Roman" w:eastAsia="Times New Roman" w:hAnsi="Times New Roman"/>
          <w:b/>
          <w:bCs/>
          <w:i/>
          <w:iCs/>
        </w:rPr>
        <w:t xml:space="preserve"> Was the Court of Appeal entitled to conclude that there were </w:t>
      </w:r>
      <w:r w:rsidR="009C3D06" w:rsidRPr="006708DF">
        <w:rPr>
          <w:rFonts w:ascii="Times New Roman" w:eastAsia="Times New Roman" w:hAnsi="Times New Roman"/>
          <w:b/>
          <w:bCs/>
          <w:i/>
          <w:iCs/>
        </w:rPr>
        <w:t xml:space="preserve">substantial grounds for </w:t>
      </w:r>
      <w:r w:rsidR="00824352">
        <w:rPr>
          <w:rFonts w:ascii="Times New Roman" w:eastAsia="Times New Roman" w:hAnsi="Times New Roman"/>
          <w:b/>
          <w:bCs/>
          <w:i/>
          <w:iCs/>
        </w:rPr>
        <w:t>believin</w:t>
      </w:r>
      <w:r w:rsidR="009C3D06" w:rsidRPr="006708DF">
        <w:rPr>
          <w:rFonts w:ascii="Times New Roman" w:eastAsia="Times New Roman" w:hAnsi="Times New Roman"/>
          <w:b/>
          <w:bCs/>
          <w:i/>
          <w:iCs/>
        </w:rPr>
        <w:t>g that asylum seekers would</w:t>
      </w:r>
      <w:r w:rsidR="006708DF" w:rsidRPr="006708DF">
        <w:rPr>
          <w:rFonts w:ascii="Times New Roman" w:eastAsia="Times New Roman" w:hAnsi="Times New Roman"/>
          <w:b/>
          <w:bCs/>
          <w:i/>
          <w:iCs/>
        </w:rPr>
        <w:t xml:space="preserve"> face a real risk of ill-treatment by reason of refoulement following their removal to Rwanda?</w:t>
      </w:r>
    </w:p>
    <w:p w14:paraId="4F39E6E4" w14:textId="07374378" w:rsidR="006708DF" w:rsidRDefault="006708DF" w:rsidP="00C1383F">
      <w:pPr>
        <w:rPr>
          <w:rFonts w:ascii="Times New Roman" w:hAnsi="Times New Roman"/>
          <w:szCs w:val="24"/>
        </w:rPr>
      </w:pPr>
      <w:r w:rsidRPr="004126DA">
        <w:rPr>
          <w:rFonts w:ascii="Times New Roman" w:eastAsia="Times New Roman" w:hAnsi="Times New Roman"/>
          <w:szCs w:val="24"/>
        </w:rPr>
        <w:t>Yes</w:t>
      </w:r>
      <w:r w:rsidR="00196A81" w:rsidRPr="004126DA">
        <w:rPr>
          <w:rFonts w:ascii="Times New Roman" w:eastAsia="Times New Roman" w:hAnsi="Times New Roman"/>
          <w:szCs w:val="24"/>
        </w:rPr>
        <w:t xml:space="preserve">, the Court of Appeal was </w:t>
      </w:r>
      <w:r w:rsidR="00824352" w:rsidRPr="004126DA">
        <w:rPr>
          <w:rFonts w:ascii="Times New Roman" w:eastAsia="Times New Roman" w:hAnsi="Times New Roman"/>
          <w:szCs w:val="24"/>
        </w:rPr>
        <w:t>entitled to conclude that there were substantial grounds for believing that asylum seekers would</w:t>
      </w:r>
      <w:r w:rsidR="009B7AC0">
        <w:rPr>
          <w:rFonts w:ascii="Times New Roman" w:eastAsia="Times New Roman" w:hAnsi="Times New Roman"/>
          <w:szCs w:val="24"/>
        </w:rPr>
        <w:t xml:space="preserve"> be at</w:t>
      </w:r>
      <w:r w:rsidR="00824352" w:rsidRPr="004126DA">
        <w:rPr>
          <w:rFonts w:ascii="Times New Roman" w:eastAsia="Times New Roman" w:hAnsi="Times New Roman"/>
          <w:szCs w:val="24"/>
        </w:rPr>
        <w:t xml:space="preserve"> </w:t>
      </w:r>
      <w:r w:rsidR="004126DA" w:rsidRPr="004126DA">
        <w:rPr>
          <w:rFonts w:ascii="Times New Roman" w:hAnsi="Times New Roman"/>
          <w:szCs w:val="24"/>
        </w:rPr>
        <w:t>real risk of ill-treatment by reason of refoulement if they were removed to Rwanda</w:t>
      </w:r>
      <w:r w:rsidR="00A81B79">
        <w:rPr>
          <w:rFonts w:ascii="Times New Roman" w:hAnsi="Times New Roman"/>
          <w:szCs w:val="24"/>
        </w:rPr>
        <w:t xml:space="preserve"> [</w:t>
      </w:r>
      <w:r w:rsidR="00A81B79" w:rsidRPr="00A81B79">
        <w:rPr>
          <w:rFonts w:ascii="Times New Roman" w:hAnsi="Times New Roman"/>
          <w:b/>
          <w:bCs/>
          <w:szCs w:val="24"/>
        </w:rPr>
        <w:t>73</w:t>
      </w:r>
      <w:r w:rsidR="00A81B79">
        <w:rPr>
          <w:rFonts w:ascii="Times New Roman" w:hAnsi="Times New Roman"/>
          <w:szCs w:val="24"/>
        </w:rPr>
        <w:t xml:space="preserve">]. </w:t>
      </w:r>
    </w:p>
    <w:p w14:paraId="412AA42B" w14:textId="3AAC2E16" w:rsidR="000824DC" w:rsidRPr="00EA0D9D" w:rsidRDefault="00067996" w:rsidP="00C1383F">
      <w:pPr>
        <w:rPr>
          <w:rFonts w:ascii="Times New Roman" w:eastAsia="Times New Roman" w:hAnsi="Times New Roman"/>
        </w:rPr>
      </w:pPr>
      <w:r>
        <w:rPr>
          <w:rFonts w:ascii="Times New Roman" w:hAnsi="Times New Roman"/>
          <w:szCs w:val="24"/>
        </w:rPr>
        <w:t>The Court of Appeal’s conclusion was based on the following</w:t>
      </w:r>
      <w:r w:rsidR="00A81B79">
        <w:rPr>
          <w:rFonts w:ascii="Times New Roman" w:hAnsi="Times New Roman"/>
          <w:szCs w:val="24"/>
        </w:rPr>
        <w:t xml:space="preserve"> </w:t>
      </w:r>
      <w:r w:rsidR="00854514">
        <w:rPr>
          <w:rFonts w:ascii="Times New Roman" w:hAnsi="Times New Roman"/>
          <w:szCs w:val="24"/>
        </w:rPr>
        <w:t>evidence</w:t>
      </w:r>
      <w:r w:rsidR="00443993">
        <w:rPr>
          <w:rFonts w:ascii="Times New Roman" w:hAnsi="Times New Roman"/>
          <w:szCs w:val="24"/>
        </w:rPr>
        <w:t xml:space="preserve">. First, Rwanda has a poor human rights </w:t>
      </w:r>
      <w:r w:rsidR="00694E5B">
        <w:rPr>
          <w:rFonts w:ascii="Times New Roman" w:hAnsi="Times New Roman"/>
          <w:szCs w:val="24"/>
        </w:rPr>
        <w:t>record</w:t>
      </w:r>
      <w:r w:rsidR="00D219C8">
        <w:rPr>
          <w:rFonts w:ascii="Times New Roman" w:hAnsi="Times New Roman"/>
          <w:szCs w:val="24"/>
        </w:rPr>
        <w:t xml:space="preserve">. </w:t>
      </w:r>
      <w:r w:rsidR="00EF51B0">
        <w:rPr>
          <w:rFonts w:ascii="Times New Roman" w:hAnsi="Times New Roman"/>
          <w:szCs w:val="24"/>
        </w:rPr>
        <w:t xml:space="preserve">In 2021, </w:t>
      </w:r>
      <w:r w:rsidR="00FA62A3">
        <w:rPr>
          <w:rFonts w:ascii="Times New Roman" w:hAnsi="Times New Roman"/>
          <w:szCs w:val="24"/>
        </w:rPr>
        <w:t xml:space="preserve">the UK government criticised </w:t>
      </w:r>
      <w:r w:rsidR="00744C21">
        <w:rPr>
          <w:rFonts w:ascii="Times New Roman" w:hAnsi="Times New Roman"/>
          <w:szCs w:val="24"/>
        </w:rPr>
        <w:t xml:space="preserve">Rwanda for </w:t>
      </w:r>
      <w:r w:rsidR="00744C21" w:rsidRPr="00744C21">
        <w:rPr>
          <w:rFonts w:ascii="Times New Roman" w:hAnsi="Times New Roman"/>
          <w:szCs w:val="24"/>
        </w:rPr>
        <w:t>“extrajudicial killings, deaths in custody, enforced disappearances and torture”.</w:t>
      </w:r>
      <w:r w:rsidR="003B30F4">
        <w:rPr>
          <w:rFonts w:ascii="Times New Roman" w:hAnsi="Times New Roman"/>
          <w:szCs w:val="24"/>
        </w:rPr>
        <w:t xml:space="preserve"> </w:t>
      </w:r>
      <w:r w:rsidR="001A159C">
        <w:rPr>
          <w:rFonts w:ascii="Times New Roman" w:hAnsi="Times New Roman"/>
          <w:szCs w:val="24"/>
        </w:rPr>
        <w:t xml:space="preserve">UK government officials have also raised </w:t>
      </w:r>
      <w:r w:rsidR="00744C21">
        <w:rPr>
          <w:rFonts w:ascii="Times New Roman" w:hAnsi="Times New Roman"/>
          <w:szCs w:val="24"/>
        </w:rPr>
        <w:t>concerns about</w:t>
      </w:r>
      <w:r w:rsidR="003F6532">
        <w:rPr>
          <w:rFonts w:ascii="Times New Roman" w:hAnsi="Times New Roman"/>
          <w:szCs w:val="24"/>
        </w:rPr>
        <w:t xml:space="preserve"> </w:t>
      </w:r>
      <w:r w:rsidR="00F31AD4">
        <w:rPr>
          <w:rFonts w:ascii="Times New Roman" w:hAnsi="Times New Roman"/>
          <w:szCs w:val="24"/>
        </w:rPr>
        <w:t xml:space="preserve">constraints on media </w:t>
      </w:r>
      <w:r w:rsidR="00744C21">
        <w:rPr>
          <w:rFonts w:ascii="Times New Roman" w:hAnsi="Times New Roman"/>
          <w:szCs w:val="24"/>
        </w:rPr>
        <w:t xml:space="preserve">and political </w:t>
      </w:r>
      <w:r w:rsidR="00F31AD4">
        <w:rPr>
          <w:rFonts w:ascii="Times New Roman" w:hAnsi="Times New Roman"/>
          <w:szCs w:val="24"/>
        </w:rPr>
        <w:t xml:space="preserve">freedom </w:t>
      </w:r>
      <w:r w:rsidR="00DA0464">
        <w:rPr>
          <w:rFonts w:ascii="Times New Roman" w:hAnsi="Times New Roman"/>
          <w:szCs w:val="24"/>
        </w:rPr>
        <w:t>[</w:t>
      </w:r>
      <w:r w:rsidR="00DA0464" w:rsidRPr="00F31AD4">
        <w:rPr>
          <w:rFonts w:ascii="Times New Roman" w:hAnsi="Times New Roman"/>
          <w:b/>
          <w:bCs/>
          <w:szCs w:val="24"/>
        </w:rPr>
        <w:t>75</w:t>
      </w:r>
      <w:r w:rsidR="00DA0464">
        <w:rPr>
          <w:rFonts w:ascii="Times New Roman" w:hAnsi="Times New Roman"/>
          <w:szCs w:val="24"/>
        </w:rPr>
        <w:t>]-[</w:t>
      </w:r>
      <w:r w:rsidR="00DA0464" w:rsidRPr="00F31AD4">
        <w:rPr>
          <w:rFonts w:ascii="Times New Roman" w:hAnsi="Times New Roman"/>
          <w:b/>
          <w:bCs/>
          <w:szCs w:val="24"/>
        </w:rPr>
        <w:t>76</w:t>
      </w:r>
      <w:r w:rsidR="00DA0464">
        <w:rPr>
          <w:rFonts w:ascii="Times New Roman" w:hAnsi="Times New Roman"/>
          <w:szCs w:val="24"/>
        </w:rPr>
        <w:t xml:space="preserve">]. </w:t>
      </w:r>
      <w:r w:rsidR="00174FC4">
        <w:rPr>
          <w:rFonts w:ascii="Times New Roman" w:hAnsi="Times New Roman"/>
          <w:szCs w:val="24"/>
        </w:rPr>
        <w:t xml:space="preserve"> </w:t>
      </w:r>
      <w:r w:rsidR="00A81B79">
        <w:rPr>
          <w:rFonts w:ascii="Times New Roman" w:eastAsia="Times New Roman" w:hAnsi="Times New Roman"/>
        </w:rPr>
        <w:t>Secondly,</w:t>
      </w:r>
      <w:r w:rsidR="00013138">
        <w:rPr>
          <w:rFonts w:ascii="Times New Roman" w:eastAsia="Times New Roman" w:hAnsi="Times New Roman"/>
        </w:rPr>
        <w:t xml:space="preserve"> UNHCR’s evidence is that </w:t>
      </w:r>
      <w:r w:rsidR="0055558B">
        <w:rPr>
          <w:rFonts w:ascii="Times New Roman" w:eastAsia="Times New Roman" w:hAnsi="Times New Roman"/>
        </w:rPr>
        <w:t>there are serious and systematic defects in Rwanda’s procedures and institutions for processing asylum claims.</w:t>
      </w:r>
      <w:r w:rsidR="00FD124D">
        <w:rPr>
          <w:rFonts w:ascii="Times New Roman" w:eastAsia="Times New Roman" w:hAnsi="Times New Roman"/>
        </w:rPr>
        <w:t xml:space="preserve"> </w:t>
      </w:r>
      <w:r w:rsidR="001854B6">
        <w:rPr>
          <w:rFonts w:ascii="Times New Roman" w:eastAsia="Times New Roman" w:hAnsi="Times New Roman"/>
        </w:rPr>
        <w:t xml:space="preserve">In </w:t>
      </w:r>
      <w:r w:rsidR="001B6DD9">
        <w:rPr>
          <w:rFonts w:ascii="Times New Roman" w:eastAsia="Times New Roman" w:hAnsi="Times New Roman"/>
        </w:rPr>
        <w:t>summary</w:t>
      </w:r>
      <w:r w:rsidR="001854B6">
        <w:rPr>
          <w:rFonts w:ascii="Times New Roman" w:eastAsia="Times New Roman" w:hAnsi="Times New Roman"/>
        </w:rPr>
        <w:t>, these include</w:t>
      </w:r>
      <w:r w:rsidR="008707DD">
        <w:rPr>
          <w:rFonts w:ascii="Times New Roman" w:eastAsia="Times New Roman" w:hAnsi="Times New Roman"/>
        </w:rPr>
        <w:t>: (i)</w:t>
      </w:r>
      <w:r w:rsidR="001B6DD9">
        <w:rPr>
          <w:rFonts w:ascii="Times New Roman" w:eastAsia="Times New Roman" w:hAnsi="Times New Roman"/>
        </w:rPr>
        <w:t xml:space="preserve"> concerns about the asylum process itself,</w:t>
      </w:r>
      <w:r w:rsidR="001F09D6">
        <w:rPr>
          <w:rFonts w:ascii="Times New Roman" w:eastAsia="Times New Roman" w:hAnsi="Times New Roman"/>
        </w:rPr>
        <w:t xml:space="preserve"> </w:t>
      </w:r>
      <w:r w:rsidR="008B01DC">
        <w:rPr>
          <w:rFonts w:ascii="Times New Roman" w:eastAsia="Times New Roman" w:hAnsi="Times New Roman"/>
        </w:rPr>
        <w:t xml:space="preserve">such as </w:t>
      </w:r>
      <w:r w:rsidR="007E091E">
        <w:rPr>
          <w:rFonts w:ascii="Times New Roman" w:eastAsia="Times New Roman" w:hAnsi="Times New Roman"/>
        </w:rPr>
        <w:t xml:space="preserve">the </w:t>
      </w:r>
      <w:r w:rsidR="002D562D">
        <w:rPr>
          <w:rFonts w:ascii="Times New Roman" w:eastAsia="Times New Roman" w:hAnsi="Times New Roman"/>
        </w:rPr>
        <w:t>lack</w:t>
      </w:r>
      <w:r w:rsidR="007E091E">
        <w:rPr>
          <w:rFonts w:ascii="Times New Roman" w:eastAsia="Times New Roman" w:hAnsi="Times New Roman"/>
        </w:rPr>
        <w:t xml:space="preserve"> of legal representation, the</w:t>
      </w:r>
      <w:r w:rsidR="001C3AD7">
        <w:rPr>
          <w:rFonts w:ascii="Times New Roman" w:eastAsia="Times New Roman" w:hAnsi="Times New Roman"/>
        </w:rPr>
        <w:t xml:space="preserve"> risk that judges and lawyers will not act independently of the government in politically sensitive cases, and a completely untested right of appeal to the High Court,</w:t>
      </w:r>
      <w:r w:rsidR="001B6DD9">
        <w:rPr>
          <w:rFonts w:ascii="Times New Roman" w:eastAsia="Times New Roman" w:hAnsi="Times New Roman"/>
        </w:rPr>
        <w:t xml:space="preserve"> (ii) </w:t>
      </w:r>
      <w:r w:rsidR="0022016F">
        <w:rPr>
          <w:rFonts w:ascii="Times New Roman" w:eastAsia="Times New Roman" w:hAnsi="Times New Roman"/>
        </w:rPr>
        <w:t xml:space="preserve">the </w:t>
      </w:r>
      <w:r w:rsidR="00534FC9">
        <w:rPr>
          <w:rFonts w:ascii="Times New Roman" w:eastAsia="Times New Roman" w:hAnsi="Times New Roman"/>
        </w:rPr>
        <w:t xml:space="preserve">surprisingly </w:t>
      </w:r>
      <w:r w:rsidR="0022016F">
        <w:rPr>
          <w:rFonts w:ascii="Times New Roman" w:eastAsia="Times New Roman" w:hAnsi="Times New Roman"/>
        </w:rPr>
        <w:t xml:space="preserve">high rate of rejection of asylum claims from </w:t>
      </w:r>
      <w:r w:rsidR="003442A5">
        <w:rPr>
          <w:rFonts w:ascii="Times New Roman" w:eastAsia="Times New Roman" w:hAnsi="Times New Roman"/>
        </w:rPr>
        <w:t>certain countries</w:t>
      </w:r>
      <w:r w:rsidR="00534FC9">
        <w:rPr>
          <w:rFonts w:ascii="Times New Roman" w:eastAsia="Times New Roman" w:hAnsi="Times New Roman"/>
        </w:rPr>
        <w:t xml:space="preserve"> </w:t>
      </w:r>
      <w:r w:rsidR="007F4AB6">
        <w:rPr>
          <w:rFonts w:ascii="Times New Roman" w:eastAsia="Times New Roman" w:hAnsi="Times New Roman"/>
        </w:rPr>
        <w:t>in known conflict</w:t>
      </w:r>
      <w:r w:rsidR="009A07EE">
        <w:rPr>
          <w:rFonts w:ascii="Times New Roman" w:eastAsia="Times New Roman" w:hAnsi="Times New Roman"/>
        </w:rPr>
        <w:t xml:space="preserve"> </w:t>
      </w:r>
      <w:r w:rsidR="007F4AB6">
        <w:rPr>
          <w:rFonts w:ascii="Times New Roman" w:eastAsia="Times New Roman" w:hAnsi="Times New Roman"/>
        </w:rPr>
        <w:t xml:space="preserve">zones </w:t>
      </w:r>
      <w:r w:rsidR="00534FC9">
        <w:rPr>
          <w:rFonts w:ascii="Times New Roman" w:eastAsia="Times New Roman" w:hAnsi="Times New Roman"/>
        </w:rPr>
        <w:t>from which asylum seekers</w:t>
      </w:r>
      <w:r w:rsidR="003442A5" w:rsidRPr="003442A5">
        <w:rPr>
          <w:rFonts w:ascii="Times New Roman" w:eastAsia="Times New Roman" w:hAnsi="Times New Roman"/>
        </w:rPr>
        <w:t xml:space="preserve"> </w:t>
      </w:r>
      <w:r w:rsidR="003442A5">
        <w:rPr>
          <w:rFonts w:ascii="Times New Roman" w:eastAsia="Times New Roman" w:hAnsi="Times New Roman"/>
        </w:rPr>
        <w:t>removed from the UK may well emanate</w:t>
      </w:r>
      <w:r w:rsidR="0022016F">
        <w:rPr>
          <w:rFonts w:ascii="Times New Roman" w:eastAsia="Times New Roman" w:hAnsi="Times New Roman"/>
        </w:rPr>
        <w:t>,</w:t>
      </w:r>
      <w:r w:rsidR="00EC771B">
        <w:rPr>
          <w:rFonts w:ascii="Times New Roman" w:eastAsia="Times New Roman" w:hAnsi="Times New Roman"/>
        </w:rPr>
        <w:t xml:space="preserve"> (iii) Rwanda’s </w:t>
      </w:r>
      <w:r w:rsidR="009141AD">
        <w:rPr>
          <w:rFonts w:ascii="Times New Roman" w:eastAsia="Times New Roman" w:hAnsi="Times New Roman"/>
        </w:rPr>
        <w:t xml:space="preserve">practice of refoulement, which has continued </w:t>
      </w:r>
      <w:r w:rsidR="004C04D4">
        <w:rPr>
          <w:rFonts w:ascii="Times New Roman" w:eastAsia="Times New Roman" w:hAnsi="Times New Roman"/>
        </w:rPr>
        <w:t>since the MEDP</w:t>
      </w:r>
      <w:r w:rsidR="00E16948">
        <w:rPr>
          <w:rFonts w:ascii="Times New Roman" w:eastAsia="Times New Roman" w:hAnsi="Times New Roman"/>
        </w:rPr>
        <w:t xml:space="preserve"> was concluded</w:t>
      </w:r>
      <w:r w:rsidR="004C04D4">
        <w:rPr>
          <w:rFonts w:ascii="Times New Roman" w:eastAsia="Times New Roman" w:hAnsi="Times New Roman"/>
        </w:rPr>
        <w:t xml:space="preserve">, </w:t>
      </w:r>
      <w:r w:rsidR="00C05754">
        <w:rPr>
          <w:rFonts w:ascii="Times New Roman" w:eastAsia="Times New Roman" w:hAnsi="Times New Roman"/>
        </w:rPr>
        <w:t xml:space="preserve">and </w:t>
      </w:r>
      <w:r w:rsidR="004C04D4">
        <w:rPr>
          <w:rFonts w:ascii="Times New Roman" w:eastAsia="Times New Roman" w:hAnsi="Times New Roman"/>
        </w:rPr>
        <w:t xml:space="preserve">(iv) the </w:t>
      </w:r>
      <w:r w:rsidR="006963F0">
        <w:rPr>
          <w:rFonts w:ascii="Times New Roman" w:eastAsia="Times New Roman" w:hAnsi="Times New Roman"/>
        </w:rPr>
        <w:t>apparent inadequacy of the Rwandan government’s understanding of the requirements of the Refugee Convention</w:t>
      </w:r>
      <w:r w:rsidR="00B5278D">
        <w:rPr>
          <w:rFonts w:ascii="Times New Roman" w:eastAsia="Times New Roman" w:hAnsi="Times New Roman"/>
        </w:rPr>
        <w:t xml:space="preserve"> [</w:t>
      </w:r>
      <w:r w:rsidR="00B5278D" w:rsidRPr="00847F39">
        <w:rPr>
          <w:rFonts w:ascii="Times New Roman" w:eastAsia="Times New Roman" w:hAnsi="Times New Roman"/>
          <w:b/>
          <w:bCs/>
        </w:rPr>
        <w:t>77</w:t>
      </w:r>
      <w:r w:rsidR="00B5278D">
        <w:rPr>
          <w:rFonts w:ascii="Times New Roman" w:eastAsia="Times New Roman" w:hAnsi="Times New Roman"/>
        </w:rPr>
        <w:t>]-[</w:t>
      </w:r>
      <w:r w:rsidR="001F09D6" w:rsidRPr="00847F39">
        <w:rPr>
          <w:rFonts w:ascii="Times New Roman" w:eastAsia="Times New Roman" w:hAnsi="Times New Roman"/>
          <w:b/>
          <w:bCs/>
        </w:rPr>
        <w:t>94</w:t>
      </w:r>
      <w:r w:rsidR="001F09D6">
        <w:rPr>
          <w:rFonts w:ascii="Times New Roman" w:eastAsia="Times New Roman" w:hAnsi="Times New Roman"/>
        </w:rPr>
        <w:t>].</w:t>
      </w:r>
      <w:r w:rsidR="00090075">
        <w:rPr>
          <w:rFonts w:ascii="Times New Roman" w:hAnsi="Times New Roman"/>
          <w:szCs w:val="24"/>
        </w:rPr>
        <w:t xml:space="preserve"> </w:t>
      </w:r>
      <w:r w:rsidR="00F041DC">
        <w:rPr>
          <w:rFonts w:ascii="Times New Roman" w:eastAsia="Times New Roman" w:hAnsi="Times New Roman"/>
        </w:rPr>
        <w:t xml:space="preserve">Thirdly, </w:t>
      </w:r>
      <w:r w:rsidR="000824DC">
        <w:rPr>
          <w:rFonts w:ascii="Times New Roman" w:eastAsia="Times New Roman" w:hAnsi="Times New Roman"/>
        </w:rPr>
        <w:t>Rwanda has recently failed to comply</w:t>
      </w:r>
      <w:r w:rsidR="00EA0D9D">
        <w:rPr>
          <w:rFonts w:ascii="Times New Roman" w:eastAsia="Times New Roman" w:hAnsi="Times New Roman"/>
        </w:rPr>
        <w:t xml:space="preserve"> with an</w:t>
      </w:r>
      <w:r w:rsidR="000824DC">
        <w:rPr>
          <w:rFonts w:ascii="Times New Roman" w:eastAsia="Times New Roman" w:hAnsi="Times New Roman"/>
        </w:rPr>
        <w:t xml:space="preserve"> explicit undertaking to comply with the non-refoulement </w:t>
      </w:r>
      <w:r w:rsidR="00876ADD">
        <w:rPr>
          <w:rFonts w:ascii="Times New Roman" w:eastAsia="Times New Roman" w:hAnsi="Times New Roman"/>
        </w:rPr>
        <w:t xml:space="preserve">principle </w:t>
      </w:r>
      <w:r w:rsidR="000824DC">
        <w:rPr>
          <w:rFonts w:ascii="Times New Roman" w:eastAsia="Times New Roman" w:hAnsi="Times New Roman"/>
        </w:rPr>
        <w:t xml:space="preserve">given to Israel in an agreement for the removal of asylum seekers from Israel to Rwanda </w:t>
      </w:r>
      <w:r w:rsidR="003442A5">
        <w:rPr>
          <w:rFonts w:ascii="Times New Roman" w:eastAsia="Times New Roman" w:hAnsi="Times New Roman"/>
        </w:rPr>
        <w:t>which operated between 2013 and 2018</w:t>
      </w:r>
      <w:r w:rsidR="00EA0D9D">
        <w:rPr>
          <w:rFonts w:ascii="Times New Roman" w:eastAsia="Times New Roman" w:hAnsi="Times New Roman"/>
        </w:rPr>
        <w:t xml:space="preserve"> [</w:t>
      </w:r>
      <w:r w:rsidR="00EA0D9D" w:rsidRPr="008A7532">
        <w:rPr>
          <w:rFonts w:ascii="Times New Roman" w:eastAsia="Times New Roman" w:hAnsi="Times New Roman"/>
          <w:b/>
          <w:bCs/>
        </w:rPr>
        <w:t>95</w:t>
      </w:r>
      <w:r w:rsidR="00EA0D9D">
        <w:rPr>
          <w:rFonts w:ascii="Times New Roman" w:eastAsia="Times New Roman" w:hAnsi="Times New Roman"/>
        </w:rPr>
        <w:t>]-[</w:t>
      </w:r>
      <w:r w:rsidR="00EA0D9D" w:rsidRPr="008A7532">
        <w:rPr>
          <w:rFonts w:ascii="Times New Roman" w:eastAsia="Times New Roman" w:hAnsi="Times New Roman"/>
          <w:b/>
          <w:bCs/>
        </w:rPr>
        <w:t>100</w:t>
      </w:r>
      <w:r w:rsidR="00EA0D9D">
        <w:rPr>
          <w:rFonts w:ascii="Times New Roman" w:eastAsia="Times New Roman" w:hAnsi="Times New Roman"/>
        </w:rPr>
        <w:t>].</w:t>
      </w:r>
    </w:p>
    <w:p w14:paraId="265066DF" w14:textId="5D36FF56" w:rsidR="00365F6D" w:rsidRDefault="002B70A3" w:rsidP="00C1383F">
      <w:pPr>
        <w:rPr>
          <w:rFonts w:ascii="Times New Roman" w:eastAsia="Times New Roman" w:hAnsi="Times New Roman"/>
        </w:rPr>
      </w:pPr>
      <w:r>
        <w:rPr>
          <w:rFonts w:ascii="Times New Roman" w:eastAsia="Times New Roman" w:hAnsi="Times New Roman"/>
        </w:rPr>
        <w:t>T</w:t>
      </w:r>
      <w:r w:rsidR="00F10B7F">
        <w:rPr>
          <w:rFonts w:ascii="Times New Roman" w:eastAsia="Times New Roman" w:hAnsi="Times New Roman"/>
        </w:rPr>
        <w:t>he Supreme Court</w:t>
      </w:r>
      <w:r w:rsidR="00FA3136">
        <w:rPr>
          <w:rFonts w:ascii="Times New Roman" w:eastAsia="Times New Roman" w:hAnsi="Times New Roman"/>
        </w:rPr>
        <w:t xml:space="preserve"> </w:t>
      </w:r>
      <w:r w:rsidR="007308D3">
        <w:rPr>
          <w:rFonts w:ascii="Times New Roman" w:eastAsia="Times New Roman" w:hAnsi="Times New Roman"/>
        </w:rPr>
        <w:t>accept</w:t>
      </w:r>
      <w:r w:rsidR="001E0D4A">
        <w:rPr>
          <w:rFonts w:ascii="Times New Roman" w:eastAsia="Times New Roman" w:hAnsi="Times New Roman"/>
        </w:rPr>
        <w:t>s</w:t>
      </w:r>
      <w:r w:rsidR="007308D3">
        <w:rPr>
          <w:rFonts w:ascii="Times New Roman" w:eastAsia="Times New Roman" w:hAnsi="Times New Roman"/>
        </w:rPr>
        <w:t xml:space="preserve"> that the Rwandan government entered into the MEDP in good faith</w:t>
      </w:r>
      <w:r w:rsidR="0080627A">
        <w:rPr>
          <w:rFonts w:ascii="Times New Roman" w:eastAsia="Times New Roman" w:hAnsi="Times New Roman"/>
        </w:rPr>
        <w:t>, that it has incentives to ensure that it is adhered to, and that monitoring arrangements provide a further safeguard</w:t>
      </w:r>
      <w:r w:rsidR="007308D3">
        <w:rPr>
          <w:rFonts w:ascii="Times New Roman" w:eastAsia="Times New Roman" w:hAnsi="Times New Roman"/>
        </w:rPr>
        <w:t xml:space="preserve">. </w:t>
      </w:r>
      <w:r w:rsidR="00A4557A">
        <w:rPr>
          <w:rFonts w:ascii="Times New Roman" w:eastAsia="Times New Roman" w:hAnsi="Times New Roman"/>
        </w:rPr>
        <w:t>Nevertheless</w:t>
      </w:r>
      <w:r w:rsidR="0037415B">
        <w:rPr>
          <w:rFonts w:ascii="Times New Roman" w:eastAsia="Times New Roman" w:hAnsi="Times New Roman"/>
        </w:rPr>
        <w:t xml:space="preserve">, the </w:t>
      </w:r>
      <w:r w:rsidR="00FA0799" w:rsidRPr="00FA0799">
        <w:rPr>
          <w:rFonts w:ascii="Times New Roman" w:eastAsia="Times New Roman" w:hAnsi="Times New Roman"/>
        </w:rPr>
        <w:t>evidenc</w:t>
      </w:r>
      <w:r w:rsidR="00FA0799">
        <w:rPr>
          <w:rFonts w:ascii="Times New Roman" w:eastAsia="Times New Roman" w:hAnsi="Times New Roman"/>
        </w:rPr>
        <w:t>e shows that there are</w:t>
      </w:r>
      <w:r w:rsidR="00FA0799" w:rsidRPr="00FA0799">
        <w:rPr>
          <w:rFonts w:ascii="Times New Roman" w:eastAsia="Times New Roman" w:hAnsi="Times New Roman"/>
        </w:rPr>
        <w:t xml:space="preserve"> substantial grounds for believing that there is a real risk that asylum claims will not be determined properly, and that asylum seekers will </w:t>
      </w:r>
      <w:r w:rsidR="0073696A">
        <w:rPr>
          <w:rFonts w:ascii="Times New Roman" w:eastAsia="Times New Roman" w:hAnsi="Times New Roman"/>
        </w:rPr>
        <w:t>therefore</w:t>
      </w:r>
      <w:r w:rsidR="00FA0799" w:rsidRPr="00FA0799">
        <w:rPr>
          <w:rFonts w:ascii="Times New Roman" w:eastAsia="Times New Roman" w:hAnsi="Times New Roman"/>
        </w:rPr>
        <w:t xml:space="preserve"> be at risk of being returned directly or indirectly to their country of origin. </w:t>
      </w:r>
      <w:r w:rsidR="00154B70">
        <w:rPr>
          <w:rFonts w:ascii="Times New Roman" w:eastAsia="Times New Roman" w:hAnsi="Times New Roman"/>
        </w:rPr>
        <w:t>The</w:t>
      </w:r>
      <w:r w:rsidR="00182E9F">
        <w:rPr>
          <w:rFonts w:ascii="Times New Roman" w:eastAsia="Times New Roman" w:hAnsi="Times New Roman"/>
        </w:rPr>
        <w:t xml:space="preserve"> </w:t>
      </w:r>
      <w:r w:rsidR="00861C0B">
        <w:rPr>
          <w:rFonts w:ascii="Times New Roman" w:eastAsia="Times New Roman" w:hAnsi="Times New Roman"/>
        </w:rPr>
        <w:t>changes and capacity-building neede</w:t>
      </w:r>
      <w:r w:rsidR="005268AF">
        <w:rPr>
          <w:rFonts w:ascii="Times New Roman" w:eastAsia="Times New Roman" w:hAnsi="Times New Roman"/>
        </w:rPr>
        <w:t>d</w:t>
      </w:r>
      <w:r w:rsidR="00861C0B">
        <w:rPr>
          <w:rFonts w:ascii="Times New Roman" w:eastAsia="Times New Roman" w:hAnsi="Times New Roman"/>
        </w:rPr>
        <w:t xml:space="preserve"> to eliminate that risk may be delivered in the future, but they </w:t>
      </w:r>
      <w:r w:rsidR="000D54DF">
        <w:rPr>
          <w:rFonts w:ascii="Times New Roman" w:eastAsia="Times New Roman" w:hAnsi="Times New Roman"/>
        </w:rPr>
        <w:t xml:space="preserve">were </w:t>
      </w:r>
      <w:r w:rsidR="00861C0B">
        <w:rPr>
          <w:rFonts w:ascii="Times New Roman" w:eastAsia="Times New Roman" w:hAnsi="Times New Roman"/>
        </w:rPr>
        <w:t>not shown to be in place</w:t>
      </w:r>
      <w:r w:rsidR="00FA3136">
        <w:rPr>
          <w:rFonts w:ascii="Times New Roman" w:eastAsia="Times New Roman" w:hAnsi="Times New Roman"/>
        </w:rPr>
        <w:t xml:space="preserve"> </w:t>
      </w:r>
      <w:r w:rsidR="002543BD">
        <w:rPr>
          <w:rFonts w:ascii="Times New Roman" w:eastAsia="Times New Roman" w:hAnsi="Times New Roman"/>
        </w:rPr>
        <w:t>when</w:t>
      </w:r>
      <w:r w:rsidR="000D54DF">
        <w:rPr>
          <w:rFonts w:ascii="Times New Roman" w:eastAsia="Times New Roman" w:hAnsi="Times New Roman"/>
        </w:rPr>
        <w:t xml:space="preserve"> the lawfulness of the Rwanda policy had to be considered in these proceedings </w:t>
      </w:r>
      <w:r w:rsidR="00605F9B">
        <w:rPr>
          <w:rFonts w:ascii="Times New Roman" w:eastAsia="Times New Roman" w:hAnsi="Times New Roman"/>
        </w:rPr>
        <w:t>[</w:t>
      </w:r>
      <w:r w:rsidR="00605F9B" w:rsidRPr="00FA0799">
        <w:rPr>
          <w:rFonts w:ascii="Times New Roman" w:eastAsia="Times New Roman" w:hAnsi="Times New Roman"/>
          <w:b/>
          <w:bCs/>
        </w:rPr>
        <w:t>101</w:t>
      </w:r>
      <w:r w:rsidR="00605F9B">
        <w:rPr>
          <w:rFonts w:ascii="Times New Roman" w:eastAsia="Times New Roman" w:hAnsi="Times New Roman"/>
        </w:rPr>
        <w:t>]-[</w:t>
      </w:r>
      <w:r w:rsidR="00605F9B" w:rsidRPr="00FA0799">
        <w:rPr>
          <w:rFonts w:ascii="Times New Roman" w:eastAsia="Times New Roman" w:hAnsi="Times New Roman"/>
          <w:b/>
          <w:bCs/>
        </w:rPr>
        <w:t>105</w:t>
      </w:r>
      <w:r w:rsidR="00605F9B">
        <w:rPr>
          <w:rFonts w:ascii="Times New Roman" w:eastAsia="Times New Roman" w:hAnsi="Times New Roman"/>
        </w:rPr>
        <w:t xml:space="preserve">]. </w:t>
      </w:r>
    </w:p>
    <w:p w14:paraId="5E46C322" w14:textId="41DB267A" w:rsidR="00365F6D" w:rsidRPr="00365F6D" w:rsidRDefault="00365F6D" w:rsidP="00C1383F">
      <w:pPr>
        <w:rPr>
          <w:rFonts w:ascii="Times New Roman" w:eastAsia="Times New Roman" w:hAnsi="Times New Roman"/>
          <w:b/>
          <w:bCs/>
        </w:rPr>
      </w:pPr>
      <w:r w:rsidRPr="00365F6D">
        <w:rPr>
          <w:rFonts w:ascii="Times New Roman" w:eastAsia="Times New Roman" w:hAnsi="Times New Roman"/>
          <w:b/>
          <w:bCs/>
        </w:rPr>
        <w:t>Ground 2: Retained EU law</w:t>
      </w:r>
    </w:p>
    <w:p w14:paraId="4C4B3840" w14:textId="075F12CC" w:rsidR="706954C9" w:rsidRDefault="005A5C91" w:rsidP="00C1383F">
      <w:pPr>
        <w:rPr>
          <w:rFonts w:ascii="Times New Roman" w:eastAsia="Times New Roman" w:hAnsi="Times New Roman"/>
        </w:rPr>
      </w:pPr>
      <w:r>
        <w:rPr>
          <w:rFonts w:ascii="Times New Roman" w:eastAsia="Times New Roman" w:hAnsi="Times New Roman"/>
        </w:rPr>
        <w:t xml:space="preserve">The </w:t>
      </w:r>
      <w:r w:rsidR="00A27D25">
        <w:rPr>
          <w:rFonts w:ascii="Times New Roman" w:eastAsia="Times New Roman" w:hAnsi="Times New Roman"/>
        </w:rPr>
        <w:t xml:space="preserve">Supreme </w:t>
      </w:r>
      <w:r>
        <w:rPr>
          <w:rFonts w:ascii="Times New Roman" w:eastAsia="Times New Roman" w:hAnsi="Times New Roman"/>
        </w:rPr>
        <w:t xml:space="preserve">Court dismisses the </w:t>
      </w:r>
      <w:r w:rsidR="00A93173">
        <w:rPr>
          <w:rFonts w:ascii="Times New Roman" w:eastAsia="Times New Roman" w:hAnsi="Times New Roman"/>
        </w:rPr>
        <w:t>cross-</w:t>
      </w:r>
      <w:r>
        <w:rPr>
          <w:rFonts w:ascii="Times New Roman" w:eastAsia="Times New Roman" w:hAnsi="Times New Roman"/>
        </w:rPr>
        <w:t>appeal brought by ASM</w:t>
      </w:r>
      <w:r w:rsidR="00A27D25">
        <w:rPr>
          <w:rFonts w:ascii="Times New Roman" w:eastAsia="Times New Roman" w:hAnsi="Times New Roman"/>
        </w:rPr>
        <w:t xml:space="preserve"> (Iraq)</w:t>
      </w:r>
      <w:r w:rsidR="00A93173">
        <w:rPr>
          <w:rFonts w:ascii="Times New Roman" w:eastAsia="Times New Roman" w:hAnsi="Times New Roman"/>
        </w:rPr>
        <w:t xml:space="preserve"> on the ground</w:t>
      </w:r>
      <w:r>
        <w:rPr>
          <w:rFonts w:ascii="Times New Roman" w:eastAsia="Times New Roman" w:hAnsi="Times New Roman"/>
        </w:rPr>
        <w:t xml:space="preserve"> that the Rwanda policy is unlawful because it is incompatible with retained EU law. Articles 25 and </w:t>
      </w:r>
      <w:r>
        <w:rPr>
          <w:rFonts w:ascii="Times New Roman" w:eastAsia="Times New Roman" w:hAnsi="Times New Roman"/>
        </w:rPr>
        <w:lastRenderedPageBreak/>
        <w:t>27 of the Procedures Directive contain a requirement that asylum seekers may only be removed to a third country</w:t>
      </w:r>
      <w:r w:rsidR="00E15380">
        <w:rPr>
          <w:rFonts w:ascii="Times New Roman" w:eastAsia="Times New Roman" w:hAnsi="Times New Roman"/>
        </w:rPr>
        <w:t>, such as Rwanda,</w:t>
      </w:r>
      <w:r>
        <w:rPr>
          <w:rFonts w:ascii="Times New Roman" w:eastAsia="Times New Roman" w:hAnsi="Times New Roman"/>
        </w:rPr>
        <w:t xml:space="preserve"> if they have a connection </w:t>
      </w:r>
      <w:r w:rsidR="00372128">
        <w:rPr>
          <w:rFonts w:ascii="Times New Roman" w:eastAsia="Times New Roman" w:hAnsi="Times New Roman"/>
        </w:rPr>
        <w:t xml:space="preserve">to it so that </w:t>
      </w:r>
      <w:r>
        <w:rPr>
          <w:rFonts w:ascii="Times New Roman" w:eastAsia="Times New Roman" w:hAnsi="Times New Roman"/>
        </w:rPr>
        <w:t xml:space="preserve">it would be reasonable for that person to go to that country. These articles no longer have effect in </w:t>
      </w:r>
      <w:r w:rsidR="004A5C3A">
        <w:rPr>
          <w:rFonts w:ascii="Times New Roman" w:eastAsia="Times New Roman" w:hAnsi="Times New Roman"/>
        </w:rPr>
        <w:t xml:space="preserve">UK </w:t>
      </w:r>
      <w:r>
        <w:rPr>
          <w:rFonts w:ascii="Times New Roman" w:eastAsia="Times New Roman" w:hAnsi="Times New Roman"/>
        </w:rPr>
        <w:t>domestic law as retained EU law</w:t>
      </w:r>
      <w:r w:rsidR="003A17A4">
        <w:rPr>
          <w:rFonts w:ascii="Times New Roman" w:eastAsia="Times New Roman" w:hAnsi="Times New Roman"/>
        </w:rPr>
        <w:t xml:space="preserve"> because they </w:t>
      </w:r>
      <w:r>
        <w:rPr>
          <w:rFonts w:ascii="Times New Roman" w:eastAsia="Times New Roman" w:hAnsi="Times New Roman"/>
        </w:rPr>
        <w:t xml:space="preserve">fall within the scope of </w:t>
      </w:r>
      <w:r w:rsidRPr="00B91FE1">
        <w:rPr>
          <w:rFonts w:ascii="Times New Roman" w:eastAsia="Times New Roman" w:hAnsi="Times New Roman"/>
        </w:rPr>
        <w:t>paragraph 6(1) of Schedule 1 to the</w:t>
      </w:r>
      <w:r>
        <w:rPr>
          <w:rFonts w:ascii="Times New Roman" w:eastAsia="Times New Roman" w:hAnsi="Times New Roman"/>
          <w:b/>
          <w:bCs/>
        </w:rPr>
        <w:t xml:space="preserve"> </w:t>
      </w:r>
      <w:r w:rsidRPr="00767222">
        <w:rPr>
          <w:rFonts w:ascii="Times New Roman" w:eastAsia="Times New Roman" w:hAnsi="Times New Roman"/>
        </w:rPr>
        <w:t>Immigration and Social Security Co-ordination (EU Withdrawal</w:t>
      </w:r>
      <w:r w:rsidR="0091203D">
        <w:rPr>
          <w:rFonts w:ascii="Times New Roman" w:eastAsia="Times New Roman" w:hAnsi="Times New Roman"/>
        </w:rPr>
        <w:t>)</w:t>
      </w:r>
      <w:r w:rsidRPr="00767222">
        <w:rPr>
          <w:rFonts w:ascii="Times New Roman" w:eastAsia="Times New Roman" w:hAnsi="Times New Roman"/>
        </w:rPr>
        <w:t xml:space="preserve"> Act 2020 [</w:t>
      </w:r>
      <w:r w:rsidRPr="00767222">
        <w:rPr>
          <w:rFonts w:ascii="Times New Roman" w:eastAsia="Times New Roman" w:hAnsi="Times New Roman"/>
          <w:b/>
          <w:bCs/>
        </w:rPr>
        <w:t>137</w:t>
      </w:r>
      <w:r w:rsidRPr="006B1ED1">
        <w:rPr>
          <w:rFonts w:ascii="Times New Roman" w:eastAsia="Times New Roman" w:hAnsi="Times New Roman"/>
        </w:rPr>
        <w:t>]</w:t>
      </w:r>
      <w:r w:rsidR="00E16F05" w:rsidRPr="00CD054C">
        <w:rPr>
          <w:rFonts w:ascii="Times New Roman" w:eastAsia="Times New Roman" w:hAnsi="Times New Roman"/>
        </w:rPr>
        <w:t>.</w:t>
      </w:r>
      <w:r>
        <w:rPr>
          <w:rFonts w:ascii="Times New Roman" w:eastAsia="Times New Roman" w:hAnsi="Times New Roman"/>
        </w:rPr>
        <w:t xml:space="preserve"> </w:t>
      </w:r>
      <w:r w:rsidR="00E16F05">
        <w:rPr>
          <w:rFonts w:ascii="Times New Roman" w:eastAsia="Times New Roman" w:hAnsi="Times New Roman"/>
        </w:rPr>
        <w:t>A</w:t>
      </w:r>
      <w:r>
        <w:rPr>
          <w:rFonts w:ascii="Times New Roman" w:eastAsia="Times New Roman" w:hAnsi="Times New Roman"/>
        </w:rPr>
        <w:t>ccordingly</w:t>
      </w:r>
      <w:r w:rsidR="003A17A4">
        <w:rPr>
          <w:rFonts w:ascii="Times New Roman" w:eastAsia="Times New Roman" w:hAnsi="Times New Roman"/>
        </w:rPr>
        <w:t>,</w:t>
      </w:r>
      <w:r>
        <w:rPr>
          <w:rFonts w:ascii="Times New Roman" w:eastAsia="Times New Roman" w:hAnsi="Times New Roman"/>
        </w:rPr>
        <w:t xml:space="preserve"> they ceased to have effect in the domestic law of the United Kingdom when the transition period came to an end on 31 December 2020 </w:t>
      </w:r>
      <w:r w:rsidRPr="00767222">
        <w:rPr>
          <w:rFonts w:ascii="Times New Roman" w:eastAsia="Times New Roman" w:hAnsi="Times New Roman"/>
        </w:rPr>
        <w:t>[</w:t>
      </w:r>
      <w:r>
        <w:rPr>
          <w:rFonts w:ascii="Times New Roman" w:eastAsia="Times New Roman" w:hAnsi="Times New Roman"/>
          <w:b/>
          <w:bCs/>
        </w:rPr>
        <w:t>148</w:t>
      </w:r>
      <w:r w:rsidRPr="00767222">
        <w:rPr>
          <w:rFonts w:ascii="Times New Roman" w:eastAsia="Times New Roman" w:hAnsi="Times New Roman"/>
        </w:rPr>
        <w:t>].</w:t>
      </w:r>
      <w:r>
        <w:rPr>
          <w:rFonts w:ascii="Times New Roman" w:eastAsia="Times New Roman" w:hAnsi="Times New Roman"/>
        </w:rPr>
        <w:t xml:space="preserve"> There is no justification for reading the references in that Act to “immigration” as having a meaning which excludes matters relating to asylum </w:t>
      </w:r>
      <w:r w:rsidRPr="00767222">
        <w:rPr>
          <w:rFonts w:ascii="Times New Roman" w:eastAsia="Times New Roman" w:hAnsi="Times New Roman"/>
        </w:rPr>
        <w:t>[</w:t>
      </w:r>
      <w:r>
        <w:rPr>
          <w:rFonts w:ascii="Times New Roman" w:eastAsia="Times New Roman" w:hAnsi="Times New Roman"/>
          <w:b/>
          <w:bCs/>
        </w:rPr>
        <w:t>134</w:t>
      </w:r>
      <w:r w:rsidRPr="00767222">
        <w:rPr>
          <w:rFonts w:ascii="Times New Roman" w:eastAsia="Times New Roman" w:hAnsi="Times New Roman"/>
        </w:rPr>
        <w:t>].</w:t>
      </w:r>
      <w:r>
        <w:rPr>
          <w:rFonts w:ascii="Times New Roman" w:eastAsia="Times New Roman" w:hAnsi="Times New Roman"/>
        </w:rPr>
        <w:t xml:space="preserve"> Neither the Explanatory Notes from when the </w:t>
      </w:r>
      <w:r w:rsidR="008C3E65">
        <w:rPr>
          <w:rFonts w:ascii="Times New Roman" w:eastAsia="Times New Roman" w:hAnsi="Times New Roman"/>
        </w:rPr>
        <w:t xml:space="preserve">Bill </w:t>
      </w:r>
      <w:r>
        <w:rPr>
          <w:rFonts w:ascii="Times New Roman" w:eastAsia="Times New Roman" w:hAnsi="Times New Roman"/>
        </w:rPr>
        <w:t xml:space="preserve">was debated in Parliament nor the Parliamentary Committee reports and materials relied upon by ASM </w:t>
      </w:r>
      <w:r w:rsidR="0092489A">
        <w:rPr>
          <w:rFonts w:ascii="Times New Roman" w:eastAsia="Times New Roman" w:hAnsi="Times New Roman"/>
        </w:rPr>
        <w:t>displace</w:t>
      </w:r>
      <w:r>
        <w:rPr>
          <w:rFonts w:ascii="Times New Roman" w:eastAsia="Times New Roman" w:hAnsi="Times New Roman"/>
        </w:rPr>
        <w:t xml:space="preserve"> the clear and unambiguous meaning of the statute</w:t>
      </w:r>
      <w:r w:rsidRPr="00767222">
        <w:rPr>
          <w:rFonts w:ascii="Times New Roman" w:eastAsia="Times New Roman" w:hAnsi="Times New Roman"/>
        </w:rPr>
        <w:t xml:space="preserve"> [</w:t>
      </w:r>
      <w:r>
        <w:rPr>
          <w:rFonts w:ascii="Times New Roman" w:eastAsia="Times New Roman" w:hAnsi="Times New Roman"/>
          <w:b/>
          <w:bCs/>
        </w:rPr>
        <w:t>140</w:t>
      </w:r>
      <w:r w:rsidRPr="00767222">
        <w:rPr>
          <w:rFonts w:ascii="Times New Roman" w:eastAsia="Times New Roman" w:hAnsi="Times New Roman"/>
        </w:rPr>
        <w:t>]. T</w:t>
      </w:r>
      <w:r>
        <w:rPr>
          <w:rFonts w:ascii="Times New Roman" w:eastAsia="Times New Roman" w:hAnsi="Times New Roman"/>
        </w:rPr>
        <w:t xml:space="preserve">he rule of interpretation known as the principle of legality does not apply, as the </w:t>
      </w:r>
      <w:r w:rsidR="00F534EF">
        <w:rPr>
          <w:rFonts w:ascii="Times New Roman" w:eastAsia="Times New Roman" w:hAnsi="Times New Roman"/>
        </w:rPr>
        <w:t xml:space="preserve">relevant </w:t>
      </w:r>
      <w:r>
        <w:rPr>
          <w:rFonts w:ascii="Times New Roman" w:eastAsia="Times New Roman" w:hAnsi="Times New Roman"/>
        </w:rPr>
        <w:t>protection afforded by articles 25 and 27</w:t>
      </w:r>
      <w:r w:rsidR="003B7B1D">
        <w:rPr>
          <w:rFonts w:ascii="Times New Roman" w:eastAsia="Times New Roman" w:hAnsi="Times New Roman"/>
        </w:rPr>
        <w:t>(2)(a)</w:t>
      </w:r>
      <w:r>
        <w:rPr>
          <w:rFonts w:ascii="Times New Roman" w:eastAsia="Times New Roman" w:hAnsi="Times New Roman"/>
        </w:rPr>
        <w:t xml:space="preserve"> of the Procedures Directive do</w:t>
      </w:r>
      <w:r w:rsidR="006D6957">
        <w:rPr>
          <w:rFonts w:ascii="Times New Roman" w:eastAsia="Times New Roman" w:hAnsi="Times New Roman"/>
        </w:rPr>
        <w:t>es</w:t>
      </w:r>
      <w:r>
        <w:rPr>
          <w:rFonts w:ascii="Times New Roman" w:eastAsia="Times New Roman" w:hAnsi="Times New Roman"/>
        </w:rPr>
        <w:t xml:space="preserve"> not relate to a fundamental or constitutional right </w:t>
      </w:r>
      <w:r w:rsidRPr="00767222">
        <w:rPr>
          <w:rFonts w:ascii="Times New Roman" w:eastAsia="Times New Roman" w:hAnsi="Times New Roman"/>
        </w:rPr>
        <w:t>[</w:t>
      </w:r>
      <w:r>
        <w:rPr>
          <w:rFonts w:ascii="Times New Roman" w:eastAsia="Times New Roman" w:hAnsi="Times New Roman"/>
          <w:b/>
          <w:bCs/>
        </w:rPr>
        <w:t>142</w:t>
      </w:r>
      <w:r w:rsidRPr="00767222">
        <w:rPr>
          <w:rFonts w:ascii="Times New Roman" w:eastAsia="Times New Roman" w:hAnsi="Times New Roman"/>
        </w:rPr>
        <w:t>].</w:t>
      </w:r>
    </w:p>
    <w:p w14:paraId="0A1DFFCB" w14:textId="3FBA479D" w:rsidR="00EC435D" w:rsidRDefault="00021E35" w:rsidP="00C1383F">
      <w:pPr>
        <w:pStyle w:val="Heading6"/>
        <w:rPr>
          <w:rFonts w:ascii="Times New Roman" w:eastAsia="Times New Roman" w:hAnsi="Times New Roman" w:cs="Times New Roman"/>
          <w:sz w:val="24"/>
          <w:szCs w:val="24"/>
          <w:u w:val="none"/>
          <w:lang w:eastAsia="en-GB"/>
        </w:rPr>
      </w:pPr>
      <w:r w:rsidRPr="62CAF38F">
        <w:rPr>
          <w:rFonts w:ascii="Times New Roman" w:eastAsia="Times New Roman" w:hAnsi="Times New Roman" w:cs="Times New Roman"/>
          <w:sz w:val="24"/>
          <w:szCs w:val="24"/>
          <w:u w:val="none"/>
          <w:lang w:eastAsia="en-GB"/>
        </w:rPr>
        <w:t>References in square brackets are to paragraphs in the judgment</w:t>
      </w:r>
      <w:r w:rsidR="32EB630A" w:rsidRPr="62CAF38F">
        <w:rPr>
          <w:rFonts w:ascii="Times New Roman" w:eastAsia="Times New Roman" w:hAnsi="Times New Roman" w:cs="Times New Roman"/>
          <w:sz w:val="24"/>
          <w:szCs w:val="24"/>
          <w:u w:val="none"/>
          <w:lang w:eastAsia="en-GB"/>
        </w:rPr>
        <w:t>.</w:t>
      </w:r>
    </w:p>
    <w:p w14:paraId="44570050" w14:textId="7FE833F3" w:rsidR="00493483" w:rsidRPr="004838C4" w:rsidRDefault="00D42F25" w:rsidP="00C1383F">
      <w:pPr>
        <w:pStyle w:val="Note"/>
        <w:rPr>
          <w:rFonts w:ascii="Times New Roman" w:eastAsia="Times New Roman" w:hAnsi="Times New Roman" w:cs="Times New Roman"/>
          <w:sz w:val="22"/>
          <w:szCs w:val="22"/>
        </w:rPr>
      </w:pPr>
      <w:r w:rsidRPr="62CAF38F">
        <w:rPr>
          <w:rFonts w:ascii="Times New Roman" w:eastAsia="Times New Roman" w:hAnsi="Times New Roman" w:cs="Times New Roman"/>
          <w:sz w:val="22"/>
          <w:szCs w:val="22"/>
        </w:rPr>
        <w:t>NOTE</w:t>
      </w:r>
      <w:r w:rsidR="00493483" w:rsidRPr="62CAF38F">
        <w:rPr>
          <w:rFonts w:ascii="Times New Roman" w:eastAsia="Times New Roman" w:hAnsi="Times New Roman" w:cs="Times New Roman"/>
          <w:sz w:val="22"/>
          <w:szCs w:val="22"/>
        </w:rPr>
        <w:t>:</w:t>
      </w:r>
    </w:p>
    <w:p w14:paraId="58B3D5DA" w14:textId="77777777" w:rsidR="00D42F25" w:rsidRPr="004838C4" w:rsidRDefault="00D42F25" w:rsidP="00C1383F">
      <w:pPr>
        <w:pStyle w:val="Note"/>
        <w:rPr>
          <w:rFonts w:ascii="Times New Roman" w:eastAsia="Times New Roman" w:hAnsi="Times New Roman" w:cs="Times New Roman"/>
          <w:sz w:val="22"/>
          <w:szCs w:val="22"/>
        </w:rPr>
      </w:pPr>
      <w:r w:rsidRPr="62CAF38F">
        <w:rPr>
          <w:rFonts w:ascii="Times New Roman" w:eastAsia="Times New Roman" w:hAnsi="Times New Roman" w:cs="Times New Roman"/>
          <w:sz w:val="22"/>
          <w:szCs w:val="22"/>
        </w:rPr>
        <w:t>This summary is provided to assist in understanding the Court’s decision. It does not form part of the reasons for the decision. The full judgment of the Court is the only authoritative document. Judgments are public documents and are available at:</w:t>
      </w:r>
      <w:r w:rsidR="00EE52DB" w:rsidRPr="62CAF38F">
        <w:rPr>
          <w:rFonts w:ascii="Times New Roman" w:eastAsia="Times New Roman" w:hAnsi="Times New Roman" w:cs="Times New Roman"/>
          <w:sz w:val="22"/>
          <w:szCs w:val="22"/>
        </w:rPr>
        <w:t xml:space="preserve"> </w:t>
      </w:r>
      <w:hyperlink r:id="rId10">
        <w:r w:rsidR="00EE52DB" w:rsidRPr="62CAF38F">
          <w:rPr>
            <w:rStyle w:val="Hyperlink"/>
            <w:rFonts w:ascii="Times New Roman" w:eastAsia="Times New Roman" w:hAnsi="Times New Roman" w:cs="Times New Roman"/>
            <w:sz w:val="22"/>
            <w:szCs w:val="22"/>
          </w:rPr>
          <w:t>Decided cases - The Supreme Court</w:t>
        </w:r>
      </w:hyperlink>
    </w:p>
    <w:sectPr w:rsidR="00D42F25" w:rsidRPr="004838C4" w:rsidSect="00EB333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C41C5"/>
    <w:multiLevelType w:val="hybridMultilevel"/>
    <w:tmpl w:val="1EE0CA5A"/>
    <w:lvl w:ilvl="0" w:tplc="373A28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5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8"/>
    <w:rsid w:val="00001735"/>
    <w:rsid w:val="00002147"/>
    <w:rsid w:val="0000286E"/>
    <w:rsid w:val="000033EB"/>
    <w:rsid w:val="00003AB2"/>
    <w:rsid w:val="000068EA"/>
    <w:rsid w:val="000075E1"/>
    <w:rsid w:val="0001292B"/>
    <w:rsid w:val="00013138"/>
    <w:rsid w:val="0002197C"/>
    <w:rsid w:val="00021E35"/>
    <w:rsid w:val="0002442F"/>
    <w:rsid w:val="000273D0"/>
    <w:rsid w:val="0003285E"/>
    <w:rsid w:val="000329ED"/>
    <w:rsid w:val="00037217"/>
    <w:rsid w:val="000465E6"/>
    <w:rsid w:val="000471F0"/>
    <w:rsid w:val="00052ED7"/>
    <w:rsid w:val="0005309E"/>
    <w:rsid w:val="00054F65"/>
    <w:rsid w:val="000608E1"/>
    <w:rsid w:val="000613F4"/>
    <w:rsid w:val="00064896"/>
    <w:rsid w:val="00066071"/>
    <w:rsid w:val="000668F4"/>
    <w:rsid w:val="00067996"/>
    <w:rsid w:val="00070CEF"/>
    <w:rsid w:val="00072288"/>
    <w:rsid w:val="000741F3"/>
    <w:rsid w:val="00075D54"/>
    <w:rsid w:val="00076197"/>
    <w:rsid w:val="00077402"/>
    <w:rsid w:val="00080BBF"/>
    <w:rsid w:val="000824DC"/>
    <w:rsid w:val="00083242"/>
    <w:rsid w:val="000853FD"/>
    <w:rsid w:val="000857B1"/>
    <w:rsid w:val="00086A9E"/>
    <w:rsid w:val="00086F41"/>
    <w:rsid w:val="00090075"/>
    <w:rsid w:val="00090F7F"/>
    <w:rsid w:val="0009201C"/>
    <w:rsid w:val="000936C4"/>
    <w:rsid w:val="000A159F"/>
    <w:rsid w:val="000A1B5C"/>
    <w:rsid w:val="000B6A91"/>
    <w:rsid w:val="000B7D87"/>
    <w:rsid w:val="000C288B"/>
    <w:rsid w:val="000C5B3C"/>
    <w:rsid w:val="000D3E72"/>
    <w:rsid w:val="000D54DF"/>
    <w:rsid w:val="000D6AF6"/>
    <w:rsid w:val="000E524D"/>
    <w:rsid w:val="000E676B"/>
    <w:rsid w:val="000F2723"/>
    <w:rsid w:val="000F2C32"/>
    <w:rsid w:val="000F2D5C"/>
    <w:rsid w:val="000F59D6"/>
    <w:rsid w:val="000F7CDE"/>
    <w:rsid w:val="0010112B"/>
    <w:rsid w:val="00101221"/>
    <w:rsid w:val="001013B2"/>
    <w:rsid w:val="001017BB"/>
    <w:rsid w:val="00102AD1"/>
    <w:rsid w:val="00103CC4"/>
    <w:rsid w:val="001065A9"/>
    <w:rsid w:val="00106C7A"/>
    <w:rsid w:val="001077D4"/>
    <w:rsid w:val="00112146"/>
    <w:rsid w:val="0011361D"/>
    <w:rsid w:val="00114DC3"/>
    <w:rsid w:val="00114E3F"/>
    <w:rsid w:val="001152D5"/>
    <w:rsid w:val="00116B88"/>
    <w:rsid w:val="00124F28"/>
    <w:rsid w:val="00131F96"/>
    <w:rsid w:val="001344E2"/>
    <w:rsid w:val="001371D8"/>
    <w:rsid w:val="00137953"/>
    <w:rsid w:val="00140E39"/>
    <w:rsid w:val="00141C1E"/>
    <w:rsid w:val="0014260D"/>
    <w:rsid w:val="00142697"/>
    <w:rsid w:val="001431AC"/>
    <w:rsid w:val="00147115"/>
    <w:rsid w:val="001513E8"/>
    <w:rsid w:val="00151BBD"/>
    <w:rsid w:val="00152857"/>
    <w:rsid w:val="00154B70"/>
    <w:rsid w:val="00155406"/>
    <w:rsid w:val="0015678B"/>
    <w:rsid w:val="00157698"/>
    <w:rsid w:val="0016533E"/>
    <w:rsid w:val="00167AFB"/>
    <w:rsid w:val="00171863"/>
    <w:rsid w:val="00172171"/>
    <w:rsid w:val="00174703"/>
    <w:rsid w:val="00174FC4"/>
    <w:rsid w:val="0017641F"/>
    <w:rsid w:val="00176C16"/>
    <w:rsid w:val="00180510"/>
    <w:rsid w:val="00181D9E"/>
    <w:rsid w:val="00182E9F"/>
    <w:rsid w:val="00183B1F"/>
    <w:rsid w:val="001854B6"/>
    <w:rsid w:val="00185999"/>
    <w:rsid w:val="00192223"/>
    <w:rsid w:val="00192F43"/>
    <w:rsid w:val="00196A81"/>
    <w:rsid w:val="0019718C"/>
    <w:rsid w:val="0019759F"/>
    <w:rsid w:val="001A159C"/>
    <w:rsid w:val="001A616E"/>
    <w:rsid w:val="001B6DD9"/>
    <w:rsid w:val="001C03DF"/>
    <w:rsid w:val="001C27D7"/>
    <w:rsid w:val="001C3AD7"/>
    <w:rsid w:val="001C52C4"/>
    <w:rsid w:val="001C74E0"/>
    <w:rsid w:val="001D2FD8"/>
    <w:rsid w:val="001D6231"/>
    <w:rsid w:val="001E0D4A"/>
    <w:rsid w:val="001E2641"/>
    <w:rsid w:val="001E2EA4"/>
    <w:rsid w:val="001E303E"/>
    <w:rsid w:val="001E4578"/>
    <w:rsid w:val="001F09D6"/>
    <w:rsid w:val="001F44F8"/>
    <w:rsid w:val="00203191"/>
    <w:rsid w:val="00203FDE"/>
    <w:rsid w:val="00206721"/>
    <w:rsid w:val="0021329E"/>
    <w:rsid w:val="0021592A"/>
    <w:rsid w:val="0022016F"/>
    <w:rsid w:val="00221B4D"/>
    <w:rsid w:val="00223F9E"/>
    <w:rsid w:val="00224AB0"/>
    <w:rsid w:val="0022728E"/>
    <w:rsid w:val="0022786E"/>
    <w:rsid w:val="00231339"/>
    <w:rsid w:val="00233604"/>
    <w:rsid w:val="00240B70"/>
    <w:rsid w:val="002419C1"/>
    <w:rsid w:val="00242A4C"/>
    <w:rsid w:val="00242B0F"/>
    <w:rsid w:val="0024622B"/>
    <w:rsid w:val="002462B1"/>
    <w:rsid w:val="00247470"/>
    <w:rsid w:val="00250404"/>
    <w:rsid w:val="002528DE"/>
    <w:rsid w:val="002543BD"/>
    <w:rsid w:val="00257AD3"/>
    <w:rsid w:val="00260883"/>
    <w:rsid w:val="002618BA"/>
    <w:rsid w:val="00261A72"/>
    <w:rsid w:val="00261F09"/>
    <w:rsid w:val="00266BE7"/>
    <w:rsid w:val="00267D25"/>
    <w:rsid w:val="002706A9"/>
    <w:rsid w:val="0027249A"/>
    <w:rsid w:val="00272789"/>
    <w:rsid w:val="00275A5F"/>
    <w:rsid w:val="002775A3"/>
    <w:rsid w:val="00277F77"/>
    <w:rsid w:val="00280D36"/>
    <w:rsid w:val="00281B48"/>
    <w:rsid w:val="0028376E"/>
    <w:rsid w:val="00285D47"/>
    <w:rsid w:val="00285F88"/>
    <w:rsid w:val="002874A6"/>
    <w:rsid w:val="00291091"/>
    <w:rsid w:val="00292EE9"/>
    <w:rsid w:val="00293FD0"/>
    <w:rsid w:val="00294A4F"/>
    <w:rsid w:val="00296137"/>
    <w:rsid w:val="002975ED"/>
    <w:rsid w:val="002979A3"/>
    <w:rsid w:val="002A0F2A"/>
    <w:rsid w:val="002A1920"/>
    <w:rsid w:val="002A3854"/>
    <w:rsid w:val="002A40EF"/>
    <w:rsid w:val="002A78A6"/>
    <w:rsid w:val="002B2F2C"/>
    <w:rsid w:val="002B70A3"/>
    <w:rsid w:val="002B7A7A"/>
    <w:rsid w:val="002C7722"/>
    <w:rsid w:val="002D0A62"/>
    <w:rsid w:val="002D4623"/>
    <w:rsid w:val="002D562D"/>
    <w:rsid w:val="002E22C7"/>
    <w:rsid w:val="002E26D8"/>
    <w:rsid w:val="002E2B8A"/>
    <w:rsid w:val="002F099D"/>
    <w:rsid w:val="002F2878"/>
    <w:rsid w:val="002F470A"/>
    <w:rsid w:val="002F545B"/>
    <w:rsid w:val="002F65E5"/>
    <w:rsid w:val="002F6EA7"/>
    <w:rsid w:val="002F72F3"/>
    <w:rsid w:val="00301549"/>
    <w:rsid w:val="00310DA5"/>
    <w:rsid w:val="00312784"/>
    <w:rsid w:val="00312A56"/>
    <w:rsid w:val="003169B0"/>
    <w:rsid w:val="00317E07"/>
    <w:rsid w:val="00320857"/>
    <w:rsid w:val="00323C9E"/>
    <w:rsid w:val="00323FF2"/>
    <w:rsid w:val="003267C3"/>
    <w:rsid w:val="003322A9"/>
    <w:rsid w:val="003331DC"/>
    <w:rsid w:val="0033434A"/>
    <w:rsid w:val="00335195"/>
    <w:rsid w:val="003360A1"/>
    <w:rsid w:val="003414F6"/>
    <w:rsid w:val="00343066"/>
    <w:rsid w:val="0034325A"/>
    <w:rsid w:val="003442A5"/>
    <w:rsid w:val="00354B24"/>
    <w:rsid w:val="00355478"/>
    <w:rsid w:val="0036080E"/>
    <w:rsid w:val="00362FCC"/>
    <w:rsid w:val="00363AEC"/>
    <w:rsid w:val="003656CA"/>
    <w:rsid w:val="00365C8A"/>
    <w:rsid w:val="00365D6E"/>
    <w:rsid w:val="00365F6D"/>
    <w:rsid w:val="00366E4B"/>
    <w:rsid w:val="00367A63"/>
    <w:rsid w:val="00371184"/>
    <w:rsid w:val="00371ACE"/>
    <w:rsid w:val="00372128"/>
    <w:rsid w:val="0037415B"/>
    <w:rsid w:val="00375B45"/>
    <w:rsid w:val="00377BD9"/>
    <w:rsid w:val="003817E7"/>
    <w:rsid w:val="00381840"/>
    <w:rsid w:val="00382A41"/>
    <w:rsid w:val="00383675"/>
    <w:rsid w:val="00384D38"/>
    <w:rsid w:val="0038761D"/>
    <w:rsid w:val="0038796A"/>
    <w:rsid w:val="00391F1A"/>
    <w:rsid w:val="00392FE0"/>
    <w:rsid w:val="00393ED5"/>
    <w:rsid w:val="00394712"/>
    <w:rsid w:val="00394B3C"/>
    <w:rsid w:val="00395C39"/>
    <w:rsid w:val="00396587"/>
    <w:rsid w:val="00396DEE"/>
    <w:rsid w:val="003A0411"/>
    <w:rsid w:val="003A17A4"/>
    <w:rsid w:val="003A2A95"/>
    <w:rsid w:val="003A47DE"/>
    <w:rsid w:val="003A5923"/>
    <w:rsid w:val="003A7296"/>
    <w:rsid w:val="003B0A15"/>
    <w:rsid w:val="003B30F4"/>
    <w:rsid w:val="003B3287"/>
    <w:rsid w:val="003B40DC"/>
    <w:rsid w:val="003B64FB"/>
    <w:rsid w:val="003B7B1D"/>
    <w:rsid w:val="003C03BB"/>
    <w:rsid w:val="003C1C74"/>
    <w:rsid w:val="003C2193"/>
    <w:rsid w:val="003C3407"/>
    <w:rsid w:val="003C3DC3"/>
    <w:rsid w:val="003C5570"/>
    <w:rsid w:val="003D2A30"/>
    <w:rsid w:val="003D7B0C"/>
    <w:rsid w:val="003E0921"/>
    <w:rsid w:val="003E1027"/>
    <w:rsid w:val="003E1A2D"/>
    <w:rsid w:val="003E48E3"/>
    <w:rsid w:val="003E4CAC"/>
    <w:rsid w:val="003E70F3"/>
    <w:rsid w:val="003F3BB6"/>
    <w:rsid w:val="003F3D1C"/>
    <w:rsid w:val="003F3FDB"/>
    <w:rsid w:val="003F416C"/>
    <w:rsid w:val="003F64E6"/>
    <w:rsid w:val="003F6532"/>
    <w:rsid w:val="003F6ECC"/>
    <w:rsid w:val="003F7A70"/>
    <w:rsid w:val="00403ADA"/>
    <w:rsid w:val="00404940"/>
    <w:rsid w:val="00410549"/>
    <w:rsid w:val="004126DA"/>
    <w:rsid w:val="00415C44"/>
    <w:rsid w:val="00416767"/>
    <w:rsid w:val="00421DE4"/>
    <w:rsid w:val="00422784"/>
    <w:rsid w:val="00422907"/>
    <w:rsid w:val="004235A6"/>
    <w:rsid w:val="004241E5"/>
    <w:rsid w:val="0042681B"/>
    <w:rsid w:val="00427A52"/>
    <w:rsid w:val="0043761E"/>
    <w:rsid w:val="004413C0"/>
    <w:rsid w:val="00443993"/>
    <w:rsid w:val="00443A70"/>
    <w:rsid w:val="00443FAA"/>
    <w:rsid w:val="00444A8F"/>
    <w:rsid w:val="004500AD"/>
    <w:rsid w:val="00453912"/>
    <w:rsid w:val="00453DF7"/>
    <w:rsid w:val="004576CE"/>
    <w:rsid w:val="004602D3"/>
    <w:rsid w:val="00461F59"/>
    <w:rsid w:val="00464B7C"/>
    <w:rsid w:val="00473094"/>
    <w:rsid w:val="00475742"/>
    <w:rsid w:val="00476467"/>
    <w:rsid w:val="00480E03"/>
    <w:rsid w:val="00480E05"/>
    <w:rsid w:val="00482EF8"/>
    <w:rsid w:val="004838C4"/>
    <w:rsid w:val="004859E8"/>
    <w:rsid w:val="00491567"/>
    <w:rsid w:val="00491F4B"/>
    <w:rsid w:val="0049280D"/>
    <w:rsid w:val="00493483"/>
    <w:rsid w:val="004949FF"/>
    <w:rsid w:val="00494E1E"/>
    <w:rsid w:val="00495FD7"/>
    <w:rsid w:val="004A52DF"/>
    <w:rsid w:val="004A5C3A"/>
    <w:rsid w:val="004B0201"/>
    <w:rsid w:val="004B0A92"/>
    <w:rsid w:val="004B445F"/>
    <w:rsid w:val="004B5C38"/>
    <w:rsid w:val="004B7CCE"/>
    <w:rsid w:val="004C04D4"/>
    <w:rsid w:val="004C1866"/>
    <w:rsid w:val="004C23EA"/>
    <w:rsid w:val="004C5882"/>
    <w:rsid w:val="004C6069"/>
    <w:rsid w:val="004C681E"/>
    <w:rsid w:val="004C72E5"/>
    <w:rsid w:val="004D0342"/>
    <w:rsid w:val="004D18F6"/>
    <w:rsid w:val="004D2C2D"/>
    <w:rsid w:val="004D5DCB"/>
    <w:rsid w:val="004D664A"/>
    <w:rsid w:val="004E1879"/>
    <w:rsid w:val="004E35B7"/>
    <w:rsid w:val="004E4ED4"/>
    <w:rsid w:val="004E5548"/>
    <w:rsid w:val="004E56EF"/>
    <w:rsid w:val="004F0337"/>
    <w:rsid w:val="004F04F1"/>
    <w:rsid w:val="004F1597"/>
    <w:rsid w:val="00500254"/>
    <w:rsid w:val="005026EB"/>
    <w:rsid w:val="0051371F"/>
    <w:rsid w:val="005156E9"/>
    <w:rsid w:val="00516654"/>
    <w:rsid w:val="0052477A"/>
    <w:rsid w:val="00524D6C"/>
    <w:rsid w:val="005268AF"/>
    <w:rsid w:val="00526AA5"/>
    <w:rsid w:val="00527BB8"/>
    <w:rsid w:val="00530BAA"/>
    <w:rsid w:val="00530BBA"/>
    <w:rsid w:val="00534EC8"/>
    <w:rsid w:val="00534FC9"/>
    <w:rsid w:val="00543DF1"/>
    <w:rsid w:val="00544C4D"/>
    <w:rsid w:val="005471DE"/>
    <w:rsid w:val="00553342"/>
    <w:rsid w:val="0055558B"/>
    <w:rsid w:val="00556F37"/>
    <w:rsid w:val="005609C3"/>
    <w:rsid w:val="00563167"/>
    <w:rsid w:val="00563E9F"/>
    <w:rsid w:val="00565F46"/>
    <w:rsid w:val="005665EB"/>
    <w:rsid w:val="00566806"/>
    <w:rsid w:val="00567BEC"/>
    <w:rsid w:val="0057226A"/>
    <w:rsid w:val="00572A25"/>
    <w:rsid w:val="005732F1"/>
    <w:rsid w:val="00575A3C"/>
    <w:rsid w:val="00580A90"/>
    <w:rsid w:val="00580D5D"/>
    <w:rsid w:val="00581709"/>
    <w:rsid w:val="00586219"/>
    <w:rsid w:val="00591372"/>
    <w:rsid w:val="00591649"/>
    <w:rsid w:val="00596998"/>
    <w:rsid w:val="00596F8E"/>
    <w:rsid w:val="005A05EF"/>
    <w:rsid w:val="005A5C91"/>
    <w:rsid w:val="005A6FCD"/>
    <w:rsid w:val="005A7CDD"/>
    <w:rsid w:val="005B56DA"/>
    <w:rsid w:val="005B66E4"/>
    <w:rsid w:val="005B6AC1"/>
    <w:rsid w:val="005B72F4"/>
    <w:rsid w:val="005C213E"/>
    <w:rsid w:val="005C5B50"/>
    <w:rsid w:val="005C635B"/>
    <w:rsid w:val="005D00D9"/>
    <w:rsid w:val="005D32E3"/>
    <w:rsid w:val="005D67C6"/>
    <w:rsid w:val="005E4859"/>
    <w:rsid w:val="005E4A55"/>
    <w:rsid w:val="005E6566"/>
    <w:rsid w:val="005F044E"/>
    <w:rsid w:val="005F3C2E"/>
    <w:rsid w:val="005F52C3"/>
    <w:rsid w:val="005F7881"/>
    <w:rsid w:val="005F7E7B"/>
    <w:rsid w:val="00600983"/>
    <w:rsid w:val="006020A8"/>
    <w:rsid w:val="006028E1"/>
    <w:rsid w:val="006037BD"/>
    <w:rsid w:val="00605F9B"/>
    <w:rsid w:val="0060718D"/>
    <w:rsid w:val="00610E52"/>
    <w:rsid w:val="006114FB"/>
    <w:rsid w:val="0061159B"/>
    <w:rsid w:val="00612589"/>
    <w:rsid w:val="00613C27"/>
    <w:rsid w:val="00622E3B"/>
    <w:rsid w:val="00624D37"/>
    <w:rsid w:val="00625233"/>
    <w:rsid w:val="00626C98"/>
    <w:rsid w:val="00630F6E"/>
    <w:rsid w:val="00632CA4"/>
    <w:rsid w:val="006343F7"/>
    <w:rsid w:val="00635075"/>
    <w:rsid w:val="00635A8F"/>
    <w:rsid w:val="00635FE9"/>
    <w:rsid w:val="0064065C"/>
    <w:rsid w:val="00641F90"/>
    <w:rsid w:val="00645DF6"/>
    <w:rsid w:val="0064608C"/>
    <w:rsid w:val="0064768D"/>
    <w:rsid w:val="00650E53"/>
    <w:rsid w:val="0065491C"/>
    <w:rsid w:val="0065592B"/>
    <w:rsid w:val="00656965"/>
    <w:rsid w:val="00656AEB"/>
    <w:rsid w:val="00657E0E"/>
    <w:rsid w:val="006649FD"/>
    <w:rsid w:val="00665DC5"/>
    <w:rsid w:val="00666A14"/>
    <w:rsid w:val="00666B6A"/>
    <w:rsid w:val="00666CE6"/>
    <w:rsid w:val="00670541"/>
    <w:rsid w:val="006707EB"/>
    <w:rsid w:val="006708DF"/>
    <w:rsid w:val="0067191F"/>
    <w:rsid w:val="006719D4"/>
    <w:rsid w:val="006732B5"/>
    <w:rsid w:val="0067457B"/>
    <w:rsid w:val="00674D56"/>
    <w:rsid w:val="0068018A"/>
    <w:rsid w:val="006805DB"/>
    <w:rsid w:val="00690503"/>
    <w:rsid w:val="0069210A"/>
    <w:rsid w:val="00694E5B"/>
    <w:rsid w:val="0069503F"/>
    <w:rsid w:val="006963F0"/>
    <w:rsid w:val="00696F0F"/>
    <w:rsid w:val="006971F1"/>
    <w:rsid w:val="006A1194"/>
    <w:rsid w:val="006A1ED3"/>
    <w:rsid w:val="006A795F"/>
    <w:rsid w:val="006B00CC"/>
    <w:rsid w:val="006B0225"/>
    <w:rsid w:val="006B1ED1"/>
    <w:rsid w:val="006B3ACA"/>
    <w:rsid w:val="006B3E78"/>
    <w:rsid w:val="006B4DEB"/>
    <w:rsid w:val="006B5887"/>
    <w:rsid w:val="006B5D7C"/>
    <w:rsid w:val="006B70CF"/>
    <w:rsid w:val="006B71E2"/>
    <w:rsid w:val="006B7E24"/>
    <w:rsid w:val="006C3E6A"/>
    <w:rsid w:val="006C4536"/>
    <w:rsid w:val="006D0BDC"/>
    <w:rsid w:val="006D6957"/>
    <w:rsid w:val="006D6BF5"/>
    <w:rsid w:val="006D754A"/>
    <w:rsid w:val="006D77F2"/>
    <w:rsid w:val="006E4298"/>
    <w:rsid w:val="006E49A1"/>
    <w:rsid w:val="006E61F9"/>
    <w:rsid w:val="006F0722"/>
    <w:rsid w:val="006F2812"/>
    <w:rsid w:val="006F33A4"/>
    <w:rsid w:val="006F4196"/>
    <w:rsid w:val="006F4B13"/>
    <w:rsid w:val="007002A2"/>
    <w:rsid w:val="00702A56"/>
    <w:rsid w:val="00703BE0"/>
    <w:rsid w:val="00705053"/>
    <w:rsid w:val="00707D33"/>
    <w:rsid w:val="007106BC"/>
    <w:rsid w:val="007174CE"/>
    <w:rsid w:val="00720119"/>
    <w:rsid w:val="007242FF"/>
    <w:rsid w:val="007245A4"/>
    <w:rsid w:val="00724E10"/>
    <w:rsid w:val="00726CC0"/>
    <w:rsid w:val="00726D51"/>
    <w:rsid w:val="00727F8F"/>
    <w:rsid w:val="00727FA1"/>
    <w:rsid w:val="007308D3"/>
    <w:rsid w:val="0073116F"/>
    <w:rsid w:val="00732AA9"/>
    <w:rsid w:val="00733524"/>
    <w:rsid w:val="00734A9B"/>
    <w:rsid w:val="00735F13"/>
    <w:rsid w:val="00736252"/>
    <w:rsid w:val="0073696A"/>
    <w:rsid w:val="00740623"/>
    <w:rsid w:val="00741C78"/>
    <w:rsid w:val="00744C21"/>
    <w:rsid w:val="0074658B"/>
    <w:rsid w:val="0074659E"/>
    <w:rsid w:val="007545C5"/>
    <w:rsid w:val="00756CE8"/>
    <w:rsid w:val="007579FF"/>
    <w:rsid w:val="00767222"/>
    <w:rsid w:val="00770598"/>
    <w:rsid w:val="007719EE"/>
    <w:rsid w:val="00772D1D"/>
    <w:rsid w:val="00773F2C"/>
    <w:rsid w:val="00775129"/>
    <w:rsid w:val="007768A5"/>
    <w:rsid w:val="00777B15"/>
    <w:rsid w:val="00783756"/>
    <w:rsid w:val="00784966"/>
    <w:rsid w:val="0078507E"/>
    <w:rsid w:val="00786C07"/>
    <w:rsid w:val="00787F91"/>
    <w:rsid w:val="007948B8"/>
    <w:rsid w:val="00795DA3"/>
    <w:rsid w:val="00795FB8"/>
    <w:rsid w:val="007A01DB"/>
    <w:rsid w:val="007A6348"/>
    <w:rsid w:val="007B004C"/>
    <w:rsid w:val="007B3137"/>
    <w:rsid w:val="007B6246"/>
    <w:rsid w:val="007B64DB"/>
    <w:rsid w:val="007C0CCC"/>
    <w:rsid w:val="007C4925"/>
    <w:rsid w:val="007E07E2"/>
    <w:rsid w:val="007E08B7"/>
    <w:rsid w:val="007E091E"/>
    <w:rsid w:val="007E0EBA"/>
    <w:rsid w:val="007F4AB6"/>
    <w:rsid w:val="007F72D4"/>
    <w:rsid w:val="007F7CE0"/>
    <w:rsid w:val="00800A5F"/>
    <w:rsid w:val="008033D1"/>
    <w:rsid w:val="0080627A"/>
    <w:rsid w:val="008066A1"/>
    <w:rsid w:val="00812AA7"/>
    <w:rsid w:val="00816665"/>
    <w:rsid w:val="00817350"/>
    <w:rsid w:val="0082081C"/>
    <w:rsid w:val="00824352"/>
    <w:rsid w:val="008252F8"/>
    <w:rsid w:val="008259BE"/>
    <w:rsid w:val="00827C22"/>
    <w:rsid w:val="00830A3E"/>
    <w:rsid w:val="00831341"/>
    <w:rsid w:val="00831F95"/>
    <w:rsid w:val="00833134"/>
    <w:rsid w:val="0083449C"/>
    <w:rsid w:val="00835F4E"/>
    <w:rsid w:val="00841441"/>
    <w:rsid w:val="00844C05"/>
    <w:rsid w:val="008456E3"/>
    <w:rsid w:val="0084713C"/>
    <w:rsid w:val="00847F39"/>
    <w:rsid w:val="0085020C"/>
    <w:rsid w:val="00851D93"/>
    <w:rsid w:val="008539AB"/>
    <w:rsid w:val="00853E63"/>
    <w:rsid w:val="00854514"/>
    <w:rsid w:val="00855BF3"/>
    <w:rsid w:val="00861C0B"/>
    <w:rsid w:val="00865201"/>
    <w:rsid w:val="00866660"/>
    <w:rsid w:val="008707DD"/>
    <w:rsid w:val="00872563"/>
    <w:rsid w:val="00872C8A"/>
    <w:rsid w:val="00873346"/>
    <w:rsid w:val="0087369F"/>
    <w:rsid w:val="00874065"/>
    <w:rsid w:val="00876AAD"/>
    <w:rsid w:val="00876ADD"/>
    <w:rsid w:val="008914AB"/>
    <w:rsid w:val="00892CF7"/>
    <w:rsid w:val="00893602"/>
    <w:rsid w:val="0089694E"/>
    <w:rsid w:val="00897CED"/>
    <w:rsid w:val="008A1022"/>
    <w:rsid w:val="008A55EE"/>
    <w:rsid w:val="008A5BCD"/>
    <w:rsid w:val="008A64C7"/>
    <w:rsid w:val="008A72D1"/>
    <w:rsid w:val="008A7532"/>
    <w:rsid w:val="008B01DC"/>
    <w:rsid w:val="008B4DBF"/>
    <w:rsid w:val="008C053D"/>
    <w:rsid w:val="008C16C3"/>
    <w:rsid w:val="008C1F32"/>
    <w:rsid w:val="008C3E65"/>
    <w:rsid w:val="008C5156"/>
    <w:rsid w:val="008D022A"/>
    <w:rsid w:val="008D0A29"/>
    <w:rsid w:val="008D44B9"/>
    <w:rsid w:val="008D528A"/>
    <w:rsid w:val="008D5B3F"/>
    <w:rsid w:val="008D6F37"/>
    <w:rsid w:val="008E01BD"/>
    <w:rsid w:val="008E33FB"/>
    <w:rsid w:val="008F4409"/>
    <w:rsid w:val="008F7AFE"/>
    <w:rsid w:val="008F7E41"/>
    <w:rsid w:val="009027D0"/>
    <w:rsid w:val="0090515E"/>
    <w:rsid w:val="009101BA"/>
    <w:rsid w:val="0091203D"/>
    <w:rsid w:val="009141AD"/>
    <w:rsid w:val="00916693"/>
    <w:rsid w:val="009172A2"/>
    <w:rsid w:val="009176FA"/>
    <w:rsid w:val="00917F16"/>
    <w:rsid w:val="009219AD"/>
    <w:rsid w:val="00922BD3"/>
    <w:rsid w:val="009235A4"/>
    <w:rsid w:val="0092489A"/>
    <w:rsid w:val="00926122"/>
    <w:rsid w:val="0092735C"/>
    <w:rsid w:val="0093154D"/>
    <w:rsid w:val="00935F4A"/>
    <w:rsid w:val="009361BA"/>
    <w:rsid w:val="00940891"/>
    <w:rsid w:val="00943D4D"/>
    <w:rsid w:val="0094517E"/>
    <w:rsid w:val="00946EE4"/>
    <w:rsid w:val="00950A69"/>
    <w:rsid w:val="009534F9"/>
    <w:rsid w:val="00953736"/>
    <w:rsid w:val="00954336"/>
    <w:rsid w:val="0095506E"/>
    <w:rsid w:val="00955928"/>
    <w:rsid w:val="009573DF"/>
    <w:rsid w:val="00960537"/>
    <w:rsid w:val="00970B7C"/>
    <w:rsid w:val="00972F38"/>
    <w:rsid w:val="00973863"/>
    <w:rsid w:val="009925C1"/>
    <w:rsid w:val="0099488F"/>
    <w:rsid w:val="0099618D"/>
    <w:rsid w:val="009A07EE"/>
    <w:rsid w:val="009A2758"/>
    <w:rsid w:val="009A63B3"/>
    <w:rsid w:val="009A6EFD"/>
    <w:rsid w:val="009A7DBA"/>
    <w:rsid w:val="009B4A7A"/>
    <w:rsid w:val="009B5BAC"/>
    <w:rsid w:val="009B7AC0"/>
    <w:rsid w:val="009C05B5"/>
    <w:rsid w:val="009C3D06"/>
    <w:rsid w:val="009C4499"/>
    <w:rsid w:val="009C66A4"/>
    <w:rsid w:val="009D175C"/>
    <w:rsid w:val="009D4A1B"/>
    <w:rsid w:val="009D6019"/>
    <w:rsid w:val="009E00BB"/>
    <w:rsid w:val="009E3D2F"/>
    <w:rsid w:val="009E5FF5"/>
    <w:rsid w:val="009E6A97"/>
    <w:rsid w:val="009E7327"/>
    <w:rsid w:val="009F2FA6"/>
    <w:rsid w:val="009F64A6"/>
    <w:rsid w:val="00A02551"/>
    <w:rsid w:val="00A030EF"/>
    <w:rsid w:val="00A06EDB"/>
    <w:rsid w:val="00A07378"/>
    <w:rsid w:val="00A111F3"/>
    <w:rsid w:val="00A14110"/>
    <w:rsid w:val="00A22C31"/>
    <w:rsid w:val="00A23AAB"/>
    <w:rsid w:val="00A24330"/>
    <w:rsid w:val="00A27754"/>
    <w:rsid w:val="00A279D5"/>
    <w:rsid w:val="00A27D25"/>
    <w:rsid w:val="00A27D5C"/>
    <w:rsid w:val="00A35BAB"/>
    <w:rsid w:val="00A35F9D"/>
    <w:rsid w:val="00A36F12"/>
    <w:rsid w:val="00A372ED"/>
    <w:rsid w:val="00A37558"/>
    <w:rsid w:val="00A41EF2"/>
    <w:rsid w:val="00A4557A"/>
    <w:rsid w:val="00A46655"/>
    <w:rsid w:val="00A47D2B"/>
    <w:rsid w:val="00A47D59"/>
    <w:rsid w:val="00A50E73"/>
    <w:rsid w:val="00A52E46"/>
    <w:rsid w:val="00A54BCB"/>
    <w:rsid w:val="00A55FFB"/>
    <w:rsid w:val="00A610DC"/>
    <w:rsid w:val="00A63D25"/>
    <w:rsid w:val="00A764CC"/>
    <w:rsid w:val="00A76630"/>
    <w:rsid w:val="00A80696"/>
    <w:rsid w:val="00A806B7"/>
    <w:rsid w:val="00A81302"/>
    <w:rsid w:val="00A81B79"/>
    <w:rsid w:val="00A84F57"/>
    <w:rsid w:val="00A86DA4"/>
    <w:rsid w:val="00A91C60"/>
    <w:rsid w:val="00A93173"/>
    <w:rsid w:val="00A96633"/>
    <w:rsid w:val="00A9678E"/>
    <w:rsid w:val="00AA0ACA"/>
    <w:rsid w:val="00AA12B2"/>
    <w:rsid w:val="00AB41C7"/>
    <w:rsid w:val="00AB4F12"/>
    <w:rsid w:val="00AB7AF6"/>
    <w:rsid w:val="00AB7D0C"/>
    <w:rsid w:val="00AC26CA"/>
    <w:rsid w:val="00AC427D"/>
    <w:rsid w:val="00AC7125"/>
    <w:rsid w:val="00AC73AC"/>
    <w:rsid w:val="00AD26C4"/>
    <w:rsid w:val="00AD3D6E"/>
    <w:rsid w:val="00AD4664"/>
    <w:rsid w:val="00AD5664"/>
    <w:rsid w:val="00AD7CA5"/>
    <w:rsid w:val="00AE0523"/>
    <w:rsid w:val="00AE274A"/>
    <w:rsid w:val="00AE4BB2"/>
    <w:rsid w:val="00AE5306"/>
    <w:rsid w:val="00AE5355"/>
    <w:rsid w:val="00AE785D"/>
    <w:rsid w:val="00AE7D8E"/>
    <w:rsid w:val="00AF275D"/>
    <w:rsid w:val="00AF49B6"/>
    <w:rsid w:val="00AF49DD"/>
    <w:rsid w:val="00AF7285"/>
    <w:rsid w:val="00B01FB5"/>
    <w:rsid w:val="00B023D8"/>
    <w:rsid w:val="00B02BD1"/>
    <w:rsid w:val="00B07235"/>
    <w:rsid w:val="00B07671"/>
    <w:rsid w:val="00B155BF"/>
    <w:rsid w:val="00B258FB"/>
    <w:rsid w:val="00B3015D"/>
    <w:rsid w:val="00B40AD7"/>
    <w:rsid w:val="00B41599"/>
    <w:rsid w:val="00B42165"/>
    <w:rsid w:val="00B44F36"/>
    <w:rsid w:val="00B45455"/>
    <w:rsid w:val="00B47CB9"/>
    <w:rsid w:val="00B50F21"/>
    <w:rsid w:val="00B5278D"/>
    <w:rsid w:val="00B53C7C"/>
    <w:rsid w:val="00B637EA"/>
    <w:rsid w:val="00B6445F"/>
    <w:rsid w:val="00B67DD6"/>
    <w:rsid w:val="00B711CE"/>
    <w:rsid w:val="00B71498"/>
    <w:rsid w:val="00B722A1"/>
    <w:rsid w:val="00B72BBE"/>
    <w:rsid w:val="00B75B3D"/>
    <w:rsid w:val="00B7670D"/>
    <w:rsid w:val="00B846F5"/>
    <w:rsid w:val="00B86755"/>
    <w:rsid w:val="00B9431A"/>
    <w:rsid w:val="00B97EC7"/>
    <w:rsid w:val="00BA0B90"/>
    <w:rsid w:val="00BA1DC8"/>
    <w:rsid w:val="00BA34EE"/>
    <w:rsid w:val="00BA5269"/>
    <w:rsid w:val="00BA5BFC"/>
    <w:rsid w:val="00BB2C9F"/>
    <w:rsid w:val="00BB3328"/>
    <w:rsid w:val="00BC0048"/>
    <w:rsid w:val="00BC324A"/>
    <w:rsid w:val="00BC38DB"/>
    <w:rsid w:val="00BD4722"/>
    <w:rsid w:val="00BD609E"/>
    <w:rsid w:val="00BE62DF"/>
    <w:rsid w:val="00BF0C1E"/>
    <w:rsid w:val="00BF3037"/>
    <w:rsid w:val="00BF458B"/>
    <w:rsid w:val="00BF6D3E"/>
    <w:rsid w:val="00C05754"/>
    <w:rsid w:val="00C105FB"/>
    <w:rsid w:val="00C13172"/>
    <w:rsid w:val="00C1383F"/>
    <w:rsid w:val="00C21DA7"/>
    <w:rsid w:val="00C25CAD"/>
    <w:rsid w:val="00C2715E"/>
    <w:rsid w:val="00C311E2"/>
    <w:rsid w:val="00C37E16"/>
    <w:rsid w:val="00C52FE5"/>
    <w:rsid w:val="00C53A86"/>
    <w:rsid w:val="00C5628F"/>
    <w:rsid w:val="00C562DA"/>
    <w:rsid w:val="00C577AB"/>
    <w:rsid w:val="00C70363"/>
    <w:rsid w:val="00C720EF"/>
    <w:rsid w:val="00C75763"/>
    <w:rsid w:val="00C82068"/>
    <w:rsid w:val="00C8372C"/>
    <w:rsid w:val="00C83A50"/>
    <w:rsid w:val="00C8619D"/>
    <w:rsid w:val="00C900F0"/>
    <w:rsid w:val="00C94246"/>
    <w:rsid w:val="00CA26E9"/>
    <w:rsid w:val="00CA66E8"/>
    <w:rsid w:val="00CA6ADD"/>
    <w:rsid w:val="00CB5871"/>
    <w:rsid w:val="00CB684D"/>
    <w:rsid w:val="00CB79BD"/>
    <w:rsid w:val="00CC21A0"/>
    <w:rsid w:val="00CC2E01"/>
    <w:rsid w:val="00CC36BB"/>
    <w:rsid w:val="00CC3705"/>
    <w:rsid w:val="00CC4273"/>
    <w:rsid w:val="00CC7E88"/>
    <w:rsid w:val="00CD054C"/>
    <w:rsid w:val="00CD0F31"/>
    <w:rsid w:val="00CD3359"/>
    <w:rsid w:val="00CD5946"/>
    <w:rsid w:val="00CD66AF"/>
    <w:rsid w:val="00CE0973"/>
    <w:rsid w:val="00CE1047"/>
    <w:rsid w:val="00CE1707"/>
    <w:rsid w:val="00CE2D79"/>
    <w:rsid w:val="00CE3CF3"/>
    <w:rsid w:val="00CE5DF8"/>
    <w:rsid w:val="00CF1A08"/>
    <w:rsid w:val="00CF4A6B"/>
    <w:rsid w:val="00D007D2"/>
    <w:rsid w:val="00D032E2"/>
    <w:rsid w:val="00D11A8A"/>
    <w:rsid w:val="00D1735A"/>
    <w:rsid w:val="00D219C8"/>
    <w:rsid w:val="00D2751F"/>
    <w:rsid w:val="00D30EDE"/>
    <w:rsid w:val="00D3145D"/>
    <w:rsid w:val="00D326C1"/>
    <w:rsid w:val="00D359CE"/>
    <w:rsid w:val="00D42BA6"/>
    <w:rsid w:val="00D42F25"/>
    <w:rsid w:val="00D44468"/>
    <w:rsid w:val="00D44930"/>
    <w:rsid w:val="00D44AFA"/>
    <w:rsid w:val="00D44C87"/>
    <w:rsid w:val="00D46392"/>
    <w:rsid w:val="00D47689"/>
    <w:rsid w:val="00D50A76"/>
    <w:rsid w:val="00D51814"/>
    <w:rsid w:val="00D52E90"/>
    <w:rsid w:val="00D5356A"/>
    <w:rsid w:val="00D5705B"/>
    <w:rsid w:val="00D57A77"/>
    <w:rsid w:val="00D60F44"/>
    <w:rsid w:val="00D62898"/>
    <w:rsid w:val="00D654C1"/>
    <w:rsid w:val="00D658A4"/>
    <w:rsid w:val="00D71606"/>
    <w:rsid w:val="00D80096"/>
    <w:rsid w:val="00D8172C"/>
    <w:rsid w:val="00D81B3D"/>
    <w:rsid w:val="00D823C9"/>
    <w:rsid w:val="00D83492"/>
    <w:rsid w:val="00D83828"/>
    <w:rsid w:val="00D8774D"/>
    <w:rsid w:val="00D87E25"/>
    <w:rsid w:val="00D92DA7"/>
    <w:rsid w:val="00D97E4E"/>
    <w:rsid w:val="00DA0464"/>
    <w:rsid w:val="00DA339A"/>
    <w:rsid w:val="00DB1F39"/>
    <w:rsid w:val="00DB2ACC"/>
    <w:rsid w:val="00DB2BE4"/>
    <w:rsid w:val="00DB3C44"/>
    <w:rsid w:val="00DB7DFD"/>
    <w:rsid w:val="00DD184C"/>
    <w:rsid w:val="00DD2F74"/>
    <w:rsid w:val="00DD6785"/>
    <w:rsid w:val="00DD7229"/>
    <w:rsid w:val="00DD7442"/>
    <w:rsid w:val="00DE1004"/>
    <w:rsid w:val="00DE27B5"/>
    <w:rsid w:val="00DE27C5"/>
    <w:rsid w:val="00DE4632"/>
    <w:rsid w:val="00DE52D2"/>
    <w:rsid w:val="00DE7DA4"/>
    <w:rsid w:val="00DF051B"/>
    <w:rsid w:val="00DF17ED"/>
    <w:rsid w:val="00DF2F60"/>
    <w:rsid w:val="00DF4F7D"/>
    <w:rsid w:val="00DF5370"/>
    <w:rsid w:val="00DF7F40"/>
    <w:rsid w:val="00E02BA5"/>
    <w:rsid w:val="00E04A20"/>
    <w:rsid w:val="00E05DDB"/>
    <w:rsid w:val="00E07EBC"/>
    <w:rsid w:val="00E150AA"/>
    <w:rsid w:val="00E15380"/>
    <w:rsid w:val="00E16948"/>
    <w:rsid w:val="00E16F05"/>
    <w:rsid w:val="00E21AF1"/>
    <w:rsid w:val="00E22A5C"/>
    <w:rsid w:val="00E234D6"/>
    <w:rsid w:val="00E25B1F"/>
    <w:rsid w:val="00E269DB"/>
    <w:rsid w:val="00E30B17"/>
    <w:rsid w:val="00E32B8E"/>
    <w:rsid w:val="00E33D1A"/>
    <w:rsid w:val="00E346D1"/>
    <w:rsid w:val="00E34B94"/>
    <w:rsid w:val="00E35CD3"/>
    <w:rsid w:val="00E455B8"/>
    <w:rsid w:val="00E470F2"/>
    <w:rsid w:val="00E513BB"/>
    <w:rsid w:val="00E53C44"/>
    <w:rsid w:val="00E53D9A"/>
    <w:rsid w:val="00E55236"/>
    <w:rsid w:val="00E55374"/>
    <w:rsid w:val="00E57B87"/>
    <w:rsid w:val="00E60344"/>
    <w:rsid w:val="00E60544"/>
    <w:rsid w:val="00E61003"/>
    <w:rsid w:val="00E64B37"/>
    <w:rsid w:val="00E6590D"/>
    <w:rsid w:val="00E65921"/>
    <w:rsid w:val="00E67FAC"/>
    <w:rsid w:val="00E71A60"/>
    <w:rsid w:val="00E730E7"/>
    <w:rsid w:val="00E91D92"/>
    <w:rsid w:val="00E9283E"/>
    <w:rsid w:val="00EA0D9D"/>
    <w:rsid w:val="00EA1160"/>
    <w:rsid w:val="00EA126C"/>
    <w:rsid w:val="00EA73CC"/>
    <w:rsid w:val="00EB078B"/>
    <w:rsid w:val="00EB3335"/>
    <w:rsid w:val="00EB33FA"/>
    <w:rsid w:val="00EB576B"/>
    <w:rsid w:val="00EB6798"/>
    <w:rsid w:val="00EC2AB4"/>
    <w:rsid w:val="00EC435D"/>
    <w:rsid w:val="00EC5EC0"/>
    <w:rsid w:val="00EC6A44"/>
    <w:rsid w:val="00EC771B"/>
    <w:rsid w:val="00ED1F21"/>
    <w:rsid w:val="00ED3111"/>
    <w:rsid w:val="00ED4310"/>
    <w:rsid w:val="00ED43B7"/>
    <w:rsid w:val="00ED61F8"/>
    <w:rsid w:val="00EE015A"/>
    <w:rsid w:val="00EE415F"/>
    <w:rsid w:val="00EE52DB"/>
    <w:rsid w:val="00EF1634"/>
    <w:rsid w:val="00EF17B3"/>
    <w:rsid w:val="00EF1F4A"/>
    <w:rsid w:val="00EF50A4"/>
    <w:rsid w:val="00EF51B0"/>
    <w:rsid w:val="00EF5620"/>
    <w:rsid w:val="00EF7A5E"/>
    <w:rsid w:val="00F025D0"/>
    <w:rsid w:val="00F03446"/>
    <w:rsid w:val="00F03C3A"/>
    <w:rsid w:val="00F041DC"/>
    <w:rsid w:val="00F04925"/>
    <w:rsid w:val="00F07458"/>
    <w:rsid w:val="00F07E54"/>
    <w:rsid w:val="00F10B7F"/>
    <w:rsid w:val="00F10F4F"/>
    <w:rsid w:val="00F1126E"/>
    <w:rsid w:val="00F11722"/>
    <w:rsid w:val="00F13B5A"/>
    <w:rsid w:val="00F13BA3"/>
    <w:rsid w:val="00F1406E"/>
    <w:rsid w:val="00F14E1C"/>
    <w:rsid w:val="00F150F3"/>
    <w:rsid w:val="00F17E96"/>
    <w:rsid w:val="00F21D8E"/>
    <w:rsid w:val="00F24872"/>
    <w:rsid w:val="00F27811"/>
    <w:rsid w:val="00F31AD4"/>
    <w:rsid w:val="00F3238F"/>
    <w:rsid w:val="00F361BE"/>
    <w:rsid w:val="00F36CE3"/>
    <w:rsid w:val="00F3723B"/>
    <w:rsid w:val="00F4125C"/>
    <w:rsid w:val="00F423BC"/>
    <w:rsid w:val="00F438A9"/>
    <w:rsid w:val="00F442B8"/>
    <w:rsid w:val="00F44A6D"/>
    <w:rsid w:val="00F47FAF"/>
    <w:rsid w:val="00F534EF"/>
    <w:rsid w:val="00F53611"/>
    <w:rsid w:val="00F53DDE"/>
    <w:rsid w:val="00F5507D"/>
    <w:rsid w:val="00F5624B"/>
    <w:rsid w:val="00F56E74"/>
    <w:rsid w:val="00F64017"/>
    <w:rsid w:val="00F7002D"/>
    <w:rsid w:val="00F7073F"/>
    <w:rsid w:val="00F71BDC"/>
    <w:rsid w:val="00F80DFA"/>
    <w:rsid w:val="00F83B14"/>
    <w:rsid w:val="00F908B3"/>
    <w:rsid w:val="00F9150B"/>
    <w:rsid w:val="00F96BED"/>
    <w:rsid w:val="00FA0799"/>
    <w:rsid w:val="00FA0F17"/>
    <w:rsid w:val="00FA19A1"/>
    <w:rsid w:val="00FA1E5A"/>
    <w:rsid w:val="00FA21AF"/>
    <w:rsid w:val="00FA3136"/>
    <w:rsid w:val="00FA4D32"/>
    <w:rsid w:val="00FA62A3"/>
    <w:rsid w:val="00FB1C73"/>
    <w:rsid w:val="00FB5880"/>
    <w:rsid w:val="00FB7C99"/>
    <w:rsid w:val="00FC089B"/>
    <w:rsid w:val="00FC61C6"/>
    <w:rsid w:val="00FC6334"/>
    <w:rsid w:val="00FD124D"/>
    <w:rsid w:val="00FD2308"/>
    <w:rsid w:val="00FD73AA"/>
    <w:rsid w:val="00FE4543"/>
    <w:rsid w:val="00FE4D66"/>
    <w:rsid w:val="00FE58AC"/>
    <w:rsid w:val="00FF0405"/>
    <w:rsid w:val="00FF1D53"/>
    <w:rsid w:val="00FF339A"/>
    <w:rsid w:val="00FF4B5B"/>
    <w:rsid w:val="16EEC756"/>
    <w:rsid w:val="17AE6EE3"/>
    <w:rsid w:val="2B9FCC01"/>
    <w:rsid w:val="32EB630A"/>
    <w:rsid w:val="33102E8C"/>
    <w:rsid w:val="4FFBF38C"/>
    <w:rsid w:val="62CAF38F"/>
    <w:rsid w:val="70695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EB20"/>
  <w15:chartTrackingRefBased/>
  <w15:docId w15:val="{50859730-5142-49F3-BD73-8683D794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25"/>
    <w:pPr>
      <w:spacing w:after="120"/>
    </w:pPr>
    <w:rPr>
      <w:rFonts w:asciiTheme="minorHAnsi" w:hAnsiTheme="minorHAnsi"/>
      <w:sz w:val="24"/>
    </w:rPr>
  </w:style>
  <w:style w:type="paragraph" w:styleId="Heading1">
    <w:name w:val="heading 1"/>
    <w:basedOn w:val="Normal"/>
    <w:next w:val="Normal"/>
    <w:link w:val="Heading1Char"/>
    <w:rsid w:val="00F3238F"/>
    <w:pPr>
      <w:keepNext/>
      <w:keepLines/>
      <w:spacing w:before="240" w:after="240"/>
      <w:outlineLvl w:val="0"/>
    </w:pPr>
    <w:rPr>
      <w:rFonts w:eastAsiaTheme="majorEastAsia" w:cstheme="majorBidi"/>
      <w:b/>
      <w:sz w:val="40"/>
      <w:szCs w:val="32"/>
    </w:rPr>
  </w:style>
  <w:style w:type="paragraph" w:styleId="Heading2">
    <w:name w:val="heading 2"/>
    <w:basedOn w:val="Normal"/>
    <w:next w:val="Normal"/>
    <w:link w:val="Heading2Char"/>
    <w:unhideWhenUsed/>
    <w:rsid w:val="00D44930"/>
    <w:pPr>
      <w:keepNext/>
      <w:keepLines/>
      <w:spacing w:before="360"/>
      <w:outlineLvl w:val="1"/>
    </w:pPr>
    <w:rPr>
      <w:rFonts w:eastAsiaTheme="majorEastAsia" w:cstheme="majorBidi"/>
      <w:b/>
      <w:sz w:val="28"/>
      <w:szCs w:val="26"/>
      <w:lang w:eastAsia="en-GB"/>
    </w:rPr>
  </w:style>
  <w:style w:type="paragraph" w:styleId="Heading3">
    <w:name w:val="heading 3"/>
    <w:basedOn w:val="Normal"/>
    <w:next w:val="Normal"/>
    <w:link w:val="Heading3Char"/>
    <w:uiPriority w:val="9"/>
    <w:unhideWhenUsed/>
    <w:qFormat/>
    <w:rsid w:val="00D42F25"/>
    <w:pPr>
      <w:keepNext/>
      <w:keepLines/>
      <w:spacing w:before="120" w:after="360"/>
      <w:contextualSpacing/>
      <w:outlineLvl w:val="2"/>
    </w:pPr>
    <w:rPr>
      <w:rFonts w:eastAsiaTheme="majorEastAsia" w:cstheme="majorBidi"/>
      <w:b/>
      <w:sz w:val="34"/>
      <w:szCs w:val="24"/>
      <w:lang w:eastAsia="en-GB"/>
    </w:rPr>
  </w:style>
  <w:style w:type="paragraph" w:styleId="Heading4">
    <w:name w:val="heading 4"/>
    <w:basedOn w:val="Normal"/>
    <w:next w:val="Normal"/>
    <w:link w:val="Heading4Char"/>
    <w:uiPriority w:val="9"/>
    <w:unhideWhenUsed/>
    <w:rsid w:val="00F3238F"/>
    <w:pPr>
      <w:keepNext/>
      <w:keepLines/>
      <w:spacing w:before="360" w:after="0"/>
      <w:contextualSpacing/>
      <w:outlineLvl w:val="3"/>
    </w:pPr>
    <w:rPr>
      <w:rFonts w:eastAsiaTheme="majorEastAsia" w:cstheme="majorBidi"/>
      <w:b/>
      <w:iCs/>
      <w:sz w:val="22"/>
    </w:rPr>
  </w:style>
  <w:style w:type="paragraph" w:styleId="Heading5">
    <w:name w:val="heading 5"/>
    <w:basedOn w:val="Normal"/>
    <w:next w:val="Normal"/>
    <w:link w:val="Heading5Char"/>
    <w:uiPriority w:val="9"/>
    <w:unhideWhenUsed/>
    <w:qFormat/>
    <w:rsid w:val="00FF1D53"/>
    <w:pPr>
      <w:keepNext/>
      <w:keepLines/>
      <w:spacing w:before="360"/>
      <w:outlineLvl w:val="4"/>
    </w:pPr>
    <w:rPr>
      <w:rFonts w:eastAsiaTheme="majorEastAsia" w:cstheme="majorBidi"/>
      <w:b/>
      <w:sz w:val="28"/>
    </w:rPr>
  </w:style>
  <w:style w:type="paragraph" w:styleId="Heading6">
    <w:name w:val="heading 6"/>
    <w:aliases w:val="Sub-section Heading"/>
    <w:basedOn w:val="Normal"/>
    <w:next w:val="Normal"/>
    <w:link w:val="Heading6Char"/>
    <w:uiPriority w:val="9"/>
    <w:unhideWhenUsed/>
    <w:qFormat/>
    <w:rsid w:val="009D175C"/>
    <w:pPr>
      <w:keepNext/>
      <w:keepLines/>
      <w:outlineLvl w:val="5"/>
    </w:pPr>
    <w:rPr>
      <w:rFonts w:eastAsiaTheme="majorEastAsia" w:cstheme="majorBidi"/>
      <w:i/>
      <w:sz w:val="26"/>
      <w:u w:val="single"/>
    </w:rPr>
  </w:style>
  <w:style w:type="paragraph" w:styleId="Heading7">
    <w:name w:val="heading 7"/>
    <w:basedOn w:val="Normal"/>
    <w:next w:val="Normal"/>
    <w:link w:val="Heading7Char"/>
    <w:uiPriority w:val="9"/>
    <w:unhideWhenUsed/>
    <w:rsid w:val="00D42F25"/>
    <w:pPr>
      <w:keepNext/>
      <w:keepLines/>
      <w:spacing w:before="360" w:after="0"/>
      <w:contextualSpacing/>
      <w:outlineLvl w:val="6"/>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238F"/>
    <w:rPr>
      <w:rFonts w:asciiTheme="minorHAnsi" w:eastAsiaTheme="majorEastAsia" w:hAnsiTheme="minorHAnsi" w:cstheme="majorBidi"/>
      <w:b/>
      <w:sz w:val="40"/>
      <w:szCs w:val="32"/>
    </w:rPr>
  </w:style>
  <w:style w:type="paragraph" w:styleId="Date">
    <w:name w:val="Date"/>
    <w:basedOn w:val="Normal"/>
    <w:next w:val="Normal"/>
    <w:link w:val="DateChar"/>
    <w:rsid w:val="00D42F25"/>
    <w:pPr>
      <w:spacing w:after="360"/>
      <w:jc w:val="right"/>
    </w:pPr>
    <w:rPr>
      <w:rFonts w:eastAsia="Times New Roman"/>
      <w:b/>
      <w:sz w:val="28"/>
      <w:szCs w:val="24"/>
      <w:lang w:eastAsia="en-GB"/>
    </w:rPr>
  </w:style>
  <w:style w:type="character" w:customStyle="1" w:styleId="DateChar">
    <w:name w:val="Date Char"/>
    <w:basedOn w:val="DefaultParagraphFont"/>
    <w:link w:val="Date"/>
    <w:rsid w:val="00D42F25"/>
    <w:rPr>
      <w:rFonts w:asciiTheme="minorHAnsi" w:eastAsia="Times New Roman" w:hAnsiTheme="minorHAnsi"/>
      <w:b/>
      <w:sz w:val="28"/>
      <w:szCs w:val="24"/>
      <w:lang w:eastAsia="en-GB"/>
    </w:rPr>
  </w:style>
  <w:style w:type="character" w:customStyle="1" w:styleId="Heading2Char">
    <w:name w:val="Heading 2 Char"/>
    <w:basedOn w:val="DefaultParagraphFont"/>
    <w:link w:val="Heading2"/>
    <w:rsid w:val="00D44930"/>
    <w:rPr>
      <w:rFonts w:asciiTheme="minorHAnsi" w:eastAsiaTheme="majorEastAsia" w:hAnsiTheme="minorHAnsi" w:cstheme="majorBidi"/>
      <w:b/>
      <w:sz w:val="28"/>
      <w:szCs w:val="26"/>
      <w:lang w:eastAsia="en-GB"/>
    </w:rPr>
  </w:style>
  <w:style w:type="character" w:customStyle="1" w:styleId="Heading3Char">
    <w:name w:val="Heading 3 Char"/>
    <w:basedOn w:val="DefaultParagraphFont"/>
    <w:link w:val="Heading3"/>
    <w:uiPriority w:val="9"/>
    <w:rsid w:val="00D42F25"/>
    <w:rPr>
      <w:rFonts w:asciiTheme="minorHAnsi" w:eastAsiaTheme="majorEastAsia" w:hAnsiTheme="minorHAnsi" w:cstheme="majorBidi"/>
      <w:b/>
      <w:sz w:val="34"/>
      <w:szCs w:val="24"/>
      <w:lang w:eastAsia="en-GB"/>
    </w:rPr>
  </w:style>
  <w:style w:type="paragraph" w:styleId="NoSpacing">
    <w:name w:val="No Spacing"/>
    <w:uiPriority w:val="1"/>
    <w:qFormat/>
    <w:rsid w:val="009D175C"/>
  </w:style>
  <w:style w:type="character" w:customStyle="1" w:styleId="Heading4Char">
    <w:name w:val="Heading 4 Char"/>
    <w:basedOn w:val="DefaultParagraphFont"/>
    <w:link w:val="Heading4"/>
    <w:uiPriority w:val="9"/>
    <w:rsid w:val="00F3238F"/>
    <w:rPr>
      <w:rFonts w:asciiTheme="minorHAnsi" w:eastAsiaTheme="majorEastAsia" w:hAnsiTheme="minorHAnsi" w:cstheme="majorBidi"/>
      <w:b/>
      <w:iCs/>
      <w:sz w:val="22"/>
    </w:rPr>
  </w:style>
  <w:style w:type="character" w:customStyle="1" w:styleId="Heading5Char">
    <w:name w:val="Heading 5 Char"/>
    <w:basedOn w:val="DefaultParagraphFont"/>
    <w:link w:val="Heading5"/>
    <w:uiPriority w:val="9"/>
    <w:rsid w:val="00FF1D53"/>
    <w:rPr>
      <w:rFonts w:asciiTheme="minorHAnsi" w:eastAsiaTheme="majorEastAsia" w:hAnsiTheme="minorHAnsi" w:cstheme="majorBidi"/>
      <w:b/>
      <w:sz w:val="28"/>
    </w:rPr>
  </w:style>
  <w:style w:type="character" w:customStyle="1" w:styleId="Heading6Char">
    <w:name w:val="Heading 6 Char"/>
    <w:aliases w:val="Sub-section Heading Char"/>
    <w:basedOn w:val="DefaultParagraphFont"/>
    <w:link w:val="Heading6"/>
    <w:uiPriority w:val="9"/>
    <w:rsid w:val="009D175C"/>
    <w:rPr>
      <w:rFonts w:asciiTheme="minorHAnsi" w:eastAsiaTheme="majorEastAsia" w:hAnsiTheme="minorHAnsi" w:cstheme="majorBidi"/>
      <w:i/>
      <w:sz w:val="26"/>
      <w:u w:val="single"/>
    </w:rPr>
  </w:style>
  <w:style w:type="character" w:customStyle="1" w:styleId="Heading7Char">
    <w:name w:val="Heading 7 Char"/>
    <w:basedOn w:val="DefaultParagraphFont"/>
    <w:link w:val="Heading7"/>
    <w:uiPriority w:val="9"/>
    <w:rsid w:val="00D42F25"/>
    <w:rPr>
      <w:rFonts w:asciiTheme="minorHAnsi" w:eastAsiaTheme="majorEastAsia" w:hAnsiTheme="minorHAnsi" w:cstheme="majorBidi"/>
      <w:b/>
      <w:iCs/>
      <w:sz w:val="22"/>
    </w:rPr>
  </w:style>
  <w:style w:type="paragraph" w:customStyle="1" w:styleId="CaseDetails">
    <w:name w:val="Case Details"/>
    <w:qFormat/>
    <w:rsid w:val="00D44930"/>
    <w:pPr>
      <w:spacing w:before="360" w:after="360"/>
      <w:contextualSpacing/>
    </w:pPr>
    <w:rPr>
      <w:rFonts w:asciiTheme="minorHAnsi" w:eastAsiaTheme="majorEastAsia" w:hAnsiTheme="minorHAnsi" w:cstheme="majorBidi"/>
      <w:b/>
      <w:sz w:val="32"/>
      <w:szCs w:val="24"/>
      <w:lang w:eastAsia="en-GB"/>
    </w:rPr>
  </w:style>
  <w:style w:type="paragraph" w:customStyle="1" w:styleId="CourtOrder">
    <w:name w:val="Court Order"/>
    <w:next w:val="CaseDetails"/>
    <w:qFormat/>
    <w:rsid w:val="00E25B1F"/>
    <w:pPr>
      <w:spacing w:before="360" w:after="360"/>
      <w:contextualSpacing/>
    </w:pPr>
    <w:rPr>
      <w:rFonts w:asciiTheme="minorHAnsi" w:eastAsiaTheme="majorEastAsia" w:hAnsiTheme="minorHAnsi" w:cstheme="majorBidi"/>
      <w:b/>
      <w:sz w:val="32"/>
      <w:szCs w:val="24"/>
      <w:lang w:eastAsia="en-GB"/>
    </w:rPr>
  </w:style>
  <w:style w:type="paragraph" w:customStyle="1" w:styleId="Justices">
    <w:name w:val="Justices"/>
    <w:next w:val="CaseDetails"/>
    <w:qFormat/>
    <w:rsid w:val="007E0EBA"/>
    <w:pPr>
      <w:spacing w:before="360" w:after="360"/>
      <w:contextualSpacing/>
    </w:pPr>
    <w:rPr>
      <w:rFonts w:asciiTheme="minorHAnsi" w:eastAsiaTheme="majorEastAsia" w:hAnsiTheme="minorHAnsi" w:cstheme="majorBidi"/>
      <w:b/>
      <w:iCs/>
      <w:sz w:val="28"/>
    </w:rPr>
  </w:style>
  <w:style w:type="paragraph" w:customStyle="1" w:styleId="SubsectionHeading">
    <w:name w:val="Subsection Heading"/>
    <w:next w:val="CaseDetails"/>
    <w:qFormat/>
    <w:rsid w:val="001D6231"/>
    <w:rPr>
      <w:rFonts w:asciiTheme="minorHAnsi" w:eastAsiaTheme="majorEastAsia" w:hAnsiTheme="minorHAnsi" w:cstheme="majorBidi"/>
      <w:i/>
      <w:sz w:val="24"/>
      <w:szCs w:val="24"/>
      <w:u w:val="single"/>
      <w:lang w:eastAsia="en-GB"/>
    </w:rPr>
  </w:style>
  <w:style w:type="paragraph" w:customStyle="1" w:styleId="SectionHeading">
    <w:name w:val="Section Heading"/>
    <w:basedOn w:val="Heading2"/>
    <w:next w:val="Normal"/>
    <w:qFormat/>
    <w:rsid w:val="003322A9"/>
    <w:pPr>
      <w:spacing w:after="240"/>
    </w:pPr>
  </w:style>
  <w:style w:type="paragraph" w:customStyle="1" w:styleId="Note">
    <w:name w:val="Note"/>
    <w:next w:val="CaseDetails"/>
    <w:qFormat/>
    <w:rsid w:val="00BC38DB"/>
    <w:rPr>
      <w:rFonts w:asciiTheme="minorHAnsi" w:eastAsiaTheme="majorEastAsia" w:hAnsiTheme="minorHAnsi" w:cstheme="majorBidi"/>
      <w:b/>
      <w:sz w:val="24"/>
      <w:lang w:eastAsia="en-GB"/>
    </w:rPr>
  </w:style>
  <w:style w:type="paragraph" w:customStyle="1" w:styleId="PressSummary">
    <w:name w:val="Press Summary"/>
    <w:basedOn w:val="Heading1"/>
    <w:next w:val="Normal"/>
    <w:qFormat/>
    <w:rsid w:val="00E25B1F"/>
    <w:rPr>
      <w:sz w:val="36"/>
    </w:rPr>
  </w:style>
  <w:style w:type="paragraph" w:customStyle="1" w:styleId="StyleJusticesNotBold">
    <w:name w:val="Style Justices + Not Bold"/>
    <w:basedOn w:val="Justices"/>
    <w:rsid w:val="007E0EBA"/>
    <w:rPr>
      <w:b w:val="0"/>
      <w:iCs w:val="0"/>
    </w:rPr>
  </w:style>
  <w:style w:type="paragraph" w:customStyle="1" w:styleId="StyleSubsectionHeadingNounderline">
    <w:name w:val="Style Subsection Heading + No underline"/>
    <w:basedOn w:val="SubsectionHeading"/>
    <w:rsid w:val="00BC38DB"/>
    <w:pPr>
      <w:spacing w:after="360"/>
    </w:pPr>
    <w:rPr>
      <w:iCs/>
      <w:u w:val="none"/>
    </w:rPr>
  </w:style>
  <w:style w:type="character" w:styleId="Hyperlink">
    <w:name w:val="Hyperlink"/>
    <w:basedOn w:val="DefaultParagraphFont"/>
    <w:uiPriority w:val="99"/>
    <w:semiHidden/>
    <w:unhideWhenUsed/>
    <w:rsid w:val="00EE52DB"/>
    <w:rPr>
      <w:color w:val="0000FF"/>
      <w:u w:val="single"/>
    </w:rPr>
  </w:style>
  <w:style w:type="character" w:styleId="CommentReference">
    <w:name w:val="annotation reference"/>
    <w:basedOn w:val="DefaultParagraphFont"/>
    <w:uiPriority w:val="99"/>
    <w:semiHidden/>
    <w:unhideWhenUsed/>
    <w:rsid w:val="005D00D9"/>
    <w:rPr>
      <w:sz w:val="16"/>
      <w:szCs w:val="16"/>
    </w:rPr>
  </w:style>
  <w:style w:type="paragraph" w:styleId="CommentText">
    <w:name w:val="annotation text"/>
    <w:basedOn w:val="Normal"/>
    <w:link w:val="CommentTextChar"/>
    <w:uiPriority w:val="99"/>
    <w:unhideWhenUsed/>
    <w:rsid w:val="005D00D9"/>
    <w:rPr>
      <w:sz w:val="20"/>
    </w:rPr>
  </w:style>
  <w:style w:type="character" w:customStyle="1" w:styleId="CommentTextChar">
    <w:name w:val="Comment Text Char"/>
    <w:basedOn w:val="DefaultParagraphFont"/>
    <w:link w:val="CommentText"/>
    <w:uiPriority w:val="99"/>
    <w:rsid w:val="005D00D9"/>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D00D9"/>
    <w:rPr>
      <w:b/>
      <w:bCs/>
    </w:rPr>
  </w:style>
  <w:style w:type="character" w:customStyle="1" w:styleId="CommentSubjectChar">
    <w:name w:val="Comment Subject Char"/>
    <w:basedOn w:val="CommentTextChar"/>
    <w:link w:val="CommentSubject"/>
    <w:uiPriority w:val="99"/>
    <w:semiHidden/>
    <w:rsid w:val="005D00D9"/>
    <w:rPr>
      <w:rFonts w:asciiTheme="minorHAnsi" w:hAnsiTheme="minorHAnsi"/>
      <w:b/>
      <w:bCs/>
    </w:rPr>
  </w:style>
  <w:style w:type="paragraph" w:styleId="ListParagraph">
    <w:name w:val="List Paragraph"/>
    <w:basedOn w:val="Normal"/>
    <w:uiPriority w:val="34"/>
    <w:qFormat/>
    <w:rsid w:val="00600983"/>
    <w:pPr>
      <w:ind w:left="720"/>
      <w:contextualSpacing/>
    </w:pPr>
  </w:style>
  <w:style w:type="character" w:styleId="FollowedHyperlink">
    <w:name w:val="FollowedHyperlink"/>
    <w:basedOn w:val="DefaultParagraphFont"/>
    <w:uiPriority w:val="99"/>
    <w:semiHidden/>
    <w:unhideWhenUsed/>
    <w:rsid w:val="00950A69"/>
    <w:rPr>
      <w:color w:val="954F72" w:themeColor="followedHyperlink"/>
      <w:u w:val="single"/>
    </w:rPr>
  </w:style>
  <w:style w:type="paragraph" w:styleId="Revision">
    <w:name w:val="Revision"/>
    <w:hidden/>
    <w:uiPriority w:val="99"/>
    <w:semiHidden/>
    <w:rsid w:val="00A27D25"/>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3990">
      <w:bodyDiv w:val="1"/>
      <w:marLeft w:val="0"/>
      <w:marRight w:val="0"/>
      <w:marTop w:val="0"/>
      <w:marBottom w:val="0"/>
      <w:divBdr>
        <w:top w:val="none" w:sz="0" w:space="0" w:color="auto"/>
        <w:left w:val="none" w:sz="0" w:space="0" w:color="auto"/>
        <w:bottom w:val="none" w:sz="0" w:space="0" w:color="auto"/>
        <w:right w:val="none" w:sz="0" w:space="0" w:color="auto"/>
      </w:divBdr>
    </w:div>
    <w:div w:id="468671348">
      <w:bodyDiv w:val="1"/>
      <w:marLeft w:val="0"/>
      <w:marRight w:val="0"/>
      <w:marTop w:val="0"/>
      <w:marBottom w:val="0"/>
      <w:divBdr>
        <w:top w:val="none" w:sz="0" w:space="0" w:color="auto"/>
        <w:left w:val="none" w:sz="0" w:space="0" w:color="auto"/>
        <w:bottom w:val="none" w:sz="0" w:space="0" w:color="auto"/>
        <w:right w:val="none" w:sz="0" w:space="0" w:color="auto"/>
      </w:divBdr>
    </w:div>
    <w:div w:id="745347893">
      <w:bodyDiv w:val="1"/>
      <w:marLeft w:val="0"/>
      <w:marRight w:val="0"/>
      <w:marTop w:val="0"/>
      <w:marBottom w:val="0"/>
      <w:divBdr>
        <w:top w:val="none" w:sz="0" w:space="0" w:color="auto"/>
        <w:left w:val="none" w:sz="0" w:space="0" w:color="auto"/>
        <w:bottom w:val="none" w:sz="0" w:space="0" w:color="auto"/>
        <w:right w:val="none" w:sz="0" w:space="0" w:color="auto"/>
      </w:divBdr>
    </w:div>
    <w:div w:id="894969698">
      <w:bodyDiv w:val="1"/>
      <w:marLeft w:val="0"/>
      <w:marRight w:val="0"/>
      <w:marTop w:val="0"/>
      <w:marBottom w:val="0"/>
      <w:divBdr>
        <w:top w:val="none" w:sz="0" w:space="0" w:color="auto"/>
        <w:left w:val="none" w:sz="0" w:space="0" w:color="auto"/>
        <w:bottom w:val="none" w:sz="0" w:space="0" w:color="auto"/>
        <w:right w:val="none" w:sz="0" w:space="0" w:color="auto"/>
      </w:divBdr>
    </w:div>
    <w:div w:id="1549487508">
      <w:bodyDiv w:val="1"/>
      <w:marLeft w:val="0"/>
      <w:marRight w:val="0"/>
      <w:marTop w:val="0"/>
      <w:marBottom w:val="0"/>
      <w:divBdr>
        <w:top w:val="none" w:sz="0" w:space="0" w:color="auto"/>
        <w:left w:val="none" w:sz="0" w:space="0" w:color="auto"/>
        <w:bottom w:val="none" w:sz="0" w:space="0" w:color="auto"/>
        <w:right w:val="none" w:sz="0" w:space="0" w:color="auto"/>
      </w:divBdr>
    </w:div>
    <w:div w:id="177714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supremecourt.uk/decided-cases/index.html"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brennan\AppData\Local\Microsoft\Windows\INetCache\Content.Outlook\S7BP4AGX\UKSC%20CPS%20v%20Aquila%20Press%20Summary%20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9" ma:contentTypeDescription="Create a new document." ma:contentTypeScope="" ma:versionID="b432fa8276f917758baa35efac8b3da4">
  <xsd:schema xmlns:xsd="http://www.w3.org/2001/XMLSchema" xmlns:xs="http://www.w3.org/2001/XMLSchema" xmlns:p="http://schemas.microsoft.com/office/2006/metadata/properties" xmlns:ns2="d1912800-d0d5-4897-aa13-fa15486e9ce2" xmlns:ns3="f87e7dc2-70e0-493d-9bcf-91b6939b3a72" targetNamespace="http://schemas.microsoft.com/office/2006/metadata/properties" ma:root="true" ma:fieldsID="b0ed421cef1879d595dcf9f70a39e7f7" ns2:_="" ns3:_="">
    <xsd:import namespace="d1912800-d0d5-4897-aa13-fa15486e9ce2"/>
    <xsd:import namespace="f87e7dc2-70e0-493d-9bcf-91b6939b3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7e7dc2-70e0-493d-9bcf-91b6939b3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f87e7dc2-70e0-493d-9bcf-91b6939b3a72">
      <UserInfo>
        <DisplayName/>
        <AccountId xsi:nil="true"/>
        <AccountType/>
      </UserInfo>
    </SharedWithUsers>
  </documentManagement>
</p:properties>
</file>

<file path=customXml/itemProps1.xml><?xml version="1.0" encoding="utf-8"?>
<ds:datastoreItem xmlns:ds="http://schemas.openxmlformats.org/officeDocument/2006/customXml" ds:itemID="{959CC2D1-125C-486B-8CA2-103421FD3475}">
  <ds:schemaRefs>
    <ds:schemaRef ds:uri="http://schemas.openxmlformats.org/officeDocument/2006/bibliography"/>
  </ds:schemaRefs>
</ds:datastoreItem>
</file>

<file path=customXml/itemProps2.xml><?xml version="1.0" encoding="utf-8"?>
<ds:datastoreItem xmlns:ds="http://schemas.openxmlformats.org/officeDocument/2006/customXml" ds:itemID="{229041A3-FA02-4471-A222-BCC8D2F86C9F}">
  <ds:schemaRefs>
    <ds:schemaRef ds:uri="http://schemas.microsoft.com/sharepoint/v3/contenttype/forms"/>
  </ds:schemaRefs>
</ds:datastoreItem>
</file>

<file path=customXml/itemProps3.xml><?xml version="1.0" encoding="utf-8"?>
<ds:datastoreItem xmlns:ds="http://schemas.openxmlformats.org/officeDocument/2006/customXml" ds:itemID="{FC6300E7-F8D8-4A21-86F0-D088FE35C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f87e7dc2-70e0-493d-9bcf-91b6939b3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954896-73F9-4521-9A1E-90DF13A9E1F4}">
  <ds:schemaRefs>
    <ds:schemaRef ds:uri="http://schemas.microsoft.com/office/2006/metadata/properties"/>
    <ds:schemaRef ds:uri="http://schemas.microsoft.com/office/infopath/2007/PartnerControls"/>
    <ds:schemaRef ds:uri="f87e7dc2-70e0-493d-9bcf-91b6939b3a72"/>
  </ds:schemaRefs>
</ds:datastoreItem>
</file>

<file path=docProps/app.xml><?xml version="1.0" encoding="utf-8"?>
<Properties xmlns="http://schemas.openxmlformats.org/officeDocument/2006/extended-properties" xmlns:vt="http://schemas.openxmlformats.org/officeDocument/2006/docPropsVTypes">
  <Template>UKSC CPS v Aquila Press Summary v4</Template>
  <TotalTime>8</TotalTime>
  <Pages>5</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 (on the application of AAA (Syria) and others) (Respondents/ Cross Appellants) v Secretary of State for the Home Department (Appellant/ Cross Respondent)</vt:lpstr>
    </vt:vector>
  </TitlesOfParts>
  <Company>United Kingdom Supreme Court (UKSC)</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(on the application of AAA (Syria) and others) (Respondents/ Cross Appellants) v Secretary of State for the Home Department (Appellant/ Cross Respondent)</dc:title>
  <dc:subject>Judgment handed down on Wednesday 15 November 2023</dc:subject>
  <dc:creator>United Kingdom Supreme Court (UKSC)</dc:creator>
  <cp:keywords>[2023] UKSC 42; UKSC 2021/0093; UKSC 2023/0094; UKSC 2023/0095; UKSC 2023/0096; UKSC 2023/0097; UKSC 2023/0105</cp:keywords>
  <dc:description/>
  <cp:lastModifiedBy>Emma Ainsley</cp:lastModifiedBy>
  <cp:revision>6</cp:revision>
  <cp:lastPrinted>2022-01-27T17:33:00Z</cp:lastPrinted>
  <dcterms:created xsi:type="dcterms:W3CDTF">2023-11-14T16:26:00Z</dcterms:created>
  <dcterms:modified xsi:type="dcterms:W3CDTF">2023-11-15T08:29:00Z</dcterms:modified>
  <cp:category>Decided cases;Press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R (on the application of AAA (Syria) and others) (Respondents/ Cross Appellants) v Secretary of State for the Home Department (Appellant/ Cross Respondent)</vt:lpwstr>
  </property>
  <property fmtid="{D5CDD505-2E9C-101B-9397-08002B2CF9AE}" pid="4" name="HandDownDate">
    <vt:lpwstr>15 November 2023</vt:lpwstr>
  </property>
  <property fmtid="{D5CDD505-2E9C-101B-9397-08002B2CF9AE}" pid="5" name="CaseID">
    <vt:lpwstr>UKSC 2021/0093; UKSC 2023/0094; UKSC 2023/0095; UKSC 2023/0096; UKSC 2023/0097; UKSC 2023/0105</vt:lpwstr>
  </property>
  <property fmtid="{D5CDD505-2E9C-101B-9397-08002B2CF9AE}" pid="6" name="NeutralCitationNumber">
    <vt:lpwstr>[2023] UKSC 42</vt:lpwstr>
  </property>
  <property fmtid="{D5CDD505-2E9C-101B-9397-08002B2CF9AE}" pid="7" name="MediaServiceImageTags">
    <vt:lpwstr/>
  </property>
  <property fmtid="{D5CDD505-2E9C-101B-9397-08002B2CF9AE}" pid="8" name="Order">
    <vt:r8>1100</vt:r8>
  </property>
  <property fmtid="{D5CDD505-2E9C-101B-9397-08002B2CF9AE}" pid="9" name="xd_Signature">
    <vt:bool>false</vt:bool>
  </property>
  <property fmtid="{D5CDD505-2E9C-101B-9397-08002B2CF9AE}" pid="10" name="xd_ProgID">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ies>
</file>