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97A2A" w14:textId="5601F4F7" w:rsidR="007F53E9" w:rsidRDefault="0001619C" w:rsidP="00976CD7">
      <w:pPr>
        <w:pStyle w:val="BodyText"/>
        <w:jc w:val="center"/>
        <w:rPr>
          <w:rFonts w:ascii="Times New Roman"/>
          <w:sz w:val="20"/>
        </w:rPr>
      </w:pPr>
      <w:r>
        <w:rPr>
          <w:rFonts w:ascii="Times New Roman"/>
          <w:noProof/>
          <w:sz w:val="20"/>
        </w:rPr>
        <w:drawing>
          <wp:inline distT="0" distB="0" distL="0" distR="0" wp14:anchorId="2826BC3E" wp14:editId="7D962BB2">
            <wp:extent cx="1066800" cy="1426845"/>
            <wp:effectExtent l="0" t="0" r="0" b="1905"/>
            <wp:docPr id="2" name="Picture 2" descr="UKSC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KSC logo&#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1426845"/>
                    </a:xfrm>
                    <a:prstGeom prst="rect">
                      <a:avLst/>
                    </a:prstGeom>
                    <a:noFill/>
                  </pic:spPr>
                </pic:pic>
              </a:graphicData>
            </a:graphic>
          </wp:inline>
        </w:drawing>
      </w:r>
    </w:p>
    <w:p w14:paraId="26697A2C" w14:textId="4BEC4EC7" w:rsidR="007F53E9" w:rsidRPr="0044700C" w:rsidRDefault="00406711" w:rsidP="00D23518">
      <w:pPr>
        <w:spacing w:after="240"/>
        <w:jc w:val="right"/>
        <w:rPr>
          <w:b/>
          <w:sz w:val="28"/>
          <w:szCs w:val="24"/>
        </w:rPr>
      </w:pPr>
      <w:r>
        <w:rPr>
          <w:b/>
          <w:sz w:val="28"/>
          <w:szCs w:val="24"/>
        </w:rPr>
        <w:t>2</w:t>
      </w:r>
      <w:r w:rsidR="003743EB">
        <w:rPr>
          <w:b/>
          <w:sz w:val="28"/>
          <w:szCs w:val="24"/>
        </w:rPr>
        <w:t>1</w:t>
      </w:r>
      <w:r>
        <w:rPr>
          <w:b/>
          <w:sz w:val="28"/>
          <w:szCs w:val="24"/>
        </w:rPr>
        <w:t xml:space="preserve"> November</w:t>
      </w:r>
      <w:r w:rsidR="00E71874">
        <w:rPr>
          <w:b/>
          <w:sz w:val="28"/>
          <w:szCs w:val="24"/>
        </w:rPr>
        <w:t xml:space="preserve"> </w:t>
      </w:r>
      <w:r w:rsidR="009E426D" w:rsidRPr="0044700C">
        <w:rPr>
          <w:b/>
          <w:spacing w:val="-4"/>
          <w:sz w:val="28"/>
          <w:szCs w:val="24"/>
        </w:rPr>
        <w:t>20</w:t>
      </w:r>
      <w:r w:rsidR="00882E03">
        <w:rPr>
          <w:b/>
          <w:spacing w:val="-4"/>
          <w:sz w:val="28"/>
          <w:szCs w:val="24"/>
        </w:rPr>
        <w:t>1</w:t>
      </w:r>
      <w:r w:rsidR="00C26D88">
        <w:rPr>
          <w:b/>
          <w:spacing w:val="-4"/>
          <w:sz w:val="28"/>
          <w:szCs w:val="24"/>
        </w:rPr>
        <w:t>2</w:t>
      </w:r>
    </w:p>
    <w:p w14:paraId="26697A2D" w14:textId="77777777" w:rsidR="007F53E9" w:rsidRPr="0049003F" w:rsidRDefault="009E426D" w:rsidP="002A148D">
      <w:pPr>
        <w:spacing w:after="240"/>
        <w:jc w:val="center"/>
        <w:rPr>
          <w:b/>
          <w:bCs/>
          <w:sz w:val="28"/>
          <w:szCs w:val="28"/>
        </w:rPr>
      </w:pPr>
      <w:r w:rsidRPr="0049003F">
        <w:rPr>
          <w:b/>
          <w:bCs/>
          <w:sz w:val="28"/>
          <w:szCs w:val="28"/>
        </w:rPr>
        <w:t xml:space="preserve">PRESS </w:t>
      </w:r>
      <w:r w:rsidRPr="0049003F">
        <w:rPr>
          <w:b/>
          <w:bCs/>
          <w:spacing w:val="-2"/>
          <w:sz w:val="28"/>
          <w:szCs w:val="28"/>
        </w:rPr>
        <w:t>SUMMARY</w:t>
      </w:r>
    </w:p>
    <w:p w14:paraId="66D76D9B" w14:textId="5B79E369" w:rsidR="00FE5F94" w:rsidRPr="00702529" w:rsidRDefault="00702529" w:rsidP="00702529">
      <w:pPr>
        <w:spacing w:after="240"/>
        <w:jc w:val="both"/>
        <w:rPr>
          <w:b/>
          <w:bCs/>
          <w:sz w:val="28"/>
          <w:szCs w:val="28"/>
        </w:rPr>
      </w:pPr>
      <w:r w:rsidRPr="00702529">
        <w:rPr>
          <w:rFonts w:eastAsiaTheme="minorHAnsi"/>
          <w:b/>
          <w:bCs/>
          <w:color w:val="000000"/>
          <w:sz w:val="28"/>
          <w:szCs w:val="28"/>
          <w:lang w:val="en-GB"/>
        </w:rPr>
        <w:t>LOCAL GOVERNMENT BYELAWS (WALES) BILL 2012 - Reference by the Attorney General for England and Wales</w:t>
      </w:r>
    </w:p>
    <w:p w14:paraId="578359C7" w14:textId="605E814F" w:rsidR="00D27EC5" w:rsidRPr="001A5A31" w:rsidRDefault="009E426D" w:rsidP="00FE5F94">
      <w:pPr>
        <w:spacing w:after="240"/>
        <w:jc w:val="both"/>
        <w:rPr>
          <w:b/>
          <w:bCs/>
          <w:spacing w:val="-5"/>
          <w:sz w:val="28"/>
          <w:szCs w:val="28"/>
        </w:rPr>
      </w:pPr>
      <w:r w:rsidRPr="001A5A31">
        <w:rPr>
          <w:b/>
          <w:bCs/>
          <w:sz w:val="28"/>
          <w:szCs w:val="28"/>
        </w:rPr>
        <w:t>[20</w:t>
      </w:r>
      <w:r w:rsidR="00A71028" w:rsidRPr="001A5A31">
        <w:rPr>
          <w:b/>
          <w:bCs/>
          <w:sz w:val="28"/>
          <w:szCs w:val="28"/>
        </w:rPr>
        <w:t>1</w:t>
      </w:r>
      <w:r w:rsidR="00D7107A">
        <w:rPr>
          <w:b/>
          <w:bCs/>
          <w:sz w:val="28"/>
          <w:szCs w:val="28"/>
        </w:rPr>
        <w:t>2</w:t>
      </w:r>
      <w:r w:rsidRPr="001A5A31">
        <w:rPr>
          <w:b/>
          <w:bCs/>
          <w:sz w:val="28"/>
          <w:szCs w:val="28"/>
        </w:rPr>
        <w:t>]</w:t>
      </w:r>
      <w:r w:rsidRPr="001A5A31">
        <w:rPr>
          <w:b/>
          <w:bCs/>
          <w:spacing w:val="-4"/>
          <w:sz w:val="28"/>
          <w:szCs w:val="28"/>
        </w:rPr>
        <w:t xml:space="preserve"> </w:t>
      </w:r>
      <w:r w:rsidRPr="001A5A31">
        <w:rPr>
          <w:b/>
          <w:bCs/>
          <w:sz w:val="28"/>
          <w:szCs w:val="28"/>
        </w:rPr>
        <w:t>UK</w:t>
      </w:r>
      <w:r w:rsidR="00A71028" w:rsidRPr="001A5A31">
        <w:rPr>
          <w:b/>
          <w:bCs/>
          <w:sz w:val="28"/>
          <w:szCs w:val="28"/>
        </w:rPr>
        <w:t>SC</w:t>
      </w:r>
      <w:r w:rsidRPr="001A5A31">
        <w:rPr>
          <w:b/>
          <w:bCs/>
          <w:spacing w:val="-2"/>
          <w:sz w:val="28"/>
          <w:szCs w:val="28"/>
        </w:rPr>
        <w:t xml:space="preserve"> </w:t>
      </w:r>
      <w:r w:rsidR="00BF101D">
        <w:rPr>
          <w:b/>
          <w:bCs/>
          <w:spacing w:val="-5"/>
          <w:sz w:val="28"/>
          <w:szCs w:val="28"/>
        </w:rPr>
        <w:t>5</w:t>
      </w:r>
      <w:r w:rsidR="00702529">
        <w:rPr>
          <w:b/>
          <w:bCs/>
          <w:spacing w:val="-5"/>
          <w:sz w:val="28"/>
          <w:szCs w:val="28"/>
        </w:rPr>
        <w:t>3</w:t>
      </w:r>
    </w:p>
    <w:p w14:paraId="26697A31" w14:textId="4E8D712E" w:rsidR="007F53E9" w:rsidRPr="004D60D6" w:rsidRDefault="0001619C" w:rsidP="004D60D6">
      <w:pPr>
        <w:pStyle w:val="Default"/>
        <w:jc w:val="both"/>
        <w:rPr>
          <w:sz w:val="26"/>
          <w:szCs w:val="26"/>
        </w:rPr>
      </w:pPr>
      <w:r w:rsidRPr="00CC1E87">
        <w:rPr>
          <w:b/>
          <w:sz w:val="26"/>
          <w:szCs w:val="26"/>
        </w:rPr>
        <w:t>JUSTICES</w:t>
      </w:r>
      <w:r w:rsidR="00C65947" w:rsidRPr="00CC1E87">
        <w:rPr>
          <w:b/>
          <w:sz w:val="26"/>
          <w:szCs w:val="26"/>
        </w:rPr>
        <w:t>:</w:t>
      </w:r>
      <w:r w:rsidR="004D60D6">
        <w:rPr>
          <w:sz w:val="26"/>
          <w:szCs w:val="26"/>
        </w:rPr>
        <w:t xml:space="preserve"> </w:t>
      </w:r>
      <w:r w:rsidR="004D60D6" w:rsidRPr="004D60D6">
        <w:rPr>
          <w:sz w:val="26"/>
          <w:szCs w:val="26"/>
        </w:rPr>
        <w:t>Lord Neuberger (President), Lord Hope (Deputy President), Lord Clarke, Lord Reed, Lord Carnwath</w:t>
      </w:r>
    </w:p>
    <w:p w14:paraId="26697A32" w14:textId="380BD695" w:rsidR="007F53E9" w:rsidRPr="0076007B" w:rsidRDefault="009E426D" w:rsidP="00E85B9C">
      <w:pPr>
        <w:pStyle w:val="Heading1"/>
      </w:pPr>
      <w:r w:rsidRPr="0076007B">
        <w:t xml:space="preserve">BACKGROUND TO THE </w:t>
      </w:r>
      <w:r w:rsidR="003D2DAA">
        <w:t>REFERENCE</w:t>
      </w:r>
    </w:p>
    <w:p w14:paraId="0E3FBC27" w14:textId="46CBB4CB" w:rsidR="00254AE7" w:rsidRPr="00A35B6F" w:rsidRDefault="00A35B6F" w:rsidP="00A35B6F">
      <w:pPr>
        <w:widowControl/>
        <w:adjustRightInd w:val="0"/>
        <w:spacing w:after="240"/>
        <w:jc w:val="both"/>
        <w:rPr>
          <w:sz w:val="26"/>
          <w:szCs w:val="26"/>
        </w:rPr>
      </w:pPr>
      <w:r w:rsidRPr="00A35B6F">
        <w:rPr>
          <w:sz w:val="26"/>
          <w:szCs w:val="26"/>
        </w:rPr>
        <w:t xml:space="preserve">Following a referendum, various provisions of the Government of Wales Act 2006 (“the 2006 Act”) came into force on 5 May 2011. These provisions gave the National Assembly for Wales (“the Assembly”) primary legislative competence in certain areas </w:t>
      </w:r>
      <w:r w:rsidRPr="00A35B6F">
        <w:rPr>
          <w:b/>
          <w:bCs/>
          <w:sz w:val="26"/>
          <w:szCs w:val="26"/>
        </w:rPr>
        <w:t>[5]</w:t>
      </w:r>
      <w:r w:rsidRPr="00A35B6F">
        <w:rPr>
          <w:sz w:val="26"/>
          <w:szCs w:val="26"/>
        </w:rPr>
        <w:t xml:space="preserve">. If there is an issue as to whether a Bill, or a provision in a Bill, passed by the Assembly exceeds legislative competence, the issue can be referred to the Supreme Court </w:t>
      </w:r>
      <w:r w:rsidRPr="00A35B6F">
        <w:rPr>
          <w:b/>
          <w:bCs/>
          <w:sz w:val="26"/>
          <w:szCs w:val="26"/>
        </w:rPr>
        <w:t>[6]</w:t>
      </w:r>
      <w:r w:rsidRPr="00A35B6F">
        <w:rPr>
          <w:sz w:val="26"/>
          <w:szCs w:val="26"/>
        </w:rPr>
        <w:t>.</w:t>
      </w:r>
    </w:p>
    <w:p w14:paraId="33468785" w14:textId="25C9EAB5" w:rsidR="00254AE7" w:rsidRPr="00A35B6F" w:rsidRDefault="00A35B6F" w:rsidP="00A35B6F">
      <w:pPr>
        <w:widowControl/>
        <w:adjustRightInd w:val="0"/>
        <w:spacing w:after="240"/>
        <w:jc w:val="both"/>
        <w:rPr>
          <w:sz w:val="26"/>
          <w:szCs w:val="26"/>
        </w:rPr>
      </w:pPr>
      <w:r w:rsidRPr="00A35B6F">
        <w:rPr>
          <w:sz w:val="26"/>
          <w:szCs w:val="26"/>
        </w:rPr>
        <w:t xml:space="preserve">The Local Government Byelaws (Wales) Bill 2012 (“the Bill”) was the first Bill to be enacted by the Assembly under these new powers. The aim of the Bill is to simplify procedures for making and enforcing local authority byelaws in Wales </w:t>
      </w:r>
      <w:r w:rsidRPr="00A35B6F">
        <w:rPr>
          <w:b/>
          <w:bCs/>
          <w:sz w:val="26"/>
          <w:szCs w:val="26"/>
        </w:rPr>
        <w:t>[7]</w:t>
      </w:r>
      <w:r w:rsidRPr="00A35B6F">
        <w:rPr>
          <w:sz w:val="26"/>
          <w:szCs w:val="26"/>
        </w:rPr>
        <w:t xml:space="preserve">. Certain provisions of the Bill are intended to remove the need for the confirmation of byelaws by the Welsh Ministers and by the Secretary of State </w:t>
      </w:r>
      <w:r w:rsidRPr="00A35B6F">
        <w:rPr>
          <w:b/>
          <w:bCs/>
          <w:sz w:val="26"/>
          <w:szCs w:val="26"/>
        </w:rPr>
        <w:t>[8]</w:t>
      </w:r>
      <w:r w:rsidRPr="00A35B6F">
        <w:rPr>
          <w:sz w:val="26"/>
          <w:szCs w:val="26"/>
        </w:rPr>
        <w:t xml:space="preserve">. This need arises by virtue of the Local Government Act 1972 (“the 1972 Act”) and the National Assembly for Wales (Transfer of Functions) Order 1999 (“the 1999 Order”). The effect of section 236(11) of the 1972 Act is that, where a statutory provision giving a local authority the power or duty to make the byelaw either so provides or is silent as to the existence or identity of a confirmatory body or person, before any byelaw made under that provision by a local authority can be </w:t>
      </w:r>
      <w:proofErr w:type="gramStart"/>
      <w:r w:rsidRPr="00A35B6F">
        <w:rPr>
          <w:sz w:val="26"/>
          <w:szCs w:val="26"/>
        </w:rPr>
        <w:t>effective,</w:t>
      </w:r>
      <w:proofErr w:type="gramEnd"/>
      <w:r w:rsidRPr="00A35B6F">
        <w:rPr>
          <w:sz w:val="26"/>
          <w:szCs w:val="26"/>
        </w:rPr>
        <w:t xml:space="preserve"> the Secretary of State has to confirm the byelaw </w:t>
      </w:r>
      <w:r w:rsidRPr="00A35B6F">
        <w:rPr>
          <w:b/>
          <w:bCs/>
          <w:sz w:val="26"/>
          <w:szCs w:val="26"/>
        </w:rPr>
        <w:t>[16]</w:t>
      </w:r>
      <w:r w:rsidRPr="00A35B6F">
        <w:rPr>
          <w:sz w:val="26"/>
          <w:szCs w:val="26"/>
        </w:rPr>
        <w:t xml:space="preserve">. Schedule 1 to the 1999 Order provides that the functions of the Secretary of State under section 236(11) of the 1972 Act “shall be exercisable by the Assembly concurrently with the Secretary of State” </w:t>
      </w:r>
      <w:r w:rsidRPr="00A35B6F">
        <w:rPr>
          <w:b/>
          <w:bCs/>
          <w:sz w:val="26"/>
          <w:szCs w:val="26"/>
        </w:rPr>
        <w:t>[20]</w:t>
      </w:r>
      <w:r w:rsidRPr="00A35B6F">
        <w:rPr>
          <w:sz w:val="26"/>
          <w:szCs w:val="26"/>
        </w:rPr>
        <w:t>.</w:t>
      </w:r>
    </w:p>
    <w:p w14:paraId="7DD48493" w14:textId="7F4D5777" w:rsidR="00A35B6F" w:rsidRPr="00A35B6F" w:rsidRDefault="00A35B6F" w:rsidP="00A35B6F">
      <w:pPr>
        <w:widowControl/>
        <w:adjustRightInd w:val="0"/>
        <w:spacing w:after="240"/>
        <w:jc w:val="both"/>
        <w:rPr>
          <w:sz w:val="26"/>
          <w:szCs w:val="26"/>
        </w:rPr>
      </w:pPr>
      <w:r w:rsidRPr="00A35B6F">
        <w:rPr>
          <w:sz w:val="26"/>
          <w:szCs w:val="26"/>
        </w:rPr>
        <w:t xml:space="preserve">The Attorney General referred to the Supreme Court the question whether sections 6 and 9 of the Bill were within the Assembly’s legislative competence </w:t>
      </w:r>
      <w:r w:rsidRPr="00A35B6F">
        <w:rPr>
          <w:b/>
          <w:bCs/>
          <w:sz w:val="26"/>
          <w:szCs w:val="26"/>
        </w:rPr>
        <w:t>[1]</w:t>
      </w:r>
      <w:r w:rsidRPr="00A35B6F">
        <w:rPr>
          <w:sz w:val="26"/>
          <w:szCs w:val="26"/>
        </w:rPr>
        <w:t xml:space="preserve">. Section 6 of the Bill (through Part 1 of Schedule 1 to the Bill) removes the need for the confirmation of byelaws under certain specific enactments (“the scheduled enactments”) which currently require confirmation under section 236(11) of the 1972 Act. Section 9 would empower the Welsh Ministers to add to the scheduled enactments </w:t>
      </w:r>
      <w:r w:rsidRPr="00A35B6F">
        <w:rPr>
          <w:b/>
          <w:bCs/>
          <w:sz w:val="26"/>
          <w:szCs w:val="26"/>
        </w:rPr>
        <w:t>[8]</w:t>
      </w:r>
      <w:r w:rsidRPr="00A35B6F">
        <w:rPr>
          <w:sz w:val="26"/>
          <w:szCs w:val="26"/>
        </w:rPr>
        <w:t xml:space="preserve">. The specific issue in relation to sections 6 and 9 was whether either section removed the Secretary of State’s role in </w:t>
      </w:r>
      <w:r w:rsidRPr="00A35B6F">
        <w:rPr>
          <w:sz w:val="26"/>
          <w:szCs w:val="26"/>
        </w:rPr>
        <w:lastRenderedPageBreak/>
        <w:t>confirming (or refusing to confirm) byelaws made under statutory provisions which are (</w:t>
      </w:r>
      <w:proofErr w:type="spellStart"/>
      <w:r w:rsidRPr="00A35B6F">
        <w:rPr>
          <w:sz w:val="26"/>
          <w:szCs w:val="26"/>
        </w:rPr>
        <w:t>i</w:t>
      </w:r>
      <w:proofErr w:type="spellEnd"/>
      <w:r w:rsidRPr="00A35B6F">
        <w:rPr>
          <w:sz w:val="26"/>
          <w:szCs w:val="26"/>
        </w:rPr>
        <w:t xml:space="preserve">) scheduled enactments, and (ii) provisions to which section 236(11) applies. If either section removed this role, they would be beyond the legislative competence of the Assembly, unless they were “incidental to, or consequential on” another provision contained in the Bill </w:t>
      </w:r>
      <w:r w:rsidRPr="00A35B6F">
        <w:rPr>
          <w:b/>
          <w:bCs/>
          <w:sz w:val="26"/>
          <w:szCs w:val="26"/>
        </w:rPr>
        <w:t>[46]</w:t>
      </w:r>
      <w:r w:rsidRPr="00A35B6F">
        <w:rPr>
          <w:sz w:val="26"/>
          <w:szCs w:val="26"/>
        </w:rPr>
        <w:t>.</w:t>
      </w:r>
    </w:p>
    <w:p w14:paraId="58D7448A" w14:textId="7A30B34A" w:rsidR="00C75F33" w:rsidRDefault="00C75F33" w:rsidP="00C75F33">
      <w:pPr>
        <w:pStyle w:val="Heading1"/>
      </w:pPr>
      <w:r>
        <w:t>JUDGMENT</w:t>
      </w:r>
    </w:p>
    <w:p w14:paraId="2C417B09" w14:textId="6C148EEF" w:rsidR="00C51825" w:rsidRPr="008E4620" w:rsidRDefault="008E4620" w:rsidP="008E4620">
      <w:pPr>
        <w:widowControl/>
        <w:adjustRightInd w:val="0"/>
        <w:spacing w:after="240"/>
        <w:jc w:val="both"/>
        <w:rPr>
          <w:sz w:val="26"/>
          <w:szCs w:val="26"/>
        </w:rPr>
      </w:pPr>
      <w:r w:rsidRPr="008E4620">
        <w:rPr>
          <w:sz w:val="26"/>
          <w:szCs w:val="26"/>
        </w:rPr>
        <w:t>The Supreme Court unanimously declares that the Assembly had the legislative competence to enact sections 6 and 9 of the Bill. Lord Neuberger gives the leading judgment. Lord Hope gives guidance on some matters of practice regarding the making of such references.</w:t>
      </w:r>
    </w:p>
    <w:p w14:paraId="00C014AB" w14:textId="2945E176" w:rsidR="00BF1C57" w:rsidRDefault="00BF1C57" w:rsidP="00BF1C57">
      <w:pPr>
        <w:pStyle w:val="Heading1"/>
      </w:pPr>
      <w:r>
        <w:t>REASONS FOR THE JUDGMENT</w:t>
      </w:r>
    </w:p>
    <w:p w14:paraId="66F0B7CF" w14:textId="0E7BC960" w:rsidR="00FA487E" w:rsidRPr="00D77B8B" w:rsidRDefault="007C1A0B" w:rsidP="000648A0">
      <w:pPr>
        <w:pStyle w:val="Default"/>
        <w:spacing w:after="240"/>
        <w:jc w:val="both"/>
        <w:rPr>
          <w:sz w:val="26"/>
          <w:szCs w:val="26"/>
        </w:rPr>
      </w:pPr>
      <w:r w:rsidRPr="00D77B8B">
        <w:rPr>
          <w:sz w:val="26"/>
          <w:szCs w:val="26"/>
        </w:rPr>
        <w:t xml:space="preserve">Section 6 is within the legislative competence of the Assembly </w:t>
      </w:r>
      <w:r w:rsidRPr="00D77B8B">
        <w:rPr>
          <w:b/>
          <w:bCs/>
          <w:sz w:val="26"/>
          <w:szCs w:val="26"/>
        </w:rPr>
        <w:t>[66],[83]</w:t>
      </w:r>
      <w:r w:rsidRPr="00D77B8B">
        <w:rPr>
          <w:sz w:val="26"/>
          <w:szCs w:val="26"/>
        </w:rPr>
        <w:t xml:space="preserve">. The removal of the Secretary of State’s confirmatory powers in relation to the scheduled enactments would be incidental to, and consequential on, the primary purpose of removing the need for confirmation by the Welsh Ministers of any byelaw made under the scheduled enactments </w:t>
      </w:r>
      <w:r w:rsidRPr="00D77B8B">
        <w:rPr>
          <w:b/>
          <w:bCs/>
          <w:sz w:val="26"/>
          <w:szCs w:val="26"/>
        </w:rPr>
        <w:t>[52],[53]</w:t>
      </w:r>
      <w:r w:rsidRPr="00D77B8B">
        <w:rPr>
          <w:sz w:val="26"/>
          <w:szCs w:val="26"/>
        </w:rPr>
        <w:t xml:space="preserve">. The primary purpose of the Bill cannot be achieved without that removal </w:t>
      </w:r>
      <w:r w:rsidRPr="00D77B8B">
        <w:rPr>
          <w:b/>
          <w:bCs/>
          <w:sz w:val="26"/>
          <w:szCs w:val="26"/>
        </w:rPr>
        <w:t>[54]</w:t>
      </w:r>
      <w:r w:rsidRPr="00D77B8B">
        <w:rPr>
          <w:sz w:val="26"/>
          <w:szCs w:val="26"/>
        </w:rPr>
        <w:t xml:space="preserve">. The Secretary of State’s confirmatory power is concurrent with that of the Welsh Ministers </w:t>
      </w:r>
      <w:r w:rsidRPr="00D77B8B">
        <w:rPr>
          <w:b/>
          <w:bCs/>
          <w:sz w:val="26"/>
          <w:szCs w:val="26"/>
        </w:rPr>
        <w:t>[55]</w:t>
      </w:r>
      <w:r w:rsidRPr="00D77B8B">
        <w:rPr>
          <w:sz w:val="26"/>
          <w:szCs w:val="26"/>
        </w:rPr>
        <w:t xml:space="preserve">. It is open to either the Secretary of State or the Assembly to exercise any functions which are exercisable concurrently </w:t>
      </w:r>
      <w:r w:rsidRPr="00D77B8B">
        <w:rPr>
          <w:b/>
          <w:bCs/>
          <w:sz w:val="26"/>
          <w:szCs w:val="26"/>
        </w:rPr>
        <w:t>[37]</w:t>
      </w:r>
      <w:r w:rsidRPr="00D77B8B">
        <w:rPr>
          <w:sz w:val="26"/>
          <w:szCs w:val="26"/>
        </w:rPr>
        <w:t xml:space="preserve">. Where a function is vested in two Ministers concurrently, either may perform it, acting alone, on any occasion </w:t>
      </w:r>
      <w:r w:rsidRPr="00D77B8B">
        <w:rPr>
          <w:b/>
          <w:bCs/>
          <w:sz w:val="26"/>
          <w:szCs w:val="26"/>
        </w:rPr>
        <w:t>[40]</w:t>
      </w:r>
      <w:r w:rsidRPr="00D77B8B">
        <w:rPr>
          <w:sz w:val="26"/>
          <w:szCs w:val="26"/>
        </w:rPr>
        <w:t xml:space="preserve">. It is far more sensible and consistent with the purpose of the Welsh Government legislation to conclude that the Assembly and the Secretary of State were each intended to have the power to exercise the concurrent functions, and that it was to be left to their good sense to decide which should exercise a particular function in a particular case </w:t>
      </w:r>
      <w:r w:rsidRPr="00D77B8B">
        <w:rPr>
          <w:b/>
          <w:bCs/>
          <w:sz w:val="26"/>
          <w:szCs w:val="26"/>
        </w:rPr>
        <w:t>[41]</w:t>
      </w:r>
      <w:r w:rsidRPr="00D77B8B">
        <w:rPr>
          <w:sz w:val="26"/>
          <w:szCs w:val="26"/>
        </w:rPr>
        <w:t xml:space="preserve">. The confirmatory power is only given to the Secretary of State if no other statute (including one passed after the 1972 Act) confers the function on any other body or person, which supports the notion that it is not an important function </w:t>
      </w:r>
      <w:r w:rsidRPr="00D77B8B">
        <w:rPr>
          <w:b/>
          <w:bCs/>
          <w:sz w:val="26"/>
          <w:szCs w:val="26"/>
        </w:rPr>
        <w:t>[56]</w:t>
      </w:r>
      <w:r w:rsidRPr="00D77B8B">
        <w:rPr>
          <w:sz w:val="26"/>
          <w:szCs w:val="26"/>
        </w:rPr>
        <w:t xml:space="preserve">. The scheduled enactments relate to byelaws in respect of which the Secretary of State is very unlikely ever to exercise his confirmatory power </w:t>
      </w:r>
      <w:r w:rsidRPr="00D77B8B">
        <w:rPr>
          <w:b/>
          <w:bCs/>
          <w:sz w:val="26"/>
          <w:szCs w:val="26"/>
        </w:rPr>
        <w:t>[57]</w:t>
      </w:r>
      <w:r w:rsidRPr="00D77B8B">
        <w:rPr>
          <w:sz w:val="26"/>
          <w:szCs w:val="26"/>
        </w:rPr>
        <w:t>.</w:t>
      </w:r>
    </w:p>
    <w:p w14:paraId="125CBB4D" w14:textId="72BB1F3B" w:rsidR="007C1A0B" w:rsidRPr="00D77B8B" w:rsidRDefault="007C1A0B" w:rsidP="000648A0">
      <w:pPr>
        <w:pStyle w:val="Default"/>
        <w:spacing w:after="240"/>
        <w:jc w:val="both"/>
        <w:rPr>
          <w:sz w:val="26"/>
          <w:szCs w:val="26"/>
        </w:rPr>
      </w:pPr>
      <w:r w:rsidRPr="00D77B8B">
        <w:rPr>
          <w:sz w:val="26"/>
          <w:szCs w:val="26"/>
        </w:rPr>
        <w:t xml:space="preserve">Section 9 is within the legislative competence of the Assembly </w:t>
      </w:r>
      <w:r w:rsidRPr="00D77B8B">
        <w:rPr>
          <w:b/>
          <w:bCs/>
          <w:sz w:val="26"/>
          <w:szCs w:val="26"/>
        </w:rPr>
        <w:t>[66],[84]</w:t>
      </w:r>
      <w:r w:rsidRPr="00D77B8B">
        <w:rPr>
          <w:sz w:val="26"/>
          <w:szCs w:val="26"/>
        </w:rPr>
        <w:t xml:space="preserve">. Section 9 has a limited effect, because the jurisdiction of the Assembly is limited to removing, or delegating the power to remove, functions of the Secretary of State where this would be incidental to, or consequential on, the purpose of removing the need for confirmation by the Welsh Ministers of any byelaw made under the scheduled enactments, and the Assembly cannot therefore bestow wider powers than this on the Welsh Ministers </w:t>
      </w:r>
      <w:r w:rsidRPr="00D77B8B">
        <w:rPr>
          <w:b/>
          <w:bCs/>
          <w:sz w:val="26"/>
          <w:szCs w:val="26"/>
        </w:rPr>
        <w:t>[63]</w:t>
      </w:r>
      <w:r w:rsidRPr="00D77B8B">
        <w:rPr>
          <w:sz w:val="26"/>
          <w:szCs w:val="26"/>
        </w:rPr>
        <w:t xml:space="preserve">. The same conclusion can be arrived at by invoking section 154(2) of the 2006 Act, which provides that a provision of a Bill which could be read in a way as to be outside the Assembly’s legislative competence is to be read as narrowly as is required for it to be within that competence </w:t>
      </w:r>
      <w:r w:rsidRPr="00D77B8B">
        <w:rPr>
          <w:b/>
          <w:bCs/>
          <w:sz w:val="26"/>
          <w:szCs w:val="26"/>
        </w:rPr>
        <w:t>[64]</w:t>
      </w:r>
      <w:r w:rsidRPr="00D77B8B">
        <w:rPr>
          <w:sz w:val="26"/>
          <w:szCs w:val="26"/>
        </w:rPr>
        <w:t>.</w:t>
      </w:r>
    </w:p>
    <w:p w14:paraId="12C545B1" w14:textId="32708A79" w:rsidR="00FA487E" w:rsidRPr="00D77B8B" w:rsidRDefault="007C1A0B" w:rsidP="000648A0">
      <w:pPr>
        <w:pStyle w:val="Default"/>
        <w:spacing w:after="240"/>
        <w:jc w:val="both"/>
        <w:rPr>
          <w:sz w:val="26"/>
          <w:szCs w:val="26"/>
        </w:rPr>
      </w:pPr>
      <w:r w:rsidRPr="00D77B8B">
        <w:rPr>
          <w:sz w:val="26"/>
          <w:szCs w:val="26"/>
        </w:rPr>
        <w:t xml:space="preserve">The outcome of this reference is in favour of the Assembly, but it cannot be regarded as a setback in practical terms for the Secretary of State, because the conclusion the Supreme Court has reached as to the effect of section 9 of the Bill is one which reflects the terms on which the Secretary of State was prepared to give consent to section 6 of </w:t>
      </w:r>
      <w:r w:rsidRPr="00D77B8B">
        <w:rPr>
          <w:sz w:val="26"/>
          <w:szCs w:val="26"/>
        </w:rPr>
        <w:lastRenderedPageBreak/>
        <w:t xml:space="preserve">the Bill </w:t>
      </w:r>
      <w:r w:rsidRPr="00D77B8B">
        <w:rPr>
          <w:b/>
          <w:bCs/>
          <w:sz w:val="26"/>
          <w:szCs w:val="26"/>
        </w:rPr>
        <w:t>[67]</w:t>
      </w:r>
      <w:r w:rsidRPr="00D77B8B">
        <w:rPr>
          <w:sz w:val="26"/>
          <w:szCs w:val="26"/>
        </w:rPr>
        <w:t xml:space="preserve">. The outcome is also entirely consistent with the general thrust of the extended powers given to the Welsh Ministers by the 2006 Act </w:t>
      </w:r>
      <w:r w:rsidRPr="00D77B8B">
        <w:rPr>
          <w:b/>
          <w:bCs/>
          <w:sz w:val="26"/>
          <w:szCs w:val="26"/>
        </w:rPr>
        <w:t>[68]</w:t>
      </w:r>
      <w:r w:rsidRPr="00D77B8B">
        <w:rPr>
          <w:sz w:val="26"/>
          <w:szCs w:val="26"/>
        </w:rPr>
        <w:t>.</w:t>
      </w:r>
    </w:p>
    <w:p w14:paraId="28F42DC7" w14:textId="173AFAC8" w:rsidR="007C1A0B" w:rsidRPr="00D77B8B" w:rsidRDefault="007C1A0B" w:rsidP="00D77B8B">
      <w:pPr>
        <w:pStyle w:val="Default"/>
        <w:spacing w:after="240"/>
        <w:rPr>
          <w:sz w:val="26"/>
          <w:szCs w:val="26"/>
        </w:rPr>
      </w:pPr>
      <w:r w:rsidRPr="00D77B8B">
        <w:rPr>
          <w:i/>
          <w:iCs/>
          <w:sz w:val="26"/>
          <w:szCs w:val="26"/>
        </w:rPr>
        <w:t>Guidance on matters of practice</w:t>
      </w:r>
    </w:p>
    <w:p w14:paraId="0725002E" w14:textId="3A8D0728" w:rsidR="007C1A0B" w:rsidRPr="00D77B8B" w:rsidRDefault="007C1A0B" w:rsidP="007C1A0B">
      <w:pPr>
        <w:pStyle w:val="Default"/>
        <w:spacing w:after="240"/>
        <w:jc w:val="both"/>
        <w:rPr>
          <w:sz w:val="26"/>
          <w:szCs w:val="26"/>
        </w:rPr>
      </w:pPr>
      <w:r w:rsidRPr="00D77B8B">
        <w:rPr>
          <w:sz w:val="26"/>
          <w:szCs w:val="26"/>
        </w:rPr>
        <w:t xml:space="preserve">In terms of the relevant rules and practice direction, the reference should not have been served on the Assembly. Rather, it should have been served on the Counsel General in his capacity as a relevant officer having a potential interest in the proceedings. He can then become a respondent if he notifies the Registrar that he wishes to participate </w:t>
      </w:r>
      <w:r w:rsidRPr="00D77B8B">
        <w:rPr>
          <w:b/>
          <w:bCs/>
          <w:sz w:val="26"/>
          <w:szCs w:val="26"/>
        </w:rPr>
        <w:t>[90],[93]</w:t>
      </w:r>
      <w:r w:rsidRPr="00D77B8B">
        <w:rPr>
          <w:sz w:val="26"/>
          <w:szCs w:val="26"/>
        </w:rPr>
        <w:t xml:space="preserve">. As no form has been laid down for use in the case of references (as opposed to appeals) involving devolution issues, it is open to the referring law officer or court to adopt whatever style and layout is thought to be most appropriate in the circumstances. The Registrar must however be provided with certain information for administrative purposes </w:t>
      </w:r>
      <w:r w:rsidRPr="00D77B8B">
        <w:rPr>
          <w:b/>
          <w:bCs/>
          <w:sz w:val="26"/>
          <w:szCs w:val="26"/>
        </w:rPr>
        <w:t>[94]</w:t>
      </w:r>
      <w:r w:rsidRPr="00D77B8B">
        <w:rPr>
          <w:sz w:val="26"/>
          <w:szCs w:val="26"/>
        </w:rPr>
        <w:t>.</w:t>
      </w:r>
    </w:p>
    <w:p w14:paraId="23E2231E" w14:textId="53C9F429" w:rsidR="007C1A0B" w:rsidRPr="00D77B8B" w:rsidRDefault="00D77B8B" w:rsidP="00D77B8B">
      <w:pPr>
        <w:pStyle w:val="Default"/>
        <w:spacing w:after="480"/>
        <w:jc w:val="both"/>
        <w:rPr>
          <w:sz w:val="26"/>
          <w:szCs w:val="26"/>
        </w:rPr>
      </w:pPr>
      <w:r w:rsidRPr="00D77B8B">
        <w:rPr>
          <w:sz w:val="26"/>
          <w:szCs w:val="26"/>
        </w:rPr>
        <w:t xml:space="preserve">Appearing as a contradictor to a challenge to the legislative competence of a Bill or an Act of the Assembly is not one of the Assembly Commission’s functions under the 2006 Act. The appropriate person to represent the public interest in resisting such a challenge is the Counsel General. There may however be cases in which the court will allow the Assembly or the Assembly Commission to participate as an intervener </w:t>
      </w:r>
      <w:r w:rsidRPr="00D77B8B">
        <w:rPr>
          <w:b/>
          <w:bCs/>
          <w:sz w:val="26"/>
          <w:szCs w:val="26"/>
        </w:rPr>
        <w:t>[99],[100]</w:t>
      </w:r>
      <w:r w:rsidRPr="00D77B8B">
        <w:rPr>
          <w:sz w:val="26"/>
          <w:szCs w:val="26"/>
        </w:rPr>
        <w:t>.</w:t>
      </w:r>
    </w:p>
    <w:p w14:paraId="0D39DF37" w14:textId="77777777" w:rsidR="00216388" w:rsidRPr="00E133A7" w:rsidRDefault="00216388" w:rsidP="00216388">
      <w:pPr>
        <w:pStyle w:val="CM2"/>
        <w:spacing w:after="240"/>
        <w:ind w:right="232"/>
        <w:jc w:val="both"/>
        <w:rPr>
          <w:rFonts w:cs="Garamond"/>
          <w:i/>
          <w:iCs/>
          <w:color w:val="000000"/>
          <w:sz w:val="26"/>
          <w:szCs w:val="26"/>
        </w:rPr>
      </w:pPr>
      <w:r w:rsidRPr="00E133A7">
        <w:rPr>
          <w:rFonts w:cs="Garamond"/>
          <w:i/>
          <w:iCs/>
          <w:color w:val="000000"/>
          <w:sz w:val="26"/>
          <w:szCs w:val="26"/>
        </w:rPr>
        <w:t xml:space="preserve">References in square brackets are to paragraphs in the </w:t>
      </w:r>
      <w:proofErr w:type="gramStart"/>
      <w:r w:rsidRPr="00E133A7">
        <w:rPr>
          <w:rFonts w:cs="Garamond"/>
          <w:i/>
          <w:iCs/>
          <w:color w:val="000000"/>
          <w:sz w:val="26"/>
          <w:szCs w:val="26"/>
        </w:rPr>
        <w:t>judgment</w:t>
      </w:r>
      <w:proofErr w:type="gramEnd"/>
    </w:p>
    <w:p w14:paraId="26697A44" w14:textId="2FA75FBD" w:rsidR="007F53E9" w:rsidRPr="00DA59A4" w:rsidRDefault="009E426D" w:rsidP="00C42949">
      <w:pPr>
        <w:spacing w:after="120"/>
        <w:jc w:val="both"/>
        <w:rPr>
          <w:b/>
          <w:sz w:val="24"/>
          <w:szCs w:val="24"/>
        </w:rPr>
      </w:pPr>
      <w:r w:rsidRPr="00DA59A4">
        <w:rPr>
          <w:b/>
          <w:spacing w:val="-4"/>
          <w:sz w:val="24"/>
          <w:szCs w:val="24"/>
          <w:u w:val="single"/>
        </w:rPr>
        <w:t>NOTE</w:t>
      </w:r>
    </w:p>
    <w:p w14:paraId="00418A8F" w14:textId="38BA080A" w:rsidR="00D05DC4" w:rsidRPr="00D05DC4" w:rsidRDefault="00D05DC4" w:rsidP="00C42949">
      <w:pPr>
        <w:jc w:val="both"/>
        <w:rPr>
          <w:b/>
          <w:sz w:val="24"/>
          <w:szCs w:val="24"/>
        </w:rPr>
      </w:pPr>
      <w:r w:rsidRPr="00D05DC4">
        <w:rPr>
          <w:b/>
          <w:sz w:val="24"/>
          <w:szCs w:val="24"/>
        </w:rPr>
        <w:t>This summary is provided to assist in understanding the Court’s decision. It does not form part of the reasons for the decision. The full judgment of the Court is the only authoritative document. Judgments are public documents and are available at:</w:t>
      </w:r>
    </w:p>
    <w:p w14:paraId="26697A45" w14:textId="67201DA3" w:rsidR="007F53E9" w:rsidRDefault="00E77E0B" w:rsidP="00C42949">
      <w:pPr>
        <w:jc w:val="both"/>
        <w:rPr>
          <w:rStyle w:val="Hyperlink"/>
          <w:sz w:val="24"/>
          <w:szCs w:val="24"/>
        </w:rPr>
      </w:pPr>
      <w:hyperlink r:id="rId12" w:history="1">
        <w:r w:rsidR="00464737">
          <w:rPr>
            <w:rStyle w:val="Hyperlink"/>
            <w:sz w:val="24"/>
            <w:szCs w:val="24"/>
          </w:rPr>
          <w:t>https://www.supremecourt.uk/decided-cases/index.html</w:t>
        </w:r>
      </w:hyperlink>
    </w:p>
    <w:sectPr w:rsidR="007F53E9" w:rsidSect="00BD4EAA">
      <w:headerReference w:type="even" r:id="rId13"/>
      <w:headerReference w:type="default" r:id="rId14"/>
      <w:footerReference w:type="even" r:id="rId15"/>
      <w:footerReference w:type="default" r:id="rId16"/>
      <w:headerReference w:type="first" r:id="rId17"/>
      <w:footerReference w:type="first" r:id="rId18"/>
      <w:pgSz w:w="11910" w:h="16840"/>
      <w:pgMar w:top="993"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7FD0E" w14:textId="77777777" w:rsidR="00355C04" w:rsidRDefault="00355C04" w:rsidP="00BA527D">
      <w:r>
        <w:separator/>
      </w:r>
    </w:p>
  </w:endnote>
  <w:endnote w:type="continuationSeparator" w:id="0">
    <w:p w14:paraId="651E3288" w14:textId="77777777" w:rsidR="00355C04" w:rsidRDefault="00355C04" w:rsidP="00BA527D">
      <w:r>
        <w:continuationSeparator/>
      </w:r>
    </w:p>
  </w:endnote>
  <w:endnote w:type="continuationNotice" w:id="1">
    <w:p w14:paraId="6760DBD1" w14:textId="77777777" w:rsidR="00355C04" w:rsidRDefault="00355C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EEE4" w14:textId="77777777" w:rsidR="00504DCB" w:rsidRDefault="00504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6117" w14:textId="69D1CF11" w:rsidR="00273F53" w:rsidRDefault="00273F53" w:rsidP="00273F53">
    <w:pPr>
      <w:pStyle w:val="Footer"/>
      <w:ind w:left="4513" w:hanging="4513"/>
      <w:jc w:val="center"/>
      <w:rPr>
        <w:rFonts w:ascii="Times New Roman" w:eastAsiaTheme="minorHAnsi" w:hAnsi="Times New Roman" w:cs="Times New Roman"/>
        <w:b/>
        <w:bCs/>
        <w:color w:val="000000"/>
        <w:sz w:val="20"/>
        <w:szCs w:val="20"/>
        <w:lang w:val="en-GB"/>
      </w:rPr>
    </w:pPr>
    <w:r>
      <w:rPr>
        <w:rFonts w:ascii="Times New Roman" w:eastAsiaTheme="minorHAnsi" w:hAnsi="Times New Roman" w:cs="Times New Roman"/>
        <w:b/>
        <w:bCs/>
        <w:color w:val="000000"/>
        <w:sz w:val="20"/>
        <w:szCs w:val="20"/>
        <w:lang w:val="en-GB"/>
      </w:rPr>
      <w:t>T</w:t>
    </w:r>
    <w:r w:rsidRPr="00273F53">
      <w:rPr>
        <w:rFonts w:ascii="Times New Roman" w:eastAsiaTheme="minorHAnsi" w:hAnsi="Times New Roman" w:cs="Times New Roman"/>
        <w:b/>
        <w:bCs/>
        <w:color w:val="000000"/>
        <w:sz w:val="20"/>
        <w:szCs w:val="20"/>
        <w:lang w:val="en-GB"/>
      </w:rPr>
      <w:t>he Supreme Court of the United Kingdom</w:t>
    </w:r>
  </w:p>
  <w:p w14:paraId="7D10CFD9" w14:textId="5F36345D" w:rsidR="00273F53" w:rsidRPr="00504DCB" w:rsidRDefault="00273F53" w:rsidP="00504DCB">
    <w:pPr>
      <w:pStyle w:val="Footer"/>
      <w:jc w:val="center"/>
      <w:rPr>
        <w:rFonts w:ascii="Times New Roman" w:eastAsiaTheme="minorHAnsi" w:hAnsi="Times New Roman" w:cs="Times New Roman"/>
        <w:b/>
        <w:bCs/>
        <w:color w:val="000000"/>
        <w:sz w:val="20"/>
        <w:szCs w:val="20"/>
        <w:lang w:val="en-GB"/>
      </w:rPr>
    </w:pPr>
    <w:r w:rsidRPr="00273F53">
      <w:rPr>
        <w:rFonts w:ascii="Times New Roman" w:eastAsiaTheme="minorHAnsi" w:hAnsi="Times New Roman" w:cs="Times New Roman"/>
        <w:color w:val="000000"/>
        <w:sz w:val="20"/>
        <w:szCs w:val="20"/>
        <w:lang w:val="en-GB"/>
      </w:rPr>
      <w:t xml:space="preserve">Parliament Square London SW1P 3BD </w:t>
    </w:r>
    <w:r w:rsidRPr="00273F53">
      <w:rPr>
        <w:rFonts w:ascii="Times New Roman" w:eastAsiaTheme="minorHAnsi" w:hAnsi="Times New Roman" w:cs="Times New Roman"/>
        <w:b/>
        <w:bCs/>
        <w:color w:val="000000"/>
        <w:sz w:val="20"/>
        <w:szCs w:val="20"/>
        <w:lang w:val="en-GB"/>
      </w:rPr>
      <w:t xml:space="preserve">T: </w:t>
    </w:r>
    <w:r w:rsidRPr="00273F53">
      <w:rPr>
        <w:rFonts w:ascii="Times New Roman" w:eastAsiaTheme="minorHAnsi" w:hAnsi="Times New Roman" w:cs="Times New Roman"/>
        <w:color w:val="000000"/>
        <w:sz w:val="20"/>
        <w:szCs w:val="20"/>
        <w:lang w:val="en-GB"/>
      </w:rPr>
      <w:t xml:space="preserve">020 7960 1886/1887 </w:t>
    </w:r>
    <w:r w:rsidRPr="00273F53">
      <w:rPr>
        <w:rFonts w:ascii="Times New Roman" w:eastAsiaTheme="minorHAnsi" w:hAnsi="Times New Roman" w:cs="Times New Roman"/>
        <w:b/>
        <w:bCs/>
        <w:color w:val="000000"/>
        <w:sz w:val="20"/>
        <w:szCs w:val="20"/>
        <w:lang w:val="en-GB"/>
      </w:rPr>
      <w:t xml:space="preserve">F: </w:t>
    </w:r>
    <w:r w:rsidRPr="00273F53">
      <w:rPr>
        <w:rFonts w:ascii="Times New Roman" w:eastAsiaTheme="minorHAnsi" w:hAnsi="Times New Roman" w:cs="Times New Roman"/>
        <w:color w:val="000000"/>
        <w:sz w:val="20"/>
        <w:szCs w:val="20"/>
        <w:lang w:val="en-GB"/>
      </w:rPr>
      <w:t xml:space="preserve">020 7960 1901 </w:t>
    </w:r>
    <w:r w:rsidRPr="00273F53">
      <w:rPr>
        <w:rFonts w:ascii="Times New Roman" w:eastAsiaTheme="minorHAnsi" w:hAnsi="Times New Roman" w:cs="Times New Roman"/>
        <w:b/>
        <w:bCs/>
        <w:color w:val="000000"/>
        <w:sz w:val="20"/>
        <w:szCs w:val="20"/>
        <w:lang w:val="en-GB"/>
      </w:rPr>
      <w:t>www.supremecourt.uk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E3830" w14:textId="77777777" w:rsidR="00504DCB" w:rsidRDefault="00504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2CF61" w14:textId="77777777" w:rsidR="00355C04" w:rsidRDefault="00355C04" w:rsidP="00BA527D">
      <w:r>
        <w:separator/>
      </w:r>
    </w:p>
  </w:footnote>
  <w:footnote w:type="continuationSeparator" w:id="0">
    <w:p w14:paraId="6C8B562D" w14:textId="77777777" w:rsidR="00355C04" w:rsidRDefault="00355C04" w:rsidP="00BA527D">
      <w:r>
        <w:continuationSeparator/>
      </w:r>
    </w:p>
  </w:footnote>
  <w:footnote w:type="continuationNotice" w:id="1">
    <w:p w14:paraId="2171FE74" w14:textId="77777777" w:rsidR="00355C04" w:rsidRDefault="00355C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6DFAB" w14:textId="77777777" w:rsidR="00504DCB" w:rsidRDefault="00504D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66B17" w14:textId="77777777" w:rsidR="00504DCB" w:rsidRDefault="00504D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85A9" w14:textId="77777777" w:rsidR="00504DCB" w:rsidRDefault="00504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CE124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97A0F"/>
    <w:multiLevelType w:val="hybridMultilevel"/>
    <w:tmpl w:val="BB60CE3C"/>
    <w:lvl w:ilvl="0" w:tplc="8AC66B46">
      <w:start w:val="1"/>
      <w:numFmt w:val="lowerRoman"/>
      <w:lvlText w:val="(%1)"/>
      <w:lvlJc w:val="left"/>
      <w:pPr>
        <w:ind w:left="1080" w:hanging="720"/>
      </w:pPr>
      <w:rPr>
        <w:rFonts w:hint="default"/>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351E0F"/>
    <w:multiLevelType w:val="hybridMultilevel"/>
    <w:tmpl w:val="6AC69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967C1D"/>
    <w:multiLevelType w:val="hybridMultilevel"/>
    <w:tmpl w:val="68748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326013"/>
    <w:multiLevelType w:val="hybridMultilevel"/>
    <w:tmpl w:val="FF62F4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580E4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52216D"/>
    <w:multiLevelType w:val="hybridMultilevel"/>
    <w:tmpl w:val="160C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7BE27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1883623"/>
    <w:multiLevelType w:val="hybridMultilevel"/>
    <w:tmpl w:val="3244C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DC05ED"/>
    <w:multiLevelType w:val="hybridMultilevel"/>
    <w:tmpl w:val="0936B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F06AC0"/>
    <w:multiLevelType w:val="hybridMultilevel"/>
    <w:tmpl w:val="C7CE9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453D1"/>
    <w:multiLevelType w:val="hybridMultilevel"/>
    <w:tmpl w:val="CAA21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E33A99"/>
    <w:multiLevelType w:val="hybridMultilevel"/>
    <w:tmpl w:val="90FA60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1A6401"/>
    <w:multiLevelType w:val="hybridMultilevel"/>
    <w:tmpl w:val="6FD49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15460B"/>
    <w:multiLevelType w:val="hybridMultilevel"/>
    <w:tmpl w:val="C2A0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214819"/>
    <w:multiLevelType w:val="hybridMultilevel"/>
    <w:tmpl w:val="37809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D66B32"/>
    <w:multiLevelType w:val="hybridMultilevel"/>
    <w:tmpl w:val="63982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C92F94"/>
    <w:multiLevelType w:val="hybridMultilevel"/>
    <w:tmpl w:val="8DA2174A"/>
    <w:lvl w:ilvl="0" w:tplc="25DCB9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062C8F"/>
    <w:multiLevelType w:val="hybridMultilevel"/>
    <w:tmpl w:val="6C741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867A43"/>
    <w:multiLevelType w:val="hybridMultilevel"/>
    <w:tmpl w:val="5C6C2684"/>
    <w:lvl w:ilvl="0" w:tplc="25DCB9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6AF88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B9826D2"/>
    <w:multiLevelType w:val="hybridMultilevel"/>
    <w:tmpl w:val="458A2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237CC2"/>
    <w:multiLevelType w:val="hybridMultilevel"/>
    <w:tmpl w:val="CD4C8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600B70"/>
    <w:multiLevelType w:val="hybridMultilevel"/>
    <w:tmpl w:val="092E9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15C38"/>
    <w:multiLevelType w:val="hybridMultilevel"/>
    <w:tmpl w:val="D35649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E200BF"/>
    <w:multiLevelType w:val="hybridMultilevel"/>
    <w:tmpl w:val="A590F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6FF92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F7822AA"/>
    <w:multiLevelType w:val="hybridMultilevel"/>
    <w:tmpl w:val="04F0D546"/>
    <w:lvl w:ilvl="0" w:tplc="C2D02B24">
      <w:numFmt w:val="bullet"/>
      <w:lvlText w:val=""/>
      <w:lvlJc w:val="left"/>
      <w:pPr>
        <w:ind w:left="720" w:hanging="360"/>
      </w:pPr>
      <w:rPr>
        <w:rFonts w:ascii="Symbol" w:eastAsia="Garamond" w:hAnsi="Symbol" w:cs="Garamon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6811AD"/>
    <w:multiLevelType w:val="hybridMultilevel"/>
    <w:tmpl w:val="A89E2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8B514A"/>
    <w:multiLevelType w:val="hybridMultilevel"/>
    <w:tmpl w:val="7B2CB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6761989">
    <w:abstractNumId w:val="13"/>
  </w:num>
  <w:num w:numId="2" w16cid:durableId="1826823465">
    <w:abstractNumId w:val="27"/>
  </w:num>
  <w:num w:numId="3" w16cid:durableId="219677762">
    <w:abstractNumId w:val="8"/>
  </w:num>
  <w:num w:numId="4" w16cid:durableId="1708487896">
    <w:abstractNumId w:val="1"/>
  </w:num>
  <w:num w:numId="5" w16cid:durableId="1125730334">
    <w:abstractNumId w:val="28"/>
  </w:num>
  <w:num w:numId="6" w16cid:durableId="179783642">
    <w:abstractNumId w:val="14"/>
  </w:num>
  <w:num w:numId="7" w16cid:durableId="1050616382">
    <w:abstractNumId w:val="23"/>
  </w:num>
  <w:num w:numId="8" w16cid:durableId="794370266">
    <w:abstractNumId w:val="6"/>
  </w:num>
  <w:num w:numId="9" w16cid:durableId="1083456898">
    <w:abstractNumId w:val="25"/>
  </w:num>
  <w:num w:numId="10" w16cid:durableId="1569262513">
    <w:abstractNumId w:val="16"/>
  </w:num>
  <w:num w:numId="11" w16cid:durableId="14507847">
    <w:abstractNumId w:val="24"/>
  </w:num>
  <w:num w:numId="12" w16cid:durableId="1362049688">
    <w:abstractNumId w:val="0"/>
  </w:num>
  <w:num w:numId="13" w16cid:durableId="110128096">
    <w:abstractNumId w:val="7"/>
  </w:num>
  <w:num w:numId="14" w16cid:durableId="536897425">
    <w:abstractNumId w:val="20"/>
  </w:num>
  <w:num w:numId="15" w16cid:durableId="393158796">
    <w:abstractNumId w:val="26"/>
  </w:num>
  <w:num w:numId="16" w16cid:durableId="1536653707">
    <w:abstractNumId w:val="5"/>
  </w:num>
  <w:num w:numId="17" w16cid:durableId="1259100486">
    <w:abstractNumId w:val="10"/>
  </w:num>
  <w:num w:numId="18" w16cid:durableId="656149657">
    <w:abstractNumId w:val="2"/>
  </w:num>
  <w:num w:numId="19" w16cid:durableId="1285775279">
    <w:abstractNumId w:val="3"/>
  </w:num>
  <w:num w:numId="20" w16cid:durableId="1957562013">
    <w:abstractNumId w:val="19"/>
  </w:num>
  <w:num w:numId="21" w16cid:durableId="584924659">
    <w:abstractNumId w:val="17"/>
  </w:num>
  <w:num w:numId="22" w16cid:durableId="1051225430">
    <w:abstractNumId w:val="21"/>
  </w:num>
  <w:num w:numId="23" w16cid:durableId="1090078251">
    <w:abstractNumId w:val="9"/>
  </w:num>
  <w:num w:numId="24" w16cid:durableId="609237987">
    <w:abstractNumId w:val="11"/>
  </w:num>
  <w:num w:numId="25" w16cid:durableId="1244990045">
    <w:abstractNumId w:val="18"/>
  </w:num>
  <w:num w:numId="26" w16cid:durableId="1134444568">
    <w:abstractNumId w:val="4"/>
  </w:num>
  <w:num w:numId="27" w16cid:durableId="456460753">
    <w:abstractNumId w:val="12"/>
  </w:num>
  <w:num w:numId="28" w16cid:durableId="82341303">
    <w:abstractNumId w:val="22"/>
  </w:num>
  <w:num w:numId="29" w16cid:durableId="1778525048">
    <w:abstractNumId w:val="29"/>
  </w:num>
  <w:num w:numId="30" w16cid:durableId="882835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7F53E9"/>
    <w:rsid w:val="00002E23"/>
    <w:rsid w:val="000033D7"/>
    <w:rsid w:val="0000347F"/>
    <w:rsid w:val="00005E23"/>
    <w:rsid w:val="00007C9D"/>
    <w:rsid w:val="00011DE1"/>
    <w:rsid w:val="00011FC1"/>
    <w:rsid w:val="0001619C"/>
    <w:rsid w:val="00021ABB"/>
    <w:rsid w:val="0002524A"/>
    <w:rsid w:val="00030D01"/>
    <w:rsid w:val="00032AA4"/>
    <w:rsid w:val="0003400A"/>
    <w:rsid w:val="00035BD1"/>
    <w:rsid w:val="00040336"/>
    <w:rsid w:val="0004407A"/>
    <w:rsid w:val="00047469"/>
    <w:rsid w:val="00047875"/>
    <w:rsid w:val="0005577F"/>
    <w:rsid w:val="00057883"/>
    <w:rsid w:val="000611AB"/>
    <w:rsid w:val="000648A0"/>
    <w:rsid w:val="00071975"/>
    <w:rsid w:val="000722CD"/>
    <w:rsid w:val="00073744"/>
    <w:rsid w:val="000744F7"/>
    <w:rsid w:val="000750D7"/>
    <w:rsid w:val="000815E5"/>
    <w:rsid w:val="0008457E"/>
    <w:rsid w:val="00084D85"/>
    <w:rsid w:val="00085893"/>
    <w:rsid w:val="00085D09"/>
    <w:rsid w:val="00087BE0"/>
    <w:rsid w:val="000918DD"/>
    <w:rsid w:val="000924C6"/>
    <w:rsid w:val="00094AF7"/>
    <w:rsid w:val="000A2A81"/>
    <w:rsid w:val="000A4C2E"/>
    <w:rsid w:val="000B1A3E"/>
    <w:rsid w:val="000B35D8"/>
    <w:rsid w:val="000C00A8"/>
    <w:rsid w:val="000C0515"/>
    <w:rsid w:val="000C1F8E"/>
    <w:rsid w:val="000C30EA"/>
    <w:rsid w:val="000C556A"/>
    <w:rsid w:val="000C5AA9"/>
    <w:rsid w:val="000C62B7"/>
    <w:rsid w:val="000C68C7"/>
    <w:rsid w:val="000D3C6C"/>
    <w:rsid w:val="000D3DAE"/>
    <w:rsid w:val="000D49AF"/>
    <w:rsid w:val="000D65BC"/>
    <w:rsid w:val="000D6B2F"/>
    <w:rsid w:val="000D7ABA"/>
    <w:rsid w:val="000E2F2A"/>
    <w:rsid w:val="000E3E62"/>
    <w:rsid w:val="000E4913"/>
    <w:rsid w:val="000E68C2"/>
    <w:rsid w:val="000E6C68"/>
    <w:rsid w:val="000F040A"/>
    <w:rsid w:val="000F05E3"/>
    <w:rsid w:val="000F099E"/>
    <w:rsid w:val="000F5A77"/>
    <w:rsid w:val="000F6C15"/>
    <w:rsid w:val="00110E11"/>
    <w:rsid w:val="0011175F"/>
    <w:rsid w:val="00112218"/>
    <w:rsid w:val="001156D5"/>
    <w:rsid w:val="00120372"/>
    <w:rsid w:val="001216F8"/>
    <w:rsid w:val="0012301D"/>
    <w:rsid w:val="00123514"/>
    <w:rsid w:val="001304DA"/>
    <w:rsid w:val="00130F4A"/>
    <w:rsid w:val="001310B9"/>
    <w:rsid w:val="00132FE9"/>
    <w:rsid w:val="0013350D"/>
    <w:rsid w:val="00133FFB"/>
    <w:rsid w:val="00136F1A"/>
    <w:rsid w:val="001405E4"/>
    <w:rsid w:val="001406CF"/>
    <w:rsid w:val="00142240"/>
    <w:rsid w:val="0014614E"/>
    <w:rsid w:val="00147B5E"/>
    <w:rsid w:val="001513C7"/>
    <w:rsid w:val="00152676"/>
    <w:rsid w:val="00153FF2"/>
    <w:rsid w:val="00160A74"/>
    <w:rsid w:val="00161292"/>
    <w:rsid w:val="00161933"/>
    <w:rsid w:val="00166098"/>
    <w:rsid w:val="00166737"/>
    <w:rsid w:val="00170536"/>
    <w:rsid w:val="00170E35"/>
    <w:rsid w:val="00176D86"/>
    <w:rsid w:val="0018516D"/>
    <w:rsid w:val="001857F3"/>
    <w:rsid w:val="001859DE"/>
    <w:rsid w:val="00187840"/>
    <w:rsid w:val="00187E48"/>
    <w:rsid w:val="0019368D"/>
    <w:rsid w:val="00193867"/>
    <w:rsid w:val="00193E23"/>
    <w:rsid w:val="001A0879"/>
    <w:rsid w:val="001A0F21"/>
    <w:rsid w:val="001A2241"/>
    <w:rsid w:val="001A3A5B"/>
    <w:rsid w:val="001A401B"/>
    <w:rsid w:val="001A5A31"/>
    <w:rsid w:val="001A769F"/>
    <w:rsid w:val="001B0FE9"/>
    <w:rsid w:val="001B104B"/>
    <w:rsid w:val="001B2E59"/>
    <w:rsid w:val="001B34B9"/>
    <w:rsid w:val="001C3F63"/>
    <w:rsid w:val="001D0726"/>
    <w:rsid w:val="001D38AD"/>
    <w:rsid w:val="001D5026"/>
    <w:rsid w:val="001D5090"/>
    <w:rsid w:val="001D575B"/>
    <w:rsid w:val="001D585F"/>
    <w:rsid w:val="001E0EB7"/>
    <w:rsid w:val="001F13FE"/>
    <w:rsid w:val="001F2A5B"/>
    <w:rsid w:val="001F320C"/>
    <w:rsid w:val="001F3EEA"/>
    <w:rsid w:val="001F5625"/>
    <w:rsid w:val="001F6666"/>
    <w:rsid w:val="00210311"/>
    <w:rsid w:val="0021130F"/>
    <w:rsid w:val="00212880"/>
    <w:rsid w:val="00216388"/>
    <w:rsid w:val="00220526"/>
    <w:rsid w:val="00220882"/>
    <w:rsid w:val="00220A82"/>
    <w:rsid w:val="00221281"/>
    <w:rsid w:val="002227C0"/>
    <w:rsid w:val="00224005"/>
    <w:rsid w:val="00232C0C"/>
    <w:rsid w:val="00233F3A"/>
    <w:rsid w:val="002347F9"/>
    <w:rsid w:val="00235200"/>
    <w:rsid w:val="0023656F"/>
    <w:rsid w:val="00237D3A"/>
    <w:rsid w:val="0024056F"/>
    <w:rsid w:val="0024146C"/>
    <w:rsid w:val="00242536"/>
    <w:rsid w:val="00253B0E"/>
    <w:rsid w:val="00254AE7"/>
    <w:rsid w:val="0025532C"/>
    <w:rsid w:val="00263573"/>
    <w:rsid w:val="00266524"/>
    <w:rsid w:val="0027117E"/>
    <w:rsid w:val="002721E3"/>
    <w:rsid w:val="00273F53"/>
    <w:rsid w:val="002743B0"/>
    <w:rsid w:val="002861E2"/>
    <w:rsid w:val="00287287"/>
    <w:rsid w:val="00290F9B"/>
    <w:rsid w:val="00291629"/>
    <w:rsid w:val="00291F82"/>
    <w:rsid w:val="00293402"/>
    <w:rsid w:val="002A021C"/>
    <w:rsid w:val="002A148D"/>
    <w:rsid w:val="002A613A"/>
    <w:rsid w:val="002B3680"/>
    <w:rsid w:val="002B4029"/>
    <w:rsid w:val="002B52A4"/>
    <w:rsid w:val="002B5A2C"/>
    <w:rsid w:val="002B5EE5"/>
    <w:rsid w:val="002C139A"/>
    <w:rsid w:val="002C4ACD"/>
    <w:rsid w:val="002D0FFD"/>
    <w:rsid w:val="002D4B32"/>
    <w:rsid w:val="002D4C45"/>
    <w:rsid w:val="002D546D"/>
    <w:rsid w:val="002D7163"/>
    <w:rsid w:val="002E275B"/>
    <w:rsid w:val="002E36E9"/>
    <w:rsid w:val="002F0393"/>
    <w:rsid w:val="002F1529"/>
    <w:rsid w:val="002F34D0"/>
    <w:rsid w:val="002F5AEF"/>
    <w:rsid w:val="0030243E"/>
    <w:rsid w:val="0030261C"/>
    <w:rsid w:val="0030266F"/>
    <w:rsid w:val="0030271C"/>
    <w:rsid w:val="00306F87"/>
    <w:rsid w:val="00307853"/>
    <w:rsid w:val="00307C9F"/>
    <w:rsid w:val="003103D5"/>
    <w:rsid w:val="00311630"/>
    <w:rsid w:val="0031324B"/>
    <w:rsid w:val="00315A53"/>
    <w:rsid w:val="00315F25"/>
    <w:rsid w:val="00316CC7"/>
    <w:rsid w:val="003174C8"/>
    <w:rsid w:val="0032346E"/>
    <w:rsid w:val="003301C3"/>
    <w:rsid w:val="0033078D"/>
    <w:rsid w:val="00332D8E"/>
    <w:rsid w:val="00336138"/>
    <w:rsid w:val="0034265B"/>
    <w:rsid w:val="00342FD2"/>
    <w:rsid w:val="00344640"/>
    <w:rsid w:val="00345321"/>
    <w:rsid w:val="00355C04"/>
    <w:rsid w:val="00357C3F"/>
    <w:rsid w:val="00361B3A"/>
    <w:rsid w:val="00364EDF"/>
    <w:rsid w:val="003650DD"/>
    <w:rsid w:val="00365231"/>
    <w:rsid w:val="00365E34"/>
    <w:rsid w:val="00373D87"/>
    <w:rsid w:val="003743EB"/>
    <w:rsid w:val="003759B8"/>
    <w:rsid w:val="00376593"/>
    <w:rsid w:val="00377695"/>
    <w:rsid w:val="0038088D"/>
    <w:rsid w:val="003817D0"/>
    <w:rsid w:val="0038319B"/>
    <w:rsid w:val="00383C37"/>
    <w:rsid w:val="00385A48"/>
    <w:rsid w:val="003878A3"/>
    <w:rsid w:val="00391028"/>
    <w:rsid w:val="00391F65"/>
    <w:rsid w:val="003972D0"/>
    <w:rsid w:val="00397A47"/>
    <w:rsid w:val="003A01ED"/>
    <w:rsid w:val="003A0A22"/>
    <w:rsid w:val="003A38E5"/>
    <w:rsid w:val="003A44ED"/>
    <w:rsid w:val="003A7CB2"/>
    <w:rsid w:val="003B1FD1"/>
    <w:rsid w:val="003C02CA"/>
    <w:rsid w:val="003C0612"/>
    <w:rsid w:val="003C3AC4"/>
    <w:rsid w:val="003C3B64"/>
    <w:rsid w:val="003C5472"/>
    <w:rsid w:val="003C64C3"/>
    <w:rsid w:val="003D0174"/>
    <w:rsid w:val="003D11E6"/>
    <w:rsid w:val="003D1694"/>
    <w:rsid w:val="003D2DAA"/>
    <w:rsid w:val="003D3822"/>
    <w:rsid w:val="003D3D14"/>
    <w:rsid w:val="003E11C1"/>
    <w:rsid w:val="003E143A"/>
    <w:rsid w:val="003F217A"/>
    <w:rsid w:val="003F4B75"/>
    <w:rsid w:val="004034BB"/>
    <w:rsid w:val="00403E6D"/>
    <w:rsid w:val="004061E1"/>
    <w:rsid w:val="00406711"/>
    <w:rsid w:val="0040705D"/>
    <w:rsid w:val="00407385"/>
    <w:rsid w:val="0041166B"/>
    <w:rsid w:val="00414428"/>
    <w:rsid w:val="00414FA7"/>
    <w:rsid w:val="0041616D"/>
    <w:rsid w:val="0042358E"/>
    <w:rsid w:val="00423F3F"/>
    <w:rsid w:val="004255F7"/>
    <w:rsid w:val="004266A6"/>
    <w:rsid w:val="0043044E"/>
    <w:rsid w:val="00437899"/>
    <w:rsid w:val="00437903"/>
    <w:rsid w:val="00437F27"/>
    <w:rsid w:val="004421F9"/>
    <w:rsid w:val="00446F20"/>
    <w:rsid w:val="0044700C"/>
    <w:rsid w:val="00450146"/>
    <w:rsid w:val="00455251"/>
    <w:rsid w:val="00455CFB"/>
    <w:rsid w:val="00457C3C"/>
    <w:rsid w:val="00460046"/>
    <w:rsid w:val="00461BC5"/>
    <w:rsid w:val="00462B0E"/>
    <w:rsid w:val="00462CE7"/>
    <w:rsid w:val="00464362"/>
    <w:rsid w:val="004646C7"/>
    <w:rsid w:val="00464737"/>
    <w:rsid w:val="00465E5C"/>
    <w:rsid w:val="0046604A"/>
    <w:rsid w:val="00470AAF"/>
    <w:rsid w:val="004767C7"/>
    <w:rsid w:val="00483530"/>
    <w:rsid w:val="00487506"/>
    <w:rsid w:val="0049003F"/>
    <w:rsid w:val="004A14D0"/>
    <w:rsid w:val="004A5CC3"/>
    <w:rsid w:val="004A6455"/>
    <w:rsid w:val="004B1036"/>
    <w:rsid w:val="004B2DFD"/>
    <w:rsid w:val="004B4750"/>
    <w:rsid w:val="004B488A"/>
    <w:rsid w:val="004B5866"/>
    <w:rsid w:val="004B664A"/>
    <w:rsid w:val="004B78E9"/>
    <w:rsid w:val="004C250B"/>
    <w:rsid w:val="004C4483"/>
    <w:rsid w:val="004C6853"/>
    <w:rsid w:val="004C69A5"/>
    <w:rsid w:val="004D05DD"/>
    <w:rsid w:val="004D2A1E"/>
    <w:rsid w:val="004D5D77"/>
    <w:rsid w:val="004D60D6"/>
    <w:rsid w:val="004D6786"/>
    <w:rsid w:val="004E2327"/>
    <w:rsid w:val="004E2340"/>
    <w:rsid w:val="004E3D04"/>
    <w:rsid w:val="004E5688"/>
    <w:rsid w:val="004E69D5"/>
    <w:rsid w:val="004E6A7B"/>
    <w:rsid w:val="004F264C"/>
    <w:rsid w:val="004F4772"/>
    <w:rsid w:val="004F6998"/>
    <w:rsid w:val="00502CBB"/>
    <w:rsid w:val="00504DCB"/>
    <w:rsid w:val="00505533"/>
    <w:rsid w:val="00506198"/>
    <w:rsid w:val="00506C8F"/>
    <w:rsid w:val="0050783D"/>
    <w:rsid w:val="00511A25"/>
    <w:rsid w:val="00515E6F"/>
    <w:rsid w:val="005173A0"/>
    <w:rsid w:val="00526E8A"/>
    <w:rsid w:val="0052710B"/>
    <w:rsid w:val="00532736"/>
    <w:rsid w:val="0053629C"/>
    <w:rsid w:val="00536B64"/>
    <w:rsid w:val="005406AF"/>
    <w:rsid w:val="0054227E"/>
    <w:rsid w:val="00542B85"/>
    <w:rsid w:val="0054655E"/>
    <w:rsid w:val="00555CDD"/>
    <w:rsid w:val="00556A13"/>
    <w:rsid w:val="005575CF"/>
    <w:rsid w:val="005636DA"/>
    <w:rsid w:val="0056548D"/>
    <w:rsid w:val="00565B87"/>
    <w:rsid w:val="00565F9C"/>
    <w:rsid w:val="00567429"/>
    <w:rsid w:val="00567E60"/>
    <w:rsid w:val="00570B67"/>
    <w:rsid w:val="005767DC"/>
    <w:rsid w:val="005829C4"/>
    <w:rsid w:val="005863B9"/>
    <w:rsid w:val="00587A6C"/>
    <w:rsid w:val="005963DF"/>
    <w:rsid w:val="005979B7"/>
    <w:rsid w:val="005A02FE"/>
    <w:rsid w:val="005A0A05"/>
    <w:rsid w:val="005A1E00"/>
    <w:rsid w:val="005A4813"/>
    <w:rsid w:val="005A4C0C"/>
    <w:rsid w:val="005A4ECC"/>
    <w:rsid w:val="005A5297"/>
    <w:rsid w:val="005B237F"/>
    <w:rsid w:val="005B583D"/>
    <w:rsid w:val="005C0702"/>
    <w:rsid w:val="005C10FC"/>
    <w:rsid w:val="005C2496"/>
    <w:rsid w:val="005C2617"/>
    <w:rsid w:val="005C7EA0"/>
    <w:rsid w:val="005D773F"/>
    <w:rsid w:val="005D77D7"/>
    <w:rsid w:val="005E01FA"/>
    <w:rsid w:val="005E31D4"/>
    <w:rsid w:val="005E36E5"/>
    <w:rsid w:val="005E3876"/>
    <w:rsid w:val="005E6B1D"/>
    <w:rsid w:val="005E6E38"/>
    <w:rsid w:val="005F04E9"/>
    <w:rsid w:val="005F45FE"/>
    <w:rsid w:val="005F706E"/>
    <w:rsid w:val="006006F0"/>
    <w:rsid w:val="0060261F"/>
    <w:rsid w:val="00604630"/>
    <w:rsid w:val="00606800"/>
    <w:rsid w:val="006073DC"/>
    <w:rsid w:val="0060783B"/>
    <w:rsid w:val="00611565"/>
    <w:rsid w:val="006131FB"/>
    <w:rsid w:val="00614120"/>
    <w:rsid w:val="00614168"/>
    <w:rsid w:val="00614616"/>
    <w:rsid w:val="006155A4"/>
    <w:rsid w:val="006155D9"/>
    <w:rsid w:val="0061597C"/>
    <w:rsid w:val="00625126"/>
    <w:rsid w:val="00625D6A"/>
    <w:rsid w:val="00631390"/>
    <w:rsid w:val="00631E73"/>
    <w:rsid w:val="00632A83"/>
    <w:rsid w:val="00632EF3"/>
    <w:rsid w:val="00635064"/>
    <w:rsid w:val="006375A9"/>
    <w:rsid w:val="00644219"/>
    <w:rsid w:val="0064747D"/>
    <w:rsid w:val="00650DEB"/>
    <w:rsid w:val="00656D3C"/>
    <w:rsid w:val="0066119C"/>
    <w:rsid w:val="00665C3A"/>
    <w:rsid w:val="00666E90"/>
    <w:rsid w:val="00673755"/>
    <w:rsid w:val="0067610A"/>
    <w:rsid w:val="006763BF"/>
    <w:rsid w:val="00680D8A"/>
    <w:rsid w:val="00682D40"/>
    <w:rsid w:val="00683761"/>
    <w:rsid w:val="00684B67"/>
    <w:rsid w:val="006857C3"/>
    <w:rsid w:val="00695FE0"/>
    <w:rsid w:val="00697A80"/>
    <w:rsid w:val="006A1B16"/>
    <w:rsid w:val="006A382A"/>
    <w:rsid w:val="006B259B"/>
    <w:rsid w:val="006B5181"/>
    <w:rsid w:val="006B5FBC"/>
    <w:rsid w:val="006B735C"/>
    <w:rsid w:val="006C06F4"/>
    <w:rsid w:val="006C18F5"/>
    <w:rsid w:val="006C5B7C"/>
    <w:rsid w:val="006D458A"/>
    <w:rsid w:val="006D5C32"/>
    <w:rsid w:val="006E0228"/>
    <w:rsid w:val="006E0B6D"/>
    <w:rsid w:val="006E6706"/>
    <w:rsid w:val="006F156D"/>
    <w:rsid w:val="006F3382"/>
    <w:rsid w:val="006F4700"/>
    <w:rsid w:val="006F4D09"/>
    <w:rsid w:val="006F6556"/>
    <w:rsid w:val="00701B64"/>
    <w:rsid w:val="00702529"/>
    <w:rsid w:val="00704351"/>
    <w:rsid w:val="00710289"/>
    <w:rsid w:val="0071037B"/>
    <w:rsid w:val="0071175F"/>
    <w:rsid w:val="00715CDB"/>
    <w:rsid w:val="0072405C"/>
    <w:rsid w:val="007319EF"/>
    <w:rsid w:val="0073503E"/>
    <w:rsid w:val="00736D16"/>
    <w:rsid w:val="0074022E"/>
    <w:rsid w:val="00740687"/>
    <w:rsid w:val="00740BB8"/>
    <w:rsid w:val="00742549"/>
    <w:rsid w:val="007532DD"/>
    <w:rsid w:val="00753E67"/>
    <w:rsid w:val="00753F83"/>
    <w:rsid w:val="00754B1C"/>
    <w:rsid w:val="0076007B"/>
    <w:rsid w:val="00760336"/>
    <w:rsid w:val="00760F2E"/>
    <w:rsid w:val="00762E81"/>
    <w:rsid w:val="00765FC1"/>
    <w:rsid w:val="00766732"/>
    <w:rsid w:val="007744BA"/>
    <w:rsid w:val="00775FEE"/>
    <w:rsid w:val="00782EAC"/>
    <w:rsid w:val="00783DF8"/>
    <w:rsid w:val="00784713"/>
    <w:rsid w:val="00790098"/>
    <w:rsid w:val="00793845"/>
    <w:rsid w:val="00794415"/>
    <w:rsid w:val="00797937"/>
    <w:rsid w:val="007A0C5D"/>
    <w:rsid w:val="007A2165"/>
    <w:rsid w:val="007A48B8"/>
    <w:rsid w:val="007A7AC3"/>
    <w:rsid w:val="007B5C90"/>
    <w:rsid w:val="007C0CFD"/>
    <w:rsid w:val="007C1A0B"/>
    <w:rsid w:val="007C6A5C"/>
    <w:rsid w:val="007C6F7F"/>
    <w:rsid w:val="007D09B6"/>
    <w:rsid w:val="007D1D62"/>
    <w:rsid w:val="007D2D4C"/>
    <w:rsid w:val="007D5A75"/>
    <w:rsid w:val="007E5190"/>
    <w:rsid w:val="007E56BF"/>
    <w:rsid w:val="007F1CE2"/>
    <w:rsid w:val="007F53E9"/>
    <w:rsid w:val="00801044"/>
    <w:rsid w:val="00801280"/>
    <w:rsid w:val="00802F38"/>
    <w:rsid w:val="0080432F"/>
    <w:rsid w:val="00804500"/>
    <w:rsid w:val="00804C93"/>
    <w:rsid w:val="00810F16"/>
    <w:rsid w:val="008121E3"/>
    <w:rsid w:val="00812746"/>
    <w:rsid w:val="0081434E"/>
    <w:rsid w:val="0082370C"/>
    <w:rsid w:val="008241D4"/>
    <w:rsid w:val="008244BD"/>
    <w:rsid w:val="00827088"/>
    <w:rsid w:val="008309A7"/>
    <w:rsid w:val="00834D00"/>
    <w:rsid w:val="008358A4"/>
    <w:rsid w:val="00843E40"/>
    <w:rsid w:val="00846FEC"/>
    <w:rsid w:val="0084756B"/>
    <w:rsid w:val="00852ACC"/>
    <w:rsid w:val="00853B67"/>
    <w:rsid w:val="00853EA9"/>
    <w:rsid w:val="00854F0E"/>
    <w:rsid w:val="008558FE"/>
    <w:rsid w:val="00856CFD"/>
    <w:rsid w:val="0085799E"/>
    <w:rsid w:val="00862938"/>
    <w:rsid w:val="00862C9D"/>
    <w:rsid w:val="00867E41"/>
    <w:rsid w:val="00870398"/>
    <w:rsid w:val="008717D1"/>
    <w:rsid w:val="008725B6"/>
    <w:rsid w:val="00872A78"/>
    <w:rsid w:val="00873E77"/>
    <w:rsid w:val="00875709"/>
    <w:rsid w:val="008809EE"/>
    <w:rsid w:val="00880F3C"/>
    <w:rsid w:val="00881395"/>
    <w:rsid w:val="00882E03"/>
    <w:rsid w:val="00887A45"/>
    <w:rsid w:val="0089277B"/>
    <w:rsid w:val="00893DC9"/>
    <w:rsid w:val="00894F9B"/>
    <w:rsid w:val="00895B8E"/>
    <w:rsid w:val="00895DFC"/>
    <w:rsid w:val="008A234C"/>
    <w:rsid w:val="008A3F53"/>
    <w:rsid w:val="008B17E2"/>
    <w:rsid w:val="008B5EB5"/>
    <w:rsid w:val="008B7941"/>
    <w:rsid w:val="008C6C7D"/>
    <w:rsid w:val="008D275D"/>
    <w:rsid w:val="008D369C"/>
    <w:rsid w:val="008D6B16"/>
    <w:rsid w:val="008D712C"/>
    <w:rsid w:val="008E0827"/>
    <w:rsid w:val="008E1689"/>
    <w:rsid w:val="008E295A"/>
    <w:rsid w:val="008E30F7"/>
    <w:rsid w:val="008E4620"/>
    <w:rsid w:val="008E5E04"/>
    <w:rsid w:val="008F5683"/>
    <w:rsid w:val="008F7C85"/>
    <w:rsid w:val="008F7F58"/>
    <w:rsid w:val="009007C9"/>
    <w:rsid w:val="00900E15"/>
    <w:rsid w:val="00906E94"/>
    <w:rsid w:val="00906F56"/>
    <w:rsid w:val="00907BA1"/>
    <w:rsid w:val="009102CB"/>
    <w:rsid w:val="00910C6F"/>
    <w:rsid w:val="00912CBC"/>
    <w:rsid w:val="00913EF2"/>
    <w:rsid w:val="009169B2"/>
    <w:rsid w:val="009204D8"/>
    <w:rsid w:val="0092073D"/>
    <w:rsid w:val="00924243"/>
    <w:rsid w:val="009248FA"/>
    <w:rsid w:val="0092681A"/>
    <w:rsid w:val="00927C05"/>
    <w:rsid w:val="009304E4"/>
    <w:rsid w:val="009317BE"/>
    <w:rsid w:val="0093434A"/>
    <w:rsid w:val="009372CE"/>
    <w:rsid w:val="00942C1E"/>
    <w:rsid w:val="00942EBF"/>
    <w:rsid w:val="009434A0"/>
    <w:rsid w:val="0094766D"/>
    <w:rsid w:val="00950319"/>
    <w:rsid w:val="009512D1"/>
    <w:rsid w:val="00951B8A"/>
    <w:rsid w:val="00952317"/>
    <w:rsid w:val="009530C4"/>
    <w:rsid w:val="00954004"/>
    <w:rsid w:val="00954B6A"/>
    <w:rsid w:val="00956150"/>
    <w:rsid w:val="00957000"/>
    <w:rsid w:val="00961A59"/>
    <w:rsid w:val="0096457D"/>
    <w:rsid w:val="00966BD9"/>
    <w:rsid w:val="00975A20"/>
    <w:rsid w:val="00976CD7"/>
    <w:rsid w:val="00984707"/>
    <w:rsid w:val="009957D9"/>
    <w:rsid w:val="009A19A3"/>
    <w:rsid w:val="009B0CCF"/>
    <w:rsid w:val="009B3D14"/>
    <w:rsid w:val="009B5C2F"/>
    <w:rsid w:val="009B604A"/>
    <w:rsid w:val="009C11B6"/>
    <w:rsid w:val="009C14C9"/>
    <w:rsid w:val="009C6766"/>
    <w:rsid w:val="009D159B"/>
    <w:rsid w:val="009D2965"/>
    <w:rsid w:val="009D481E"/>
    <w:rsid w:val="009D5B68"/>
    <w:rsid w:val="009E0556"/>
    <w:rsid w:val="009E3D00"/>
    <w:rsid w:val="009E426D"/>
    <w:rsid w:val="009E6852"/>
    <w:rsid w:val="009E6881"/>
    <w:rsid w:val="00A006E4"/>
    <w:rsid w:val="00A024A6"/>
    <w:rsid w:val="00A06D37"/>
    <w:rsid w:val="00A0747B"/>
    <w:rsid w:val="00A133EF"/>
    <w:rsid w:val="00A13DA1"/>
    <w:rsid w:val="00A14DA5"/>
    <w:rsid w:val="00A17211"/>
    <w:rsid w:val="00A2011E"/>
    <w:rsid w:val="00A202AD"/>
    <w:rsid w:val="00A22A66"/>
    <w:rsid w:val="00A2426B"/>
    <w:rsid w:val="00A24CA6"/>
    <w:rsid w:val="00A3349D"/>
    <w:rsid w:val="00A34649"/>
    <w:rsid w:val="00A354BA"/>
    <w:rsid w:val="00A35B6F"/>
    <w:rsid w:val="00A36782"/>
    <w:rsid w:val="00A36784"/>
    <w:rsid w:val="00A44692"/>
    <w:rsid w:val="00A50051"/>
    <w:rsid w:val="00A51DF0"/>
    <w:rsid w:val="00A53C73"/>
    <w:rsid w:val="00A61120"/>
    <w:rsid w:val="00A619FF"/>
    <w:rsid w:val="00A631C3"/>
    <w:rsid w:val="00A65E10"/>
    <w:rsid w:val="00A71028"/>
    <w:rsid w:val="00A7714F"/>
    <w:rsid w:val="00A77CE2"/>
    <w:rsid w:val="00A809E8"/>
    <w:rsid w:val="00A80A32"/>
    <w:rsid w:val="00A839CE"/>
    <w:rsid w:val="00A83FE5"/>
    <w:rsid w:val="00A851A0"/>
    <w:rsid w:val="00A9213D"/>
    <w:rsid w:val="00A94CEC"/>
    <w:rsid w:val="00A95D4F"/>
    <w:rsid w:val="00A96B2C"/>
    <w:rsid w:val="00A96F08"/>
    <w:rsid w:val="00A97233"/>
    <w:rsid w:val="00AA171A"/>
    <w:rsid w:val="00AA516D"/>
    <w:rsid w:val="00AB06B2"/>
    <w:rsid w:val="00AB11A8"/>
    <w:rsid w:val="00AB4E04"/>
    <w:rsid w:val="00AB50D1"/>
    <w:rsid w:val="00AC1E7A"/>
    <w:rsid w:val="00AC4743"/>
    <w:rsid w:val="00AC5DEB"/>
    <w:rsid w:val="00AD28B6"/>
    <w:rsid w:val="00AD3925"/>
    <w:rsid w:val="00AD3F94"/>
    <w:rsid w:val="00AD465C"/>
    <w:rsid w:val="00AD55EB"/>
    <w:rsid w:val="00AE03DB"/>
    <w:rsid w:val="00AE1CBA"/>
    <w:rsid w:val="00AE3BE3"/>
    <w:rsid w:val="00AE3E3D"/>
    <w:rsid w:val="00AE5729"/>
    <w:rsid w:val="00B0054C"/>
    <w:rsid w:val="00B01AC2"/>
    <w:rsid w:val="00B03D4C"/>
    <w:rsid w:val="00B04FF9"/>
    <w:rsid w:val="00B05E32"/>
    <w:rsid w:val="00B10E53"/>
    <w:rsid w:val="00B137E4"/>
    <w:rsid w:val="00B146C2"/>
    <w:rsid w:val="00B15DD6"/>
    <w:rsid w:val="00B16E68"/>
    <w:rsid w:val="00B175BF"/>
    <w:rsid w:val="00B305E8"/>
    <w:rsid w:val="00B30B69"/>
    <w:rsid w:val="00B32EB7"/>
    <w:rsid w:val="00B35031"/>
    <w:rsid w:val="00B35D4F"/>
    <w:rsid w:val="00B4044A"/>
    <w:rsid w:val="00B406CA"/>
    <w:rsid w:val="00B40D51"/>
    <w:rsid w:val="00B4440D"/>
    <w:rsid w:val="00B44D6D"/>
    <w:rsid w:val="00B46B1D"/>
    <w:rsid w:val="00B51094"/>
    <w:rsid w:val="00B51C24"/>
    <w:rsid w:val="00B53572"/>
    <w:rsid w:val="00B535B3"/>
    <w:rsid w:val="00B56745"/>
    <w:rsid w:val="00B57910"/>
    <w:rsid w:val="00B60166"/>
    <w:rsid w:val="00B65229"/>
    <w:rsid w:val="00B6527E"/>
    <w:rsid w:val="00B71544"/>
    <w:rsid w:val="00B74036"/>
    <w:rsid w:val="00B75015"/>
    <w:rsid w:val="00B80883"/>
    <w:rsid w:val="00B82B95"/>
    <w:rsid w:val="00B9433C"/>
    <w:rsid w:val="00B9785A"/>
    <w:rsid w:val="00BA01F5"/>
    <w:rsid w:val="00BA0B76"/>
    <w:rsid w:val="00BA527D"/>
    <w:rsid w:val="00BA7206"/>
    <w:rsid w:val="00BB0E76"/>
    <w:rsid w:val="00BB1F43"/>
    <w:rsid w:val="00BB3BE1"/>
    <w:rsid w:val="00BB3DF7"/>
    <w:rsid w:val="00BB7670"/>
    <w:rsid w:val="00BC09E2"/>
    <w:rsid w:val="00BC307F"/>
    <w:rsid w:val="00BC6509"/>
    <w:rsid w:val="00BD02B8"/>
    <w:rsid w:val="00BD2F59"/>
    <w:rsid w:val="00BD4EAA"/>
    <w:rsid w:val="00BD7BD0"/>
    <w:rsid w:val="00BE191B"/>
    <w:rsid w:val="00BE1BC3"/>
    <w:rsid w:val="00BE67FC"/>
    <w:rsid w:val="00BE7AEB"/>
    <w:rsid w:val="00BF0A25"/>
    <w:rsid w:val="00BF101D"/>
    <w:rsid w:val="00BF14A2"/>
    <w:rsid w:val="00BF1C57"/>
    <w:rsid w:val="00BF40E0"/>
    <w:rsid w:val="00BF59A5"/>
    <w:rsid w:val="00C0056B"/>
    <w:rsid w:val="00C00D9A"/>
    <w:rsid w:val="00C06765"/>
    <w:rsid w:val="00C10F8A"/>
    <w:rsid w:val="00C12BA8"/>
    <w:rsid w:val="00C139F6"/>
    <w:rsid w:val="00C14251"/>
    <w:rsid w:val="00C154A3"/>
    <w:rsid w:val="00C17384"/>
    <w:rsid w:val="00C177F7"/>
    <w:rsid w:val="00C24CAC"/>
    <w:rsid w:val="00C26D88"/>
    <w:rsid w:val="00C26F5F"/>
    <w:rsid w:val="00C27410"/>
    <w:rsid w:val="00C31466"/>
    <w:rsid w:val="00C31F4E"/>
    <w:rsid w:val="00C349B1"/>
    <w:rsid w:val="00C362E0"/>
    <w:rsid w:val="00C37A7F"/>
    <w:rsid w:val="00C412CB"/>
    <w:rsid w:val="00C41755"/>
    <w:rsid w:val="00C42949"/>
    <w:rsid w:val="00C44084"/>
    <w:rsid w:val="00C47AB0"/>
    <w:rsid w:val="00C50480"/>
    <w:rsid w:val="00C51825"/>
    <w:rsid w:val="00C536DA"/>
    <w:rsid w:val="00C53B28"/>
    <w:rsid w:val="00C54653"/>
    <w:rsid w:val="00C56B2F"/>
    <w:rsid w:val="00C603B5"/>
    <w:rsid w:val="00C61188"/>
    <w:rsid w:val="00C6246C"/>
    <w:rsid w:val="00C628B8"/>
    <w:rsid w:val="00C6379B"/>
    <w:rsid w:val="00C63E9F"/>
    <w:rsid w:val="00C647E3"/>
    <w:rsid w:val="00C65947"/>
    <w:rsid w:val="00C65DC8"/>
    <w:rsid w:val="00C65F2B"/>
    <w:rsid w:val="00C66AF5"/>
    <w:rsid w:val="00C70EDB"/>
    <w:rsid w:val="00C75AAD"/>
    <w:rsid w:val="00C75F33"/>
    <w:rsid w:val="00C8068F"/>
    <w:rsid w:val="00C82DE8"/>
    <w:rsid w:val="00C8547A"/>
    <w:rsid w:val="00C85871"/>
    <w:rsid w:val="00C86E18"/>
    <w:rsid w:val="00C9110A"/>
    <w:rsid w:val="00C92809"/>
    <w:rsid w:val="00C93231"/>
    <w:rsid w:val="00C9516D"/>
    <w:rsid w:val="00CA0B39"/>
    <w:rsid w:val="00CA2160"/>
    <w:rsid w:val="00CA5223"/>
    <w:rsid w:val="00CA784C"/>
    <w:rsid w:val="00CB02D9"/>
    <w:rsid w:val="00CB11F9"/>
    <w:rsid w:val="00CB381D"/>
    <w:rsid w:val="00CB4D21"/>
    <w:rsid w:val="00CB4FFA"/>
    <w:rsid w:val="00CB53DC"/>
    <w:rsid w:val="00CB6D0D"/>
    <w:rsid w:val="00CB76E0"/>
    <w:rsid w:val="00CC0192"/>
    <w:rsid w:val="00CC14EF"/>
    <w:rsid w:val="00CC1C29"/>
    <w:rsid w:val="00CC1E87"/>
    <w:rsid w:val="00CC2A52"/>
    <w:rsid w:val="00CC5DED"/>
    <w:rsid w:val="00CC6B41"/>
    <w:rsid w:val="00CD2B19"/>
    <w:rsid w:val="00CE35CB"/>
    <w:rsid w:val="00CE38AA"/>
    <w:rsid w:val="00CE4537"/>
    <w:rsid w:val="00CE472B"/>
    <w:rsid w:val="00CE5D8C"/>
    <w:rsid w:val="00CE618C"/>
    <w:rsid w:val="00CE798D"/>
    <w:rsid w:val="00CF3328"/>
    <w:rsid w:val="00CF46C6"/>
    <w:rsid w:val="00CF4B84"/>
    <w:rsid w:val="00CF5829"/>
    <w:rsid w:val="00D03AC2"/>
    <w:rsid w:val="00D05DC4"/>
    <w:rsid w:val="00D10E6F"/>
    <w:rsid w:val="00D12908"/>
    <w:rsid w:val="00D13817"/>
    <w:rsid w:val="00D13BBB"/>
    <w:rsid w:val="00D16615"/>
    <w:rsid w:val="00D16E75"/>
    <w:rsid w:val="00D22BB7"/>
    <w:rsid w:val="00D23518"/>
    <w:rsid w:val="00D24E02"/>
    <w:rsid w:val="00D26C51"/>
    <w:rsid w:val="00D2763E"/>
    <w:rsid w:val="00D27EC5"/>
    <w:rsid w:val="00D3683B"/>
    <w:rsid w:val="00D43DD8"/>
    <w:rsid w:val="00D44B64"/>
    <w:rsid w:val="00D44D01"/>
    <w:rsid w:val="00D53DDE"/>
    <w:rsid w:val="00D54B50"/>
    <w:rsid w:val="00D5544B"/>
    <w:rsid w:val="00D60BFA"/>
    <w:rsid w:val="00D624A9"/>
    <w:rsid w:val="00D66B95"/>
    <w:rsid w:val="00D7107A"/>
    <w:rsid w:val="00D73DB0"/>
    <w:rsid w:val="00D77B8B"/>
    <w:rsid w:val="00D81502"/>
    <w:rsid w:val="00D81AFE"/>
    <w:rsid w:val="00D8230C"/>
    <w:rsid w:val="00D83E4E"/>
    <w:rsid w:val="00D90460"/>
    <w:rsid w:val="00D942D6"/>
    <w:rsid w:val="00D96C3A"/>
    <w:rsid w:val="00DA140E"/>
    <w:rsid w:val="00DA3807"/>
    <w:rsid w:val="00DA3CDA"/>
    <w:rsid w:val="00DA4E5B"/>
    <w:rsid w:val="00DA54A4"/>
    <w:rsid w:val="00DA59A4"/>
    <w:rsid w:val="00DB3015"/>
    <w:rsid w:val="00DB3F21"/>
    <w:rsid w:val="00DB4165"/>
    <w:rsid w:val="00DB5863"/>
    <w:rsid w:val="00DC0183"/>
    <w:rsid w:val="00DC126C"/>
    <w:rsid w:val="00DC3976"/>
    <w:rsid w:val="00DC4F7A"/>
    <w:rsid w:val="00DC7447"/>
    <w:rsid w:val="00DC753D"/>
    <w:rsid w:val="00DD1E56"/>
    <w:rsid w:val="00DD2889"/>
    <w:rsid w:val="00DE0F4E"/>
    <w:rsid w:val="00DE3F4B"/>
    <w:rsid w:val="00DE56B0"/>
    <w:rsid w:val="00DE5E68"/>
    <w:rsid w:val="00DF0EE0"/>
    <w:rsid w:val="00DF15FA"/>
    <w:rsid w:val="00DF3C74"/>
    <w:rsid w:val="00DF422D"/>
    <w:rsid w:val="00E0245E"/>
    <w:rsid w:val="00E027A8"/>
    <w:rsid w:val="00E050E4"/>
    <w:rsid w:val="00E11E73"/>
    <w:rsid w:val="00E133A7"/>
    <w:rsid w:val="00E1482A"/>
    <w:rsid w:val="00E166F6"/>
    <w:rsid w:val="00E170B5"/>
    <w:rsid w:val="00E17896"/>
    <w:rsid w:val="00E24969"/>
    <w:rsid w:val="00E2574B"/>
    <w:rsid w:val="00E25C23"/>
    <w:rsid w:val="00E26DE2"/>
    <w:rsid w:val="00E2775A"/>
    <w:rsid w:val="00E316C7"/>
    <w:rsid w:val="00E31C3C"/>
    <w:rsid w:val="00E34809"/>
    <w:rsid w:val="00E37546"/>
    <w:rsid w:val="00E37C44"/>
    <w:rsid w:val="00E40121"/>
    <w:rsid w:val="00E42314"/>
    <w:rsid w:val="00E5058C"/>
    <w:rsid w:val="00E55E83"/>
    <w:rsid w:val="00E569AB"/>
    <w:rsid w:val="00E570CD"/>
    <w:rsid w:val="00E63AA9"/>
    <w:rsid w:val="00E65B5D"/>
    <w:rsid w:val="00E71874"/>
    <w:rsid w:val="00E72523"/>
    <w:rsid w:val="00E72941"/>
    <w:rsid w:val="00E73476"/>
    <w:rsid w:val="00E77E0B"/>
    <w:rsid w:val="00E8072C"/>
    <w:rsid w:val="00E80A0B"/>
    <w:rsid w:val="00E82A2B"/>
    <w:rsid w:val="00E85B9C"/>
    <w:rsid w:val="00E91859"/>
    <w:rsid w:val="00E94B31"/>
    <w:rsid w:val="00E94CFA"/>
    <w:rsid w:val="00E94D0A"/>
    <w:rsid w:val="00E973D4"/>
    <w:rsid w:val="00EA1460"/>
    <w:rsid w:val="00EA1B12"/>
    <w:rsid w:val="00EA36EB"/>
    <w:rsid w:val="00EA4D8D"/>
    <w:rsid w:val="00EA5366"/>
    <w:rsid w:val="00EB6E69"/>
    <w:rsid w:val="00EB6FFF"/>
    <w:rsid w:val="00EB7273"/>
    <w:rsid w:val="00EB757F"/>
    <w:rsid w:val="00EB783F"/>
    <w:rsid w:val="00EB7D35"/>
    <w:rsid w:val="00EC4C19"/>
    <w:rsid w:val="00EC56F9"/>
    <w:rsid w:val="00ED07AB"/>
    <w:rsid w:val="00ED0895"/>
    <w:rsid w:val="00ED20E4"/>
    <w:rsid w:val="00ED33FB"/>
    <w:rsid w:val="00ED4DDE"/>
    <w:rsid w:val="00ED673A"/>
    <w:rsid w:val="00ED71B9"/>
    <w:rsid w:val="00EE173B"/>
    <w:rsid w:val="00EF66F6"/>
    <w:rsid w:val="00F0036C"/>
    <w:rsid w:val="00F07F5E"/>
    <w:rsid w:val="00F12628"/>
    <w:rsid w:val="00F204B5"/>
    <w:rsid w:val="00F22B9A"/>
    <w:rsid w:val="00F23FB7"/>
    <w:rsid w:val="00F27178"/>
    <w:rsid w:val="00F27FF0"/>
    <w:rsid w:val="00F33259"/>
    <w:rsid w:val="00F41511"/>
    <w:rsid w:val="00F42CAA"/>
    <w:rsid w:val="00F53FEB"/>
    <w:rsid w:val="00F54617"/>
    <w:rsid w:val="00F5672A"/>
    <w:rsid w:val="00F62AAD"/>
    <w:rsid w:val="00F649E8"/>
    <w:rsid w:val="00F67005"/>
    <w:rsid w:val="00F67608"/>
    <w:rsid w:val="00F7019C"/>
    <w:rsid w:val="00F72930"/>
    <w:rsid w:val="00F74888"/>
    <w:rsid w:val="00F802EE"/>
    <w:rsid w:val="00F84D06"/>
    <w:rsid w:val="00F85665"/>
    <w:rsid w:val="00F85E94"/>
    <w:rsid w:val="00F9344C"/>
    <w:rsid w:val="00F96D66"/>
    <w:rsid w:val="00F97FB4"/>
    <w:rsid w:val="00FA1A66"/>
    <w:rsid w:val="00FA487E"/>
    <w:rsid w:val="00FA697F"/>
    <w:rsid w:val="00FB049A"/>
    <w:rsid w:val="00FB0CD9"/>
    <w:rsid w:val="00FB1D60"/>
    <w:rsid w:val="00FB3CDD"/>
    <w:rsid w:val="00FB5087"/>
    <w:rsid w:val="00FC145A"/>
    <w:rsid w:val="00FC3525"/>
    <w:rsid w:val="00FC4200"/>
    <w:rsid w:val="00FC4C8E"/>
    <w:rsid w:val="00FC5EC5"/>
    <w:rsid w:val="00FD1223"/>
    <w:rsid w:val="00FD13A1"/>
    <w:rsid w:val="00FD5FAF"/>
    <w:rsid w:val="00FD7AD9"/>
    <w:rsid w:val="00FE5130"/>
    <w:rsid w:val="00FE5F94"/>
    <w:rsid w:val="00FE767D"/>
    <w:rsid w:val="00FF25CB"/>
    <w:rsid w:val="00FF3440"/>
    <w:rsid w:val="00FF578C"/>
    <w:rsid w:val="00FF5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7A2A"/>
  <w15:docId w15:val="{3E1061E6-52CC-402D-8904-C52F82B19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rPr>
  </w:style>
  <w:style w:type="paragraph" w:styleId="Heading1">
    <w:name w:val="heading 1"/>
    <w:basedOn w:val="Normal"/>
    <w:link w:val="Heading1Char"/>
    <w:uiPriority w:val="9"/>
    <w:qFormat/>
    <w:rsid w:val="00E85B9C"/>
    <w:pPr>
      <w:spacing w:before="240" w:after="240"/>
      <w:outlineLvl w:val="0"/>
    </w:pPr>
    <w:rPr>
      <w:b/>
      <w:bCs/>
      <w:sz w:val="26"/>
      <w:szCs w:val="24"/>
    </w:rPr>
  </w:style>
  <w:style w:type="paragraph" w:styleId="Heading3">
    <w:name w:val="heading 3"/>
    <w:basedOn w:val="Normal"/>
    <w:next w:val="Normal"/>
    <w:link w:val="Heading3Char"/>
    <w:uiPriority w:val="9"/>
    <w:semiHidden/>
    <w:unhideWhenUsed/>
    <w:qFormat/>
    <w:rsid w:val="00966BD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63573"/>
    <w:pPr>
      <w:jc w:val="both"/>
    </w:pPr>
    <w:rPr>
      <w:sz w:val="26"/>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A527D"/>
    <w:pPr>
      <w:tabs>
        <w:tab w:val="center" w:pos="4513"/>
        <w:tab w:val="right" w:pos="9026"/>
      </w:tabs>
    </w:pPr>
  </w:style>
  <w:style w:type="character" w:customStyle="1" w:styleId="HeaderChar">
    <w:name w:val="Header Char"/>
    <w:basedOn w:val="DefaultParagraphFont"/>
    <w:link w:val="Header"/>
    <w:uiPriority w:val="99"/>
    <w:rsid w:val="00BA527D"/>
    <w:rPr>
      <w:rFonts w:ascii="Garamond" w:eastAsia="Garamond" w:hAnsi="Garamond" w:cs="Garamond"/>
    </w:rPr>
  </w:style>
  <w:style w:type="paragraph" w:styleId="Footer">
    <w:name w:val="footer"/>
    <w:basedOn w:val="Normal"/>
    <w:link w:val="FooterChar"/>
    <w:unhideWhenUsed/>
    <w:rsid w:val="00BA527D"/>
    <w:pPr>
      <w:tabs>
        <w:tab w:val="center" w:pos="4513"/>
        <w:tab w:val="right" w:pos="9026"/>
      </w:tabs>
    </w:pPr>
  </w:style>
  <w:style w:type="character" w:customStyle="1" w:styleId="FooterChar">
    <w:name w:val="Footer Char"/>
    <w:basedOn w:val="DefaultParagraphFont"/>
    <w:link w:val="Footer"/>
    <w:rsid w:val="00BA527D"/>
    <w:rPr>
      <w:rFonts w:ascii="Garamond" w:eastAsia="Garamond" w:hAnsi="Garamond" w:cs="Garamond"/>
    </w:rPr>
  </w:style>
  <w:style w:type="character" w:customStyle="1" w:styleId="Heading1Char">
    <w:name w:val="Heading 1 Char"/>
    <w:basedOn w:val="DefaultParagraphFont"/>
    <w:link w:val="Heading1"/>
    <w:uiPriority w:val="9"/>
    <w:rsid w:val="00FF578C"/>
    <w:rPr>
      <w:rFonts w:ascii="Garamond" w:eastAsia="Garamond" w:hAnsi="Garamond" w:cs="Garamond"/>
      <w:b/>
      <w:bCs/>
      <w:sz w:val="26"/>
      <w:szCs w:val="24"/>
    </w:rPr>
  </w:style>
  <w:style w:type="character" w:styleId="Hyperlink">
    <w:name w:val="Hyperlink"/>
    <w:rsid w:val="00D05DC4"/>
    <w:rPr>
      <w:color w:val="0000FF"/>
      <w:u w:val="single"/>
    </w:rPr>
  </w:style>
  <w:style w:type="character" w:styleId="FollowedHyperlink">
    <w:name w:val="FollowedHyperlink"/>
    <w:basedOn w:val="DefaultParagraphFont"/>
    <w:uiPriority w:val="99"/>
    <w:semiHidden/>
    <w:unhideWhenUsed/>
    <w:rsid w:val="000C1F8E"/>
    <w:rPr>
      <w:color w:val="800080" w:themeColor="followedHyperlink"/>
      <w:u w:val="single"/>
    </w:rPr>
  </w:style>
  <w:style w:type="paragraph" w:customStyle="1" w:styleId="Default">
    <w:name w:val="Default"/>
    <w:rsid w:val="00085D09"/>
    <w:pPr>
      <w:widowControl/>
      <w:adjustRightInd w:val="0"/>
    </w:pPr>
    <w:rPr>
      <w:rFonts w:ascii="Garamond" w:hAnsi="Garamond" w:cs="Garamond"/>
      <w:color w:val="000000"/>
      <w:sz w:val="24"/>
      <w:szCs w:val="24"/>
      <w:lang w:val="en-GB"/>
    </w:rPr>
  </w:style>
  <w:style w:type="character" w:customStyle="1" w:styleId="Heading3Char">
    <w:name w:val="Heading 3 Char"/>
    <w:basedOn w:val="DefaultParagraphFont"/>
    <w:link w:val="Heading3"/>
    <w:uiPriority w:val="9"/>
    <w:semiHidden/>
    <w:rsid w:val="00966BD9"/>
    <w:rPr>
      <w:rFonts w:asciiTheme="majorHAnsi" w:eastAsiaTheme="majorEastAsia" w:hAnsiTheme="majorHAnsi" w:cstheme="majorBidi"/>
      <w:color w:val="243F60" w:themeColor="accent1" w:themeShade="7F"/>
      <w:sz w:val="24"/>
      <w:szCs w:val="24"/>
    </w:rPr>
  </w:style>
  <w:style w:type="paragraph" w:customStyle="1" w:styleId="CM1">
    <w:name w:val="CM1"/>
    <w:basedOn w:val="Default"/>
    <w:next w:val="Default"/>
    <w:uiPriority w:val="99"/>
    <w:rsid w:val="009A19A3"/>
    <w:pPr>
      <w:spacing w:line="271" w:lineRule="atLeast"/>
    </w:pPr>
    <w:rPr>
      <w:rFonts w:cstheme="minorBidi"/>
      <w:color w:val="auto"/>
    </w:rPr>
  </w:style>
  <w:style w:type="paragraph" w:customStyle="1" w:styleId="CM2">
    <w:name w:val="CM2"/>
    <w:basedOn w:val="Default"/>
    <w:next w:val="Default"/>
    <w:uiPriority w:val="99"/>
    <w:rsid w:val="0041166B"/>
    <w:pPr>
      <w:spacing w:line="271" w:lineRule="atLeast"/>
    </w:pPr>
    <w:rPr>
      <w:rFonts w:cstheme="minorBidi"/>
      <w:color w:val="auto"/>
    </w:rPr>
  </w:style>
  <w:style w:type="paragraph" w:customStyle="1" w:styleId="CM6">
    <w:name w:val="CM6"/>
    <w:basedOn w:val="Default"/>
    <w:next w:val="Default"/>
    <w:uiPriority w:val="99"/>
    <w:rsid w:val="00A53C73"/>
    <w:rPr>
      <w:rFonts w:cstheme="minorBidi"/>
      <w:color w:val="auto"/>
    </w:rPr>
  </w:style>
  <w:style w:type="paragraph" w:customStyle="1" w:styleId="CM3">
    <w:name w:val="CM3"/>
    <w:basedOn w:val="Default"/>
    <w:next w:val="Default"/>
    <w:uiPriority w:val="99"/>
    <w:rsid w:val="003D0174"/>
    <w:pPr>
      <w:spacing w:line="248" w:lineRule="atLeast"/>
    </w:pPr>
    <w:rPr>
      <w:rFonts w:cstheme="minorBidi"/>
      <w:color w:val="auto"/>
    </w:rPr>
  </w:style>
  <w:style w:type="paragraph" w:styleId="FootnoteText">
    <w:name w:val="footnote text"/>
    <w:basedOn w:val="Normal"/>
    <w:link w:val="FootnoteTextChar"/>
    <w:uiPriority w:val="99"/>
    <w:semiHidden/>
    <w:unhideWhenUsed/>
    <w:rsid w:val="00A13DA1"/>
    <w:rPr>
      <w:sz w:val="20"/>
      <w:szCs w:val="20"/>
    </w:rPr>
  </w:style>
  <w:style w:type="character" w:customStyle="1" w:styleId="FootnoteTextChar">
    <w:name w:val="Footnote Text Char"/>
    <w:basedOn w:val="DefaultParagraphFont"/>
    <w:link w:val="FootnoteText"/>
    <w:uiPriority w:val="99"/>
    <w:semiHidden/>
    <w:rsid w:val="00A13DA1"/>
    <w:rPr>
      <w:rFonts w:ascii="Garamond" w:eastAsia="Garamond" w:hAnsi="Garamond" w:cs="Garamond"/>
      <w:sz w:val="20"/>
      <w:szCs w:val="20"/>
    </w:rPr>
  </w:style>
  <w:style w:type="character" w:styleId="FootnoteReference">
    <w:name w:val="footnote reference"/>
    <w:basedOn w:val="DefaultParagraphFont"/>
    <w:uiPriority w:val="99"/>
    <w:semiHidden/>
    <w:unhideWhenUsed/>
    <w:rsid w:val="00A13DA1"/>
    <w:rPr>
      <w:vertAlign w:val="superscript"/>
    </w:rPr>
  </w:style>
  <w:style w:type="character" w:styleId="UnresolvedMention">
    <w:name w:val="Unresolved Mention"/>
    <w:basedOn w:val="DefaultParagraphFont"/>
    <w:uiPriority w:val="99"/>
    <w:semiHidden/>
    <w:unhideWhenUsed/>
    <w:rsid w:val="00504DCB"/>
    <w:rPr>
      <w:color w:val="605E5C"/>
      <w:shd w:val="clear" w:color="auto" w:fill="E1DFDD"/>
    </w:rPr>
  </w:style>
  <w:style w:type="paragraph" w:customStyle="1" w:styleId="CM4">
    <w:name w:val="CM4"/>
    <w:basedOn w:val="Default"/>
    <w:next w:val="Default"/>
    <w:uiPriority w:val="99"/>
    <w:rsid w:val="00B175BF"/>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659509">
      <w:bodyDiv w:val="1"/>
      <w:marLeft w:val="0"/>
      <w:marRight w:val="0"/>
      <w:marTop w:val="0"/>
      <w:marBottom w:val="0"/>
      <w:divBdr>
        <w:top w:val="none" w:sz="0" w:space="0" w:color="auto"/>
        <w:left w:val="none" w:sz="0" w:space="0" w:color="auto"/>
        <w:bottom w:val="none" w:sz="0" w:space="0" w:color="auto"/>
        <w:right w:val="none" w:sz="0" w:space="0" w:color="auto"/>
      </w:divBdr>
    </w:div>
    <w:div w:id="1616399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upremecourt.uk/decided-cases/index.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8DB45F4B96FB841B9E65A50BE93DBA2" ma:contentTypeVersion="17" ma:contentTypeDescription="Create a new document." ma:contentTypeScope="" ma:versionID="7081cc00247a11b0dde863933679e9ef">
  <xsd:schema xmlns:xsd="http://www.w3.org/2001/XMLSchema" xmlns:xs="http://www.w3.org/2001/XMLSchema" xmlns:p="http://schemas.microsoft.com/office/2006/metadata/properties" xmlns:ns2="1eba139d-dfa9-4d99-bada-e9a0b0212d0a" xmlns:ns3="8c4107a8-2ba2-4c7f-a549-2a7930b8c22b" targetNamespace="http://schemas.microsoft.com/office/2006/metadata/properties" ma:root="true" ma:fieldsID="02ac37565207f9e05cec10688a78cbf7" ns2:_="" ns3:_="">
    <xsd:import namespace="1eba139d-dfa9-4d99-bada-e9a0b0212d0a"/>
    <xsd:import namespace="8c4107a8-2ba2-4c7f-a549-2a7930b8c2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a139d-dfa9-4d99-bada-e9a0b0212d0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a96bc35-c4cc-4be1-a920-9ed41f535fb1"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4107a8-2ba2-4c7f-a549-2a7930b8c2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857f714-befc-4d5b-b92b-422c6cde74b1}" ma:internalName="TaxCatchAll" ma:showField="CatchAllData" ma:web="8c4107a8-2ba2-4c7f-a549-2a7930b8c2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ba139d-dfa9-4d99-bada-e9a0b0212d0a">
      <Terms xmlns="http://schemas.microsoft.com/office/infopath/2007/PartnerControls"/>
    </lcf76f155ced4ddcb4097134ff3c332f>
    <TaxCatchAll xmlns="8c4107a8-2ba2-4c7f-a549-2a7930b8c22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AD9DD0-2AB6-40A9-9AEB-BE0D78791903}">
  <ds:schemaRefs>
    <ds:schemaRef ds:uri="http://schemas.openxmlformats.org/officeDocument/2006/bibliography"/>
  </ds:schemaRefs>
</ds:datastoreItem>
</file>

<file path=customXml/itemProps2.xml><?xml version="1.0" encoding="utf-8"?>
<ds:datastoreItem xmlns:ds="http://schemas.openxmlformats.org/officeDocument/2006/customXml" ds:itemID="{32C91537-F7C2-45C1-B1FB-F470541B7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a139d-dfa9-4d99-bada-e9a0b0212d0a"/>
    <ds:schemaRef ds:uri="8c4107a8-2ba2-4c7f-a549-2a7930b8c2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93404-B773-4F56-9464-800B4D821A4C}">
  <ds:schemaRefs>
    <ds:schemaRef ds:uri="http://purl.org/dc/elements/1.1/"/>
    <ds:schemaRef ds:uri="http://schemas.microsoft.com/office/2006/documentManagement/types"/>
    <ds:schemaRef ds:uri="1eba139d-dfa9-4d99-bada-e9a0b0212d0a"/>
    <ds:schemaRef ds:uri="http://schemas.microsoft.com/office/2006/metadata/properties"/>
    <ds:schemaRef ds:uri="http://purl.org/dc/terms/"/>
    <ds:schemaRef ds:uri="8c4107a8-2ba2-4c7f-a549-2a7930b8c22b"/>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C0B371C8-5580-4833-AA4A-4AC25B3CCC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LORD GOVERNMENT BYELAWS (WALES) BILL 2012 - Reference by the Attorney General for England and Wales</vt:lpstr>
    </vt:vector>
  </TitlesOfParts>
  <Company>Supreme Court of the United Kingdom (UKSC)</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LORD GOVERNMENT BYELAWS (WALES) BILL 2012 - Reference by the Attorney General for England and Wales</dc:title>
  <dc:subject>Press summary</dc:subject>
  <dc:creator>Supreme Court of the United Kingdom (UKSC)</dc:creator>
  <cp:keywords>[2012] UKSC 53; UKSC 2012/0185</cp:keywords>
  <cp:lastModifiedBy>Paul Sandles</cp:lastModifiedBy>
  <cp:revision>7</cp:revision>
  <dcterms:created xsi:type="dcterms:W3CDTF">2023-07-04T14:24:00Z</dcterms:created>
  <dcterms:modified xsi:type="dcterms:W3CDTF">2024-02-01T10:49:00Z</dcterms:modified>
  <cp:category>Press summaries; Decided cases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seID">
    <vt:lpwstr>JCPC 2009/0111</vt:lpwstr>
  </property>
  <property fmtid="{D5CDD505-2E9C-101B-9397-08002B2CF9AE}" pid="3" name="CaseName">
    <vt:lpwstr>Curtis Warren and others v The Attorney General of the Bailiwick of Jersey</vt:lpwstr>
  </property>
  <property fmtid="{D5CDD505-2E9C-101B-9397-08002B2CF9AE}" pid="4" name="Created">
    <vt:filetime>2011-03-24T00:00:00Z</vt:filetime>
  </property>
  <property fmtid="{D5CDD505-2E9C-101B-9397-08002B2CF9AE}" pid="5" name="Creator">
    <vt:lpwstr>PScript5.dll Version 5.2.2</vt:lpwstr>
  </property>
  <property fmtid="{D5CDD505-2E9C-101B-9397-08002B2CF9AE}" pid="6" name="HandDownDate">
    <vt:lpwstr>28/03/2011</vt:lpwstr>
  </property>
  <property fmtid="{D5CDD505-2E9C-101B-9397-08002B2CF9AE}" pid="7" name="Jurisdiction">
    <vt:lpwstr>Court of Appeal of Jersey</vt:lpwstr>
  </property>
  <property fmtid="{D5CDD505-2E9C-101B-9397-08002B2CF9AE}" pid="8" name="LastSaved">
    <vt:filetime>2022-12-06T00:00:00Z</vt:filetime>
  </property>
  <property fmtid="{D5CDD505-2E9C-101B-9397-08002B2CF9AE}" pid="9" name="NeutralCitationNo">
    <vt:lpwstr>[2011[ UKPC 10</vt:lpwstr>
  </property>
  <property fmtid="{D5CDD505-2E9C-101B-9397-08002B2CF9AE}" pid="10" name="Producer">
    <vt:lpwstr>Acrobat Distiller 9.3.3 (Windows)</vt:lpwstr>
  </property>
  <property fmtid="{D5CDD505-2E9C-101B-9397-08002B2CF9AE}" pid="11" name="ContentTypeId">
    <vt:lpwstr>0x01010058DB45F4B96FB841B9E65A50BE93DBA2</vt:lpwstr>
  </property>
  <property fmtid="{D5CDD505-2E9C-101B-9397-08002B2CF9AE}" pid="12" name="MediaServiceImageTags">
    <vt:lpwstr/>
  </property>
</Properties>
</file>