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7A2A" w14:textId="5601F4F7" w:rsidR="007F53E9" w:rsidRDefault="0001619C" w:rsidP="00976CD7">
      <w:pPr>
        <w:pStyle w:val="BodyText"/>
        <w:jc w:val="center"/>
        <w:rPr>
          <w:rFonts w:ascii="Times New Roman"/>
          <w:sz w:val="20"/>
        </w:rPr>
      </w:pPr>
      <w:r>
        <w:rPr>
          <w:rFonts w:ascii="Times New Roman"/>
          <w:noProof/>
          <w:sz w:val="20"/>
        </w:rPr>
        <w:drawing>
          <wp:inline distT="0" distB="0" distL="0" distR="0" wp14:anchorId="2826BC3E" wp14:editId="1ED77617">
            <wp:extent cx="1066800" cy="1426845"/>
            <wp:effectExtent l="0" t="0" r="0" b="1905"/>
            <wp:docPr id="2" name="Picture 2" descr="UKSC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KSC logo&#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426845"/>
                    </a:xfrm>
                    <a:prstGeom prst="rect">
                      <a:avLst/>
                    </a:prstGeom>
                    <a:noFill/>
                  </pic:spPr>
                </pic:pic>
              </a:graphicData>
            </a:graphic>
          </wp:inline>
        </w:drawing>
      </w:r>
    </w:p>
    <w:p w14:paraId="26697A2C" w14:textId="0AB88784" w:rsidR="007F53E9" w:rsidRPr="0044700C" w:rsidRDefault="0024208C" w:rsidP="00D23518">
      <w:pPr>
        <w:spacing w:after="240"/>
        <w:jc w:val="right"/>
        <w:rPr>
          <w:b/>
          <w:sz w:val="28"/>
          <w:szCs w:val="24"/>
        </w:rPr>
      </w:pPr>
      <w:r>
        <w:rPr>
          <w:b/>
          <w:sz w:val="28"/>
          <w:szCs w:val="24"/>
        </w:rPr>
        <w:t>25</w:t>
      </w:r>
      <w:r w:rsidR="00101744">
        <w:rPr>
          <w:b/>
          <w:sz w:val="28"/>
          <w:szCs w:val="24"/>
        </w:rPr>
        <w:t xml:space="preserve"> </w:t>
      </w:r>
      <w:r>
        <w:rPr>
          <w:b/>
          <w:sz w:val="28"/>
          <w:szCs w:val="24"/>
        </w:rPr>
        <w:t>July</w:t>
      </w:r>
      <w:r w:rsidR="00101744">
        <w:rPr>
          <w:b/>
          <w:sz w:val="28"/>
          <w:szCs w:val="24"/>
        </w:rPr>
        <w:t xml:space="preserve"> </w:t>
      </w:r>
      <w:r w:rsidR="009E426D" w:rsidRPr="0044700C">
        <w:rPr>
          <w:b/>
          <w:spacing w:val="-4"/>
          <w:sz w:val="28"/>
          <w:szCs w:val="24"/>
        </w:rPr>
        <w:t>20</w:t>
      </w:r>
      <w:r w:rsidR="00882E03">
        <w:rPr>
          <w:b/>
          <w:spacing w:val="-4"/>
          <w:sz w:val="28"/>
          <w:szCs w:val="24"/>
        </w:rPr>
        <w:t>1</w:t>
      </w:r>
      <w:r w:rsidR="00C26D88">
        <w:rPr>
          <w:b/>
          <w:spacing w:val="-4"/>
          <w:sz w:val="28"/>
          <w:szCs w:val="24"/>
        </w:rPr>
        <w:t>2</w:t>
      </w:r>
    </w:p>
    <w:p w14:paraId="26697A2D" w14:textId="77777777" w:rsidR="007F53E9" w:rsidRPr="0049003F" w:rsidRDefault="009E426D" w:rsidP="002A148D">
      <w:pPr>
        <w:spacing w:after="240"/>
        <w:jc w:val="center"/>
        <w:rPr>
          <w:b/>
          <w:bCs/>
          <w:sz w:val="28"/>
          <w:szCs w:val="28"/>
        </w:rPr>
      </w:pPr>
      <w:r w:rsidRPr="0049003F">
        <w:rPr>
          <w:b/>
          <w:bCs/>
          <w:sz w:val="28"/>
          <w:szCs w:val="28"/>
        </w:rPr>
        <w:t xml:space="preserve">PRESS </w:t>
      </w:r>
      <w:r w:rsidRPr="0049003F">
        <w:rPr>
          <w:b/>
          <w:bCs/>
          <w:spacing w:val="-2"/>
          <w:sz w:val="28"/>
          <w:szCs w:val="28"/>
        </w:rPr>
        <w:t>SUMMARY</w:t>
      </w:r>
    </w:p>
    <w:p w14:paraId="7EC06376" w14:textId="040E4039" w:rsidR="00622C3B" w:rsidRPr="00556E7F" w:rsidRDefault="00556E7F" w:rsidP="000962E7">
      <w:pPr>
        <w:spacing w:after="240"/>
        <w:jc w:val="both"/>
        <w:rPr>
          <w:b/>
          <w:bCs/>
          <w:sz w:val="28"/>
          <w:szCs w:val="28"/>
        </w:rPr>
      </w:pPr>
      <w:r>
        <w:rPr>
          <w:rFonts w:ascii="Garamond-Bold" w:eastAsiaTheme="minorHAnsi" w:hAnsi="Garamond-Bold" w:cs="Garamond-Bold"/>
          <w:b/>
          <w:bCs/>
          <w:sz w:val="28"/>
          <w:szCs w:val="28"/>
          <w:lang w:val="en-GB"/>
        </w:rPr>
        <w:t>T (Children</w:t>
      </w:r>
      <w:r w:rsidR="00622C3B" w:rsidRPr="00622C3B">
        <w:rPr>
          <w:rFonts w:ascii="Garamond-Bold" w:eastAsiaTheme="minorHAnsi" w:hAnsi="Garamond-Bold" w:cs="Garamond-Bold"/>
          <w:b/>
          <w:bCs/>
          <w:sz w:val="28"/>
          <w:szCs w:val="28"/>
          <w:lang w:val="en-GB"/>
        </w:rPr>
        <w:t>)</w:t>
      </w:r>
    </w:p>
    <w:p w14:paraId="578359C7" w14:textId="2D020DB5" w:rsidR="00D27EC5" w:rsidRDefault="009E426D" w:rsidP="000962E7">
      <w:pPr>
        <w:spacing w:after="240"/>
        <w:jc w:val="both"/>
        <w:rPr>
          <w:b/>
          <w:bCs/>
          <w:spacing w:val="-5"/>
          <w:sz w:val="28"/>
          <w:szCs w:val="28"/>
        </w:rPr>
      </w:pPr>
      <w:r w:rsidRPr="001A5A31">
        <w:rPr>
          <w:b/>
          <w:bCs/>
          <w:sz w:val="28"/>
          <w:szCs w:val="28"/>
        </w:rPr>
        <w:t>[20</w:t>
      </w:r>
      <w:r w:rsidR="00A71028" w:rsidRPr="001A5A31">
        <w:rPr>
          <w:b/>
          <w:bCs/>
          <w:sz w:val="28"/>
          <w:szCs w:val="28"/>
        </w:rPr>
        <w:t>1</w:t>
      </w:r>
      <w:r w:rsidR="00D7107A">
        <w:rPr>
          <w:b/>
          <w:bCs/>
          <w:sz w:val="28"/>
          <w:szCs w:val="28"/>
        </w:rPr>
        <w:t>2</w:t>
      </w:r>
      <w:r w:rsidRPr="001A5A31">
        <w:rPr>
          <w:b/>
          <w:bCs/>
          <w:sz w:val="28"/>
          <w:szCs w:val="28"/>
        </w:rPr>
        <w:t>]</w:t>
      </w:r>
      <w:r w:rsidRPr="001A5A31">
        <w:rPr>
          <w:b/>
          <w:bCs/>
          <w:spacing w:val="-4"/>
          <w:sz w:val="28"/>
          <w:szCs w:val="28"/>
        </w:rPr>
        <w:t xml:space="preserve"> </w:t>
      </w:r>
      <w:r w:rsidRPr="001A5A31">
        <w:rPr>
          <w:b/>
          <w:bCs/>
          <w:sz w:val="28"/>
          <w:szCs w:val="28"/>
        </w:rPr>
        <w:t>UK</w:t>
      </w:r>
      <w:r w:rsidR="00A71028" w:rsidRPr="001A5A31">
        <w:rPr>
          <w:b/>
          <w:bCs/>
          <w:sz w:val="28"/>
          <w:szCs w:val="28"/>
        </w:rPr>
        <w:t>SC</w:t>
      </w:r>
      <w:r w:rsidRPr="001A5A31">
        <w:rPr>
          <w:b/>
          <w:bCs/>
          <w:spacing w:val="-2"/>
          <w:sz w:val="28"/>
          <w:szCs w:val="28"/>
        </w:rPr>
        <w:t xml:space="preserve"> </w:t>
      </w:r>
      <w:r w:rsidR="00667029">
        <w:rPr>
          <w:b/>
          <w:bCs/>
          <w:spacing w:val="-5"/>
          <w:sz w:val="28"/>
          <w:szCs w:val="28"/>
        </w:rPr>
        <w:t>3</w:t>
      </w:r>
      <w:r w:rsidR="00957BF6">
        <w:rPr>
          <w:b/>
          <w:bCs/>
          <w:spacing w:val="-5"/>
          <w:sz w:val="28"/>
          <w:szCs w:val="28"/>
        </w:rPr>
        <w:t>6</w:t>
      </w:r>
    </w:p>
    <w:p w14:paraId="63FE9175" w14:textId="5348458C" w:rsidR="002F3DDE" w:rsidRPr="008D51A0" w:rsidRDefault="002F3DDE" w:rsidP="005F0522">
      <w:pPr>
        <w:spacing w:after="240"/>
        <w:jc w:val="both"/>
        <w:rPr>
          <w:spacing w:val="-5"/>
          <w:sz w:val="28"/>
          <w:szCs w:val="28"/>
        </w:rPr>
      </w:pPr>
      <w:r>
        <w:rPr>
          <w:b/>
          <w:bCs/>
          <w:spacing w:val="-5"/>
          <w:sz w:val="28"/>
          <w:szCs w:val="28"/>
        </w:rPr>
        <w:t xml:space="preserve">ON APPEAL FROM: </w:t>
      </w:r>
      <w:r w:rsidR="008D51A0">
        <w:rPr>
          <w:spacing w:val="-5"/>
          <w:sz w:val="28"/>
          <w:szCs w:val="28"/>
        </w:rPr>
        <w:t>[201</w:t>
      </w:r>
      <w:r w:rsidR="00CE0D9E">
        <w:rPr>
          <w:spacing w:val="-5"/>
          <w:sz w:val="28"/>
          <w:szCs w:val="28"/>
        </w:rPr>
        <w:t>0</w:t>
      </w:r>
      <w:r w:rsidR="00CD74B5">
        <w:rPr>
          <w:spacing w:val="-5"/>
          <w:sz w:val="28"/>
          <w:szCs w:val="28"/>
        </w:rPr>
        <w:t xml:space="preserve">] </w:t>
      </w:r>
      <w:r w:rsidR="00EE041A">
        <w:rPr>
          <w:spacing w:val="-5"/>
          <w:sz w:val="28"/>
          <w:szCs w:val="28"/>
        </w:rPr>
        <w:t>EWCA Civ</w:t>
      </w:r>
      <w:r w:rsidR="00AA6498">
        <w:rPr>
          <w:spacing w:val="-5"/>
          <w:sz w:val="28"/>
          <w:szCs w:val="28"/>
        </w:rPr>
        <w:t xml:space="preserve"> </w:t>
      </w:r>
      <w:r w:rsidR="00EE041A">
        <w:rPr>
          <w:spacing w:val="-5"/>
          <w:sz w:val="28"/>
          <w:szCs w:val="28"/>
        </w:rPr>
        <w:t>1585</w:t>
      </w:r>
    </w:p>
    <w:p w14:paraId="26697A31" w14:textId="2DAA7B6E" w:rsidR="007F53E9" w:rsidRPr="004D60D6" w:rsidRDefault="0001619C" w:rsidP="004D60D6">
      <w:pPr>
        <w:pStyle w:val="Default"/>
        <w:jc w:val="both"/>
        <w:rPr>
          <w:sz w:val="26"/>
          <w:szCs w:val="26"/>
        </w:rPr>
      </w:pPr>
      <w:r w:rsidRPr="00CC1E87">
        <w:rPr>
          <w:b/>
          <w:sz w:val="26"/>
          <w:szCs w:val="26"/>
        </w:rPr>
        <w:t>JUSTICES</w:t>
      </w:r>
      <w:r w:rsidR="00C65947" w:rsidRPr="00CC1E87">
        <w:rPr>
          <w:b/>
          <w:sz w:val="26"/>
          <w:szCs w:val="26"/>
        </w:rPr>
        <w:t>:</w:t>
      </w:r>
      <w:r w:rsidR="005C0B67">
        <w:rPr>
          <w:sz w:val="26"/>
          <w:szCs w:val="26"/>
        </w:rPr>
        <w:t xml:space="preserve"> L</w:t>
      </w:r>
      <w:r w:rsidR="002A214E">
        <w:rPr>
          <w:sz w:val="26"/>
          <w:szCs w:val="26"/>
        </w:rPr>
        <w:t xml:space="preserve">ord </w:t>
      </w:r>
      <w:r w:rsidR="00CE7971">
        <w:rPr>
          <w:sz w:val="26"/>
          <w:szCs w:val="26"/>
        </w:rPr>
        <w:t>Phi</w:t>
      </w:r>
      <w:r w:rsidR="00E951B7">
        <w:rPr>
          <w:sz w:val="26"/>
          <w:szCs w:val="26"/>
        </w:rPr>
        <w:t>l</w:t>
      </w:r>
      <w:r w:rsidR="00CE7971">
        <w:rPr>
          <w:sz w:val="26"/>
          <w:szCs w:val="26"/>
        </w:rPr>
        <w:t>lips</w:t>
      </w:r>
      <w:r w:rsidR="008948D8">
        <w:rPr>
          <w:sz w:val="26"/>
          <w:szCs w:val="26"/>
        </w:rPr>
        <w:t xml:space="preserve"> (President)</w:t>
      </w:r>
      <w:r w:rsidR="002A214E">
        <w:rPr>
          <w:sz w:val="26"/>
          <w:szCs w:val="26"/>
        </w:rPr>
        <w:t>,</w:t>
      </w:r>
      <w:r w:rsidR="002B02B0">
        <w:rPr>
          <w:sz w:val="26"/>
          <w:szCs w:val="26"/>
        </w:rPr>
        <w:t xml:space="preserve"> Lady Hale, </w:t>
      </w:r>
      <w:r w:rsidR="001C02C1">
        <w:rPr>
          <w:sz w:val="26"/>
          <w:szCs w:val="26"/>
        </w:rPr>
        <w:t xml:space="preserve">Lord Mance, </w:t>
      </w:r>
      <w:r w:rsidR="009E7701">
        <w:rPr>
          <w:sz w:val="26"/>
          <w:szCs w:val="26"/>
        </w:rPr>
        <w:t xml:space="preserve">Lord </w:t>
      </w:r>
      <w:r w:rsidR="00427A11">
        <w:rPr>
          <w:sz w:val="26"/>
          <w:szCs w:val="26"/>
        </w:rPr>
        <w:t>Dyson</w:t>
      </w:r>
      <w:r w:rsidR="009E7701">
        <w:rPr>
          <w:sz w:val="26"/>
          <w:szCs w:val="26"/>
        </w:rPr>
        <w:t xml:space="preserve">, Lord </w:t>
      </w:r>
      <w:r w:rsidR="00427A11">
        <w:rPr>
          <w:sz w:val="26"/>
          <w:szCs w:val="26"/>
        </w:rPr>
        <w:t>Carnwath</w:t>
      </w:r>
    </w:p>
    <w:p w14:paraId="26697A32" w14:textId="16A0EFAB" w:rsidR="007F53E9" w:rsidRPr="0076007B" w:rsidRDefault="009E426D" w:rsidP="00E85B9C">
      <w:pPr>
        <w:pStyle w:val="Heading1"/>
      </w:pPr>
      <w:r w:rsidRPr="0076007B">
        <w:t xml:space="preserve">BACKGROUND TO THE </w:t>
      </w:r>
      <w:r w:rsidR="008241D4">
        <w:t>APPEAL</w:t>
      </w:r>
    </w:p>
    <w:p w14:paraId="3DA52631" w14:textId="36886FBE" w:rsidR="00096852" w:rsidRPr="00E60769" w:rsidRDefault="003B6FCF" w:rsidP="00E60769">
      <w:pPr>
        <w:widowControl/>
        <w:adjustRightInd w:val="0"/>
        <w:spacing w:after="240"/>
        <w:jc w:val="both"/>
        <w:rPr>
          <w:rFonts w:eastAsiaTheme="minorHAnsi"/>
          <w:sz w:val="26"/>
          <w:szCs w:val="26"/>
          <w:lang w:val="en-GB"/>
        </w:rPr>
      </w:pPr>
      <w:r w:rsidRPr="00E60769">
        <w:rPr>
          <w:rFonts w:eastAsiaTheme="minorHAnsi"/>
          <w:sz w:val="26"/>
          <w:szCs w:val="26"/>
          <w:lang w:val="en-GB"/>
        </w:rPr>
        <w:t>This appeal concerns the liability of a local authority to pay the costs of a party to care proceedings.</w:t>
      </w:r>
    </w:p>
    <w:p w14:paraId="1CFE9953" w14:textId="37172480" w:rsidR="00096852" w:rsidRPr="00E60769" w:rsidRDefault="0057665C" w:rsidP="00E60769">
      <w:pPr>
        <w:widowControl/>
        <w:adjustRightInd w:val="0"/>
        <w:spacing w:after="240"/>
        <w:jc w:val="both"/>
        <w:rPr>
          <w:rFonts w:eastAsiaTheme="minorHAnsi"/>
          <w:sz w:val="26"/>
          <w:szCs w:val="26"/>
          <w:lang w:val="en-GB"/>
        </w:rPr>
      </w:pPr>
      <w:r w:rsidRPr="00E60769">
        <w:rPr>
          <w:rFonts w:eastAsiaTheme="minorHAnsi"/>
          <w:sz w:val="26"/>
          <w:szCs w:val="26"/>
          <w:lang w:val="en-GB"/>
        </w:rPr>
        <w:t>The proceedings related to two children, whose parents were separated. The local authority applied for a care order under section 31(2) Children Act 1989 in response to the making of allegations by the children that they had suffered sexual abuse by their father and six other men, in which the father’s</w:t>
      </w:r>
      <w:r w:rsidR="00026538" w:rsidRPr="00E60769">
        <w:rPr>
          <w:rFonts w:eastAsiaTheme="minorHAnsi"/>
          <w:sz w:val="26"/>
          <w:szCs w:val="26"/>
          <w:lang w:val="en-GB"/>
        </w:rPr>
        <w:t xml:space="preserve"> </w:t>
      </w:r>
      <w:r w:rsidRPr="00E60769">
        <w:rPr>
          <w:rFonts w:eastAsiaTheme="minorHAnsi"/>
          <w:sz w:val="26"/>
          <w:szCs w:val="26"/>
          <w:lang w:val="en-GB"/>
        </w:rPr>
        <w:t>parents (‘the grandparents’) had colluded. The six men and the grandparents were joined to the care</w:t>
      </w:r>
      <w:r w:rsidR="00026538" w:rsidRPr="00E60769">
        <w:rPr>
          <w:rFonts w:eastAsiaTheme="minorHAnsi"/>
          <w:sz w:val="26"/>
          <w:szCs w:val="26"/>
          <w:lang w:val="en-GB"/>
        </w:rPr>
        <w:t xml:space="preserve"> </w:t>
      </w:r>
      <w:r w:rsidRPr="00E60769">
        <w:rPr>
          <w:rFonts w:eastAsiaTheme="minorHAnsi"/>
          <w:sz w:val="26"/>
          <w:szCs w:val="26"/>
          <w:lang w:val="en-GB"/>
        </w:rPr>
        <w:t xml:space="preserve">proceedings as interveners. The judge conducted a lengthy fact-finding hearing, </w:t>
      </w:r>
      <w:proofErr w:type="gramStart"/>
      <w:r w:rsidRPr="00E60769">
        <w:rPr>
          <w:rFonts w:eastAsiaTheme="minorHAnsi"/>
          <w:sz w:val="26"/>
          <w:szCs w:val="26"/>
          <w:lang w:val="en-GB"/>
        </w:rPr>
        <w:t>as a result of</w:t>
      </w:r>
      <w:proofErr w:type="gramEnd"/>
      <w:r w:rsidRPr="00E60769">
        <w:rPr>
          <w:rFonts w:eastAsiaTheme="minorHAnsi"/>
          <w:sz w:val="26"/>
          <w:szCs w:val="26"/>
          <w:lang w:val="en-GB"/>
        </w:rPr>
        <w:t xml:space="preserve"> which he</w:t>
      </w:r>
      <w:r w:rsidR="00BE6D42" w:rsidRPr="00E60769">
        <w:rPr>
          <w:rFonts w:eastAsiaTheme="minorHAnsi"/>
          <w:sz w:val="26"/>
          <w:szCs w:val="26"/>
          <w:lang w:val="en-GB"/>
        </w:rPr>
        <w:t xml:space="preserve"> </w:t>
      </w:r>
      <w:r w:rsidRPr="00E60769">
        <w:rPr>
          <w:rFonts w:eastAsiaTheme="minorHAnsi"/>
          <w:sz w:val="26"/>
          <w:szCs w:val="26"/>
          <w:lang w:val="en-GB"/>
        </w:rPr>
        <w:t>exonerated five of the six men and the grandparents of any such abuse.</w:t>
      </w:r>
    </w:p>
    <w:p w14:paraId="0BA7AEBA" w14:textId="5C3D505B" w:rsidR="00796185" w:rsidRPr="00E60769" w:rsidRDefault="00AF77CA" w:rsidP="00E60769">
      <w:pPr>
        <w:widowControl/>
        <w:adjustRightInd w:val="0"/>
        <w:spacing w:after="240"/>
        <w:jc w:val="both"/>
        <w:rPr>
          <w:rFonts w:eastAsiaTheme="minorHAnsi"/>
          <w:sz w:val="26"/>
          <w:szCs w:val="26"/>
          <w:lang w:val="en-GB"/>
        </w:rPr>
      </w:pPr>
      <w:r w:rsidRPr="00E60769">
        <w:rPr>
          <w:rFonts w:eastAsiaTheme="minorHAnsi"/>
          <w:sz w:val="26"/>
          <w:szCs w:val="26"/>
          <w:lang w:val="en-GB"/>
        </w:rPr>
        <w:t xml:space="preserve">The interveners were entitled to be represented at the hearing. The six men qualified for legal </w:t>
      </w:r>
      <w:proofErr w:type="gramStart"/>
      <w:r w:rsidRPr="00E60769">
        <w:rPr>
          <w:rFonts w:eastAsiaTheme="minorHAnsi"/>
          <w:sz w:val="26"/>
          <w:szCs w:val="26"/>
          <w:lang w:val="en-GB"/>
        </w:rPr>
        <w:t>aid</w:t>
      </w:r>
      <w:proofErr w:type="gramEnd"/>
      <w:r w:rsidRPr="00E60769">
        <w:rPr>
          <w:rFonts w:eastAsiaTheme="minorHAnsi"/>
          <w:sz w:val="26"/>
          <w:szCs w:val="26"/>
          <w:lang w:val="en-GB"/>
        </w:rPr>
        <w:t xml:space="preserve"> but the grandparents did not. They incurred costs of £52,000, which they met by taking out a mortgage on their house. At the end of the </w:t>
      </w:r>
      <w:proofErr w:type="gramStart"/>
      <w:r w:rsidRPr="00E60769">
        <w:rPr>
          <w:rFonts w:eastAsiaTheme="minorHAnsi"/>
          <w:sz w:val="26"/>
          <w:szCs w:val="26"/>
          <w:lang w:val="en-GB"/>
        </w:rPr>
        <w:t>hearing</w:t>
      </w:r>
      <w:proofErr w:type="gramEnd"/>
      <w:r w:rsidRPr="00E60769">
        <w:rPr>
          <w:rFonts w:eastAsiaTheme="minorHAnsi"/>
          <w:sz w:val="26"/>
          <w:szCs w:val="26"/>
          <w:lang w:val="en-GB"/>
        </w:rPr>
        <w:t xml:space="preserve"> they applied for an order that the local authority should pay their costs on the ground that they had succeeded in defending the allegations made against them. It was accepted that the local authority had acted reasonably in bringing the proceedings.</w:t>
      </w:r>
    </w:p>
    <w:p w14:paraId="6F019F1D" w14:textId="6C567B89" w:rsidR="00AF77CA" w:rsidRPr="00E60769" w:rsidRDefault="000208C3" w:rsidP="00E60769">
      <w:pPr>
        <w:widowControl/>
        <w:adjustRightInd w:val="0"/>
        <w:spacing w:after="240"/>
        <w:jc w:val="both"/>
        <w:rPr>
          <w:rFonts w:eastAsiaTheme="minorHAnsi"/>
          <w:sz w:val="26"/>
          <w:szCs w:val="26"/>
          <w:lang w:val="en-GB"/>
        </w:rPr>
      </w:pPr>
      <w:r w:rsidRPr="00E60769">
        <w:rPr>
          <w:rFonts w:eastAsiaTheme="minorHAnsi"/>
          <w:sz w:val="26"/>
          <w:szCs w:val="26"/>
          <w:lang w:val="en-GB"/>
        </w:rPr>
        <w:t>The judge refused their application on the basis that it was not usual to order costs in a child case</w:t>
      </w:r>
      <w:r w:rsidR="00E60769" w:rsidRPr="00E60769">
        <w:rPr>
          <w:rFonts w:eastAsiaTheme="minorHAnsi"/>
          <w:sz w:val="26"/>
          <w:szCs w:val="26"/>
          <w:lang w:val="en-GB"/>
        </w:rPr>
        <w:t xml:space="preserve"> </w:t>
      </w:r>
      <w:r w:rsidRPr="00E60769">
        <w:rPr>
          <w:rFonts w:eastAsiaTheme="minorHAnsi"/>
          <w:sz w:val="26"/>
          <w:szCs w:val="26"/>
          <w:lang w:val="en-GB"/>
        </w:rPr>
        <w:t>against a party unless that party’s conduct had been unreasonable or reprehensible. The Court of</w:t>
      </w:r>
      <w:r w:rsidR="00E60769" w:rsidRPr="00E60769">
        <w:rPr>
          <w:rFonts w:eastAsiaTheme="minorHAnsi"/>
          <w:sz w:val="26"/>
          <w:szCs w:val="26"/>
          <w:lang w:val="en-GB"/>
        </w:rPr>
        <w:t xml:space="preserve"> </w:t>
      </w:r>
      <w:r w:rsidRPr="00E60769">
        <w:rPr>
          <w:rFonts w:eastAsiaTheme="minorHAnsi"/>
          <w:sz w:val="26"/>
          <w:szCs w:val="26"/>
          <w:lang w:val="en-GB"/>
        </w:rPr>
        <w:t>Appeal allowed the grandparents’ appeal, holding that costs could be awarded in respect of discrete</w:t>
      </w:r>
      <w:r w:rsidR="00E60769" w:rsidRPr="00E60769">
        <w:rPr>
          <w:rFonts w:eastAsiaTheme="minorHAnsi"/>
          <w:sz w:val="26"/>
          <w:szCs w:val="26"/>
          <w:lang w:val="en-GB"/>
        </w:rPr>
        <w:t xml:space="preserve"> </w:t>
      </w:r>
      <w:r w:rsidRPr="00E60769">
        <w:rPr>
          <w:rFonts w:eastAsiaTheme="minorHAnsi"/>
          <w:sz w:val="26"/>
          <w:szCs w:val="26"/>
          <w:lang w:val="en-GB"/>
        </w:rPr>
        <w:t>fact-finding hearings.</w:t>
      </w:r>
    </w:p>
    <w:p w14:paraId="193E55C2" w14:textId="255B3E9B" w:rsidR="0091615F" w:rsidRPr="00E60769" w:rsidRDefault="0091615F" w:rsidP="00E60769">
      <w:pPr>
        <w:widowControl/>
        <w:adjustRightInd w:val="0"/>
        <w:spacing w:after="240"/>
        <w:jc w:val="both"/>
        <w:rPr>
          <w:rFonts w:eastAsiaTheme="minorHAnsi"/>
          <w:sz w:val="26"/>
          <w:szCs w:val="26"/>
          <w:lang w:val="en-GB"/>
        </w:rPr>
      </w:pPr>
      <w:r w:rsidRPr="00E60769">
        <w:rPr>
          <w:rFonts w:eastAsiaTheme="minorHAnsi"/>
          <w:sz w:val="26"/>
          <w:szCs w:val="26"/>
          <w:lang w:val="en-GB"/>
        </w:rPr>
        <w:t>Although it rarely hears appeals relating solely to costs, the Supreme Court granted permission to</w:t>
      </w:r>
      <w:r w:rsidR="00E60769" w:rsidRPr="00E60769">
        <w:rPr>
          <w:rFonts w:eastAsiaTheme="minorHAnsi"/>
          <w:sz w:val="26"/>
          <w:szCs w:val="26"/>
          <w:lang w:val="en-GB"/>
        </w:rPr>
        <w:t xml:space="preserve"> </w:t>
      </w:r>
      <w:r w:rsidRPr="00E60769">
        <w:rPr>
          <w:rFonts w:eastAsiaTheme="minorHAnsi"/>
          <w:sz w:val="26"/>
          <w:szCs w:val="26"/>
          <w:lang w:val="en-GB"/>
        </w:rPr>
        <w:t>appeal because of the important point of principle raised by the appeal, on terms that, whatever the</w:t>
      </w:r>
      <w:r w:rsidR="00E60769" w:rsidRPr="00E60769">
        <w:rPr>
          <w:rFonts w:eastAsiaTheme="minorHAnsi"/>
          <w:sz w:val="26"/>
          <w:szCs w:val="26"/>
          <w:lang w:val="en-GB"/>
        </w:rPr>
        <w:t xml:space="preserve"> </w:t>
      </w:r>
      <w:r w:rsidRPr="00E60769">
        <w:rPr>
          <w:rFonts w:eastAsiaTheme="minorHAnsi"/>
          <w:sz w:val="26"/>
          <w:szCs w:val="26"/>
          <w:lang w:val="en-GB"/>
        </w:rPr>
        <w:t xml:space="preserve">result, the grandparents’ entitlement to recover their costs </w:t>
      </w:r>
      <w:proofErr w:type="gramStart"/>
      <w:r w:rsidRPr="00E60769">
        <w:rPr>
          <w:rFonts w:eastAsiaTheme="minorHAnsi"/>
          <w:sz w:val="26"/>
          <w:szCs w:val="26"/>
          <w:lang w:val="en-GB"/>
        </w:rPr>
        <w:t>as a result of</w:t>
      </w:r>
      <w:proofErr w:type="gramEnd"/>
      <w:r w:rsidRPr="00E60769">
        <w:rPr>
          <w:rFonts w:eastAsiaTheme="minorHAnsi"/>
          <w:sz w:val="26"/>
          <w:szCs w:val="26"/>
          <w:lang w:val="en-GB"/>
        </w:rPr>
        <w:t xml:space="preserve"> the order of the Court of</w:t>
      </w:r>
      <w:r w:rsidR="00E60769" w:rsidRPr="00E60769">
        <w:rPr>
          <w:rFonts w:eastAsiaTheme="minorHAnsi"/>
          <w:sz w:val="26"/>
          <w:szCs w:val="26"/>
          <w:lang w:val="en-GB"/>
        </w:rPr>
        <w:t xml:space="preserve"> </w:t>
      </w:r>
      <w:r w:rsidRPr="00E60769">
        <w:rPr>
          <w:rFonts w:eastAsiaTheme="minorHAnsi"/>
          <w:sz w:val="26"/>
          <w:szCs w:val="26"/>
          <w:lang w:val="en-GB"/>
        </w:rPr>
        <w:t>Appeal would not be disturbed.</w:t>
      </w:r>
    </w:p>
    <w:p w14:paraId="58D7448A" w14:textId="7A30B34A" w:rsidR="00C75F33" w:rsidRDefault="00C75F33" w:rsidP="00C75F33">
      <w:pPr>
        <w:pStyle w:val="Heading1"/>
      </w:pPr>
      <w:r>
        <w:lastRenderedPageBreak/>
        <w:t>JUDGMENT</w:t>
      </w:r>
    </w:p>
    <w:p w14:paraId="1E8AC484" w14:textId="402ECD7C" w:rsidR="00E60769" w:rsidRPr="00511E65" w:rsidRDefault="006B2F09" w:rsidP="00511E65">
      <w:pPr>
        <w:widowControl/>
        <w:adjustRightInd w:val="0"/>
        <w:jc w:val="both"/>
        <w:rPr>
          <w:rFonts w:eastAsiaTheme="minorHAnsi"/>
          <w:sz w:val="26"/>
          <w:szCs w:val="26"/>
          <w:lang w:val="en-GB"/>
        </w:rPr>
      </w:pPr>
      <w:r w:rsidRPr="00511E65">
        <w:rPr>
          <w:rFonts w:eastAsiaTheme="minorHAnsi"/>
          <w:sz w:val="26"/>
          <w:szCs w:val="26"/>
          <w:lang w:val="en-GB"/>
        </w:rPr>
        <w:t>The Supreme Court unanimously allows the appeal. It holds that the general practice of not awarding costs in care proceedings against a party, including a local authority, in the absence of reprehensible</w:t>
      </w:r>
      <w:r w:rsidR="00511E65" w:rsidRPr="00511E65">
        <w:rPr>
          <w:rFonts w:eastAsiaTheme="minorHAnsi"/>
          <w:sz w:val="26"/>
          <w:szCs w:val="26"/>
          <w:lang w:val="en-GB"/>
        </w:rPr>
        <w:t xml:space="preserve"> </w:t>
      </w:r>
      <w:r w:rsidRPr="00511E65">
        <w:rPr>
          <w:rFonts w:eastAsiaTheme="minorHAnsi"/>
          <w:sz w:val="26"/>
          <w:szCs w:val="26"/>
          <w:lang w:val="en-GB"/>
        </w:rPr>
        <w:t>behaviour or an unreasonable stance, should not be subject to an exception in the</w:t>
      </w:r>
      <w:r w:rsidR="00511E65" w:rsidRPr="00511E65">
        <w:rPr>
          <w:rFonts w:eastAsiaTheme="minorHAnsi"/>
          <w:sz w:val="26"/>
          <w:szCs w:val="26"/>
          <w:lang w:val="en-GB"/>
        </w:rPr>
        <w:t xml:space="preserve"> </w:t>
      </w:r>
      <w:r w:rsidRPr="00511E65">
        <w:rPr>
          <w:rFonts w:eastAsiaTheme="minorHAnsi"/>
          <w:sz w:val="26"/>
          <w:szCs w:val="26"/>
          <w:lang w:val="en-GB"/>
        </w:rPr>
        <w:t>case of discrete fact</w:t>
      </w:r>
      <w:r w:rsidR="002B4BC0">
        <w:rPr>
          <w:rFonts w:eastAsiaTheme="minorHAnsi"/>
          <w:sz w:val="26"/>
          <w:szCs w:val="26"/>
          <w:lang w:val="en-GB"/>
        </w:rPr>
        <w:t>-</w:t>
      </w:r>
      <w:r w:rsidRPr="00511E65">
        <w:rPr>
          <w:rFonts w:eastAsiaTheme="minorHAnsi"/>
          <w:sz w:val="26"/>
          <w:szCs w:val="26"/>
          <w:lang w:val="en-GB"/>
        </w:rPr>
        <w:t>finding</w:t>
      </w:r>
      <w:r w:rsidR="00511E65" w:rsidRPr="00511E65">
        <w:rPr>
          <w:rFonts w:eastAsiaTheme="minorHAnsi"/>
          <w:sz w:val="26"/>
          <w:szCs w:val="26"/>
          <w:lang w:val="en-GB"/>
        </w:rPr>
        <w:t xml:space="preserve"> </w:t>
      </w:r>
      <w:r w:rsidRPr="00511E65">
        <w:rPr>
          <w:rFonts w:eastAsiaTheme="minorHAnsi"/>
          <w:sz w:val="26"/>
          <w:szCs w:val="26"/>
          <w:lang w:val="en-GB"/>
        </w:rPr>
        <w:t>hearings. Lord Phillips delivers the judgment of the court.</w:t>
      </w:r>
    </w:p>
    <w:p w14:paraId="00C014AB" w14:textId="2945E176" w:rsidR="00BF1C57" w:rsidRDefault="00BF1C57" w:rsidP="00BF1C57">
      <w:pPr>
        <w:pStyle w:val="Heading1"/>
      </w:pPr>
      <w:r>
        <w:t>REASONS FOR THE JUDGMENT</w:t>
      </w:r>
    </w:p>
    <w:p w14:paraId="186A734C" w14:textId="2825F827" w:rsidR="00485176" w:rsidRPr="005E787F" w:rsidRDefault="004F7230" w:rsidP="005E787F">
      <w:pPr>
        <w:widowControl/>
        <w:adjustRightInd w:val="0"/>
        <w:spacing w:after="240"/>
        <w:jc w:val="both"/>
        <w:rPr>
          <w:rFonts w:eastAsiaTheme="minorHAnsi"/>
          <w:sz w:val="26"/>
          <w:szCs w:val="26"/>
          <w:lang w:val="en-GB"/>
        </w:rPr>
      </w:pPr>
      <w:r w:rsidRPr="005E787F">
        <w:rPr>
          <w:rFonts w:eastAsiaTheme="minorHAnsi"/>
          <w:sz w:val="26"/>
          <w:szCs w:val="26"/>
          <w:lang w:val="en-GB"/>
        </w:rPr>
        <w:t xml:space="preserve">Family proceedings depart from the general rule applicable in civil proceedings that the unsuccessful party will be ordered to pay the costs of the successful party (CPR 44.3(2)(a)). This is because there are special considerations that militate against the approach appropriate in other kinds of adversarial litigation, particularly where the interests of children are at stake. It is usual in proceedings involving a child for no order to be made in relation to costs </w:t>
      </w:r>
      <w:r w:rsidRPr="00424548">
        <w:rPr>
          <w:rFonts w:eastAsiaTheme="minorHAnsi"/>
          <w:b/>
          <w:bCs/>
          <w:sz w:val="26"/>
          <w:szCs w:val="26"/>
          <w:lang w:val="en-GB"/>
        </w:rPr>
        <w:t>[</w:t>
      </w:r>
      <w:r w:rsidRPr="00424548">
        <w:rPr>
          <w:rFonts w:eastAsiaTheme="minorHAnsi" w:cs="Garamond-Bold"/>
          <w:b/>
          <w:bCs/>
          <w:sz w:val="26"/>
          <w:szCs w:val="26"/>
          <w:lang w:val="en-GB"/>
        </w:rPr>
        <w:t>11</w:t>
      </w:r>
      <w:r w:rsidRPr="00424548">
        <w:rPr>
          <w:rFonts w:eastAsiaTheme="minorHAnsi"/>
          <w:b/>
          <w:bCs/>
          <w:sz w:val="26"/>
          <w:szCs w:val="26"/>
          <w:lang w:val="en-GB"/>
        </w:rPr>
        <w:t>]</w:t>
      </w:r>
      <w:r w:rsidRPr="005E787F">
        <w:rPr>
          <w:rFonts w:eastAsiaTheme="minorHAnsi"/>
          <w:sz w:val="26"/>
          <w:szCs w:val="26"/>
          <w:lang w:val="en-GB"/>
        </w:rPr>
        <w:t>.</w:t>
      </w:r>
    </w:p>
    <w:p w14:paraId="4D14816F" w14:textId="5FEC47DD" w:rsidR="004F7230" w:rsidRPr="005E787F" w:rsidRDefault="004F7230" w:rsidP="005E787F">
      <w:pPr>
        <w:widowControl/>
        <w:adjustRightInd w:val="0"/>
        <w:spacing w:after="240"/>
        <w:jc w:val="both"/>
        <w:rPr>
          <w:rFonts w:eastAsiaTheme="minorHAnsi"/>
          <w:sz w:val="26"/>
          <w:szCs w:val="26"/>
          <w:lang w:val="en-GB"/>
        </w:rPr>
      </w:pPr>
      <w:r w:rsidRPr="005E787F">
        <w:rPr>
          <w:rFonts w:eastAsiaTheme="minorHAnsi"/>
          <w:sz w:val="26"/>
          <w:szCs w:val="26"/>
          <w:lang w:val="en-GB"/>
        </w:rPr>
        <w:t xml:space="preserve">Care proceedings usually involve allegations of misconduct towards a child by some persons, typically a parent. The object of the proceedings is to reach a decision which is in the best interests of the child. Often it is necessary to resolve issues of fact which are disputed. The decision </w:t>
      </w:r>
      <w:proofErr w:type="gramStart"/>
      <w:r w:rsidRPr="005E787F">
        <w:rPr>
          <w:rFonts w:eastAsiaTheme="minorHAnsi"/>
          <w:sz w:val="26"/>
          <w:szCs w:val="26"/>
          <w:lang w:val="en-GB"/>
        </w:rPr>
        <w:t>whether or not</w:t>
      </w:r>
      <w:proofErr w:type="gramEnd"/>
      <w:r w:rsidRPr="005E787F">
        <w:rPr>
          <w:rFonts w:eastAsiaTheme="minorHAnsi"/>
          <w:sz w:val="26"/>
          <w:szCs w:val="26"/>
          <w:lang w:val="en-GB"/>
        </w:rPr>
        <w:t xml:space="preserve"> to have a split hearing is one of case management, taken by the court, and cannot affect the principles to be applied by the court when dealing with costs. If it is correct in a particular case to award costs in relation to individual issues of fact this can more easily be done if the costs associated with those issues are incurred in a separate hearing, but this is only relevant to the practicality of such an order </w:t>
      </w:r>
      <w:r w:rsidRPr="00424548">
        <w:rPr>
          <w:rFonts w:eastAsiaTheme="minorHAnsi"/>
          <w:b/>
          <w:bCs/>
          <w:sz w:val="26"/>
          <w:szCs w:val="26"/>
          <w:lang w:val="en-GB"/>
        </w:rPr>
        <w:t>[</w:t>
      </w:r>
      <w:r w:rsidRPr="00424548">
        <w:rPr>
          <w:rFonts w:eastAsiaTheme="minorHAnsi" w:cs="Garamond-Bold"/>
          <w:b/>
          <w:bCs/>
          <w:sz w:val="26"/>
          <w:szCs w:val="26"/>
          <w:lang w:val="en-GB"/>
        </w:rPr>
        <w:t>28</w:t>
      </w:r>
      <w:r w:rsidRPr="00424548">
        <w:rPr>
          <w:rFonts w:eastAsiaTheme="minorHAnsi"/>
          <w:b/>
          <w:bCs/>
          <w:sz w:val="26"/>
          <w:szCs w:val="26"/>
          <w:lang w:val="en-GB"/>
        </w:rPr>
        <w:t>]</w:t>
      </w:r>
      <w:r w:rsidRPr="005E787F">
        <w:rPr>
          <w:rFonts w:eastAsiaTheme="minorHAnsi"/>
          <w:sz w:val="26"/>
          <w:szCs w:val="26"/>
          <w:lang w:val="en-GB"/>
        </w:rPr>
        <w:t>.</w:t>
      </w:r>
    </w:p>
    <w:p w14:paraId="0C491D56" w14:textId="177E63FB" w:rsidR="004F7230" w:rsidRPr="005E787F" w:rsidRDefault="005E787F" w:rsidP="005E787F">
      <w:pPr>
        <w:widowControl/>
        <w:adjustRightInd w:val="0"/>
        <w:spacing w:after="240"/>
        <w:jc w:val="both"/>
        <w:rPr>
          <w:rFonts w:eastAsiaTheme="minorHAnsi"/>
          <w:sz w:val="26"/>
          <w:szCs w:val="26"/>
          <w:lang w:val="en-GB"/>
        </w:rPr>
      </w:pPr>
      <w:r w:rsidRPr="005E787F">
        <w:rPr>
          <w:rFonts w:eastAsiaTheme="minorHAnsi"/>
          <w:sz w:val="26"/>
          <w:szCs w:val="26"/>
          <w:lang w:val="en-GB"/>
        </w:rPr>
        <w:t xml:space="preserve">The question of whether it was just to make an award of costs against a public authority had to be distinguished from the question of whether a litigant’s costs should be publicly funded, which was a matter for Parliament </w:t>
      </w:r>
      <w:r w:rsidRPr="00424548">
        <w:rPr>
          <w:rFonts w:eastAsiaTheme="minorHAnsi"/>
          <w:b/>
          <w:bCs/>
          <w:sz w:val="26"/>
          <w:szCs w:val="26"/>
          <w:lang w:val="en-GB"/>
        </w:rPr>
        <w:t>[</w:t>
      </w:r>
      <w:r w:rsidRPr="00424548">
        <w:rPr>
          <w:rFonts w:eastAsiaTheme="minorHAnsi" w:cs="Garamond-Bold"/>
          <w:b/>
          <w:bCs/>
          <w:sz w:val="26"/>
          <w:szCs w:val="26"/>
          <w:lang w:val="en-GB"/>
        </w:rPr>
        <w:t>39</w:t>
      </w:r>
      <w:r w:rsidRPr="00424548">
        <w:rPr>
          <w:rFonts w:eastAsiaTheme="minorHAnsi"/>
          <w:b/>
          <w:bCs/>
          <w:sz w:val="26"/>
          <w:szCs w:val="26"/>
          <w:lang w:val="en-GB"/>
        </w:rPr>
        <w:t>]</w:t>
      </w:r>
      <w:r w:rsidRPr="005E787F">
        <w:rPr>
          <w:rFonts w:eastAsiaTheme="minorHAnsi"/>
          <w:sz w:val="26"/>
          <w:szCs w:val="26"/>
          <w:lang w:val="en-GB"/>
        </w:rPr>
        <w:t xml:space="preserve">. The current arrangements might lead to injustice for interveners in the position of the grandparents in the present case, but it did not follow that justice demanded that any deficiency in the provision of public funding should be made up from the funds of the local authority responsible for care proceedings </w:t>
      </w:r>
      <w:r w:rsidRPr="00424548">
        <w:rPr>
          <w:rFonts w:eastAsiaTheme="minorHAnsi"/>
          <w:b/>
          <w:bCs/>
          <w:sz w:val="26"/>
          <w:szCs w:val="26"/>
          <w:lang w:val="en-GB"/>
        </w:rPr>
        <w:t>[</w:t>
      </w:r>
      <w:r w:rsidRPr="00424548">
        <w:rPr>
          <w:rFonts w:eastAsiaTheme="minorHAnsi" w:cs="Garamond-Bold"/>
          <w:b/>
          <w:bCs/>
          <w:sz w:val="26"/>
          <w:szCs w:val="26"/>
          <w:lang w:val="en-GB"/>
        </w:rPr>
        <w:t>40</w:t>
      </w:r>
      <w:r w:rsidRPr="00424548">
        <w:rPr>
          <w:rFonts w:eastAsiaTheme="minorHAnsi"/>
          <w:b/>
          <w:bCs/>
          <w:sz w:val="26"/>
          <w:szCs w:val="26"/>
          <w:lang w:val="en-GB"/>
        </w:rPr>
        <w:t>]</w:t>
      </w:r>
      <w:r w:rsidRPr="005E787F">
        <w:rPr>
          <w:rFonts w:eastAsiaTheme="minorHAnsi"/>
          <w:sz w:val="26"/>
          <w:szCs w:val="26"/>
          <w:lang w:val="en-GB"/>
        </w:rPr>
        <w:t xml:space="preserve">. Equally, if in principle a local authority should be liable for the costs of interveners who succeed in showing that factual allegations against them are unfounded, this liability should arise </w:t>
      </w:r>
      <w:proofErr w:type="gramStart"/>
      <w:r w:rsidRPr="005E787F">
        <w:rPr>
          <w:rFonts w:eastAsiaTheme="minorHAnsi"/>
          <w:sz w:val="26"/>
          <w:szCs w:val="26"/>
          <w:lang w:val="en-GB"/>
        </w:rPr>
        <w:t>whether or not</w:t>
      </w:r>
      <w:proofErr w:type="gramEnd"/>
      <w:r w:rsidRPr="005E787F">
        <w:rPr>
          <w:rFonts w:eastAsiaTheme="minorHAnsi"/>
          <w:sz w:val="26"/>
          <w:szCs w:val="26"/>
          <w:lang w:val="en-GB"/>
        </w:rPr>
        <w:t xml:space="preserve"> the interveners are publicly funded </w:t>
      </w:r>
      <w:r w:rsidRPr="00424548">
        <w:rPr>
          <w:rFonts w:eastAsiaTheme="minorHAnsi"/>
          <w:b/>
          <w:bCs/>
          <w:sz w:val="26"/>
          <w:szCs w:val="26"/>
          <w:lang w:val="en-GB"/>
        </w:rPr>
        <w:t>[</w:t>
      </w:r>
      <w:r w:rsidRPr="00424548">
        <w:rPr>
          <w:rFonts w:eastAsiaTheme="minorHAnsi" w:cs="Garamond-Bold"/>
          <w:b/>
          <w:bCs/>
          <w:sz w:val="26"/>
          <w:szCs w:val="26"/>
          <w:lang w:val="en-GB"/>
        </w:rPr>
        <w:t>41</w:t>
      </w:r>
      <w:r w:rsidRPr="00424548">
        <w:rPr>
          <w:rFonts w:eastAsiaTheme="minorHAnsi"/>
          <w:b/>
          <w:bCs/>
          <w:sz w:val="26"/>
          <w:szCs w:val="26"/>
          <w:lang w:val="en-GB"/>
        </w:rPr>
        <w:t>]</w:t>
      </w:r>
      <w:r w:rsidRPr="005E787F">
        <w:rPr>
          <w:rFonts w:eastAsiaTheme="minorHAnsi"/>
          <w:sz w:val="26"/>
          <w:szCs w:val="26"/>
          <w:lang w:val="en-GB"/>
        </w:rPr>
        <w:t>.</w:t>
      </w:r>
    </w:p>
    <w:p w14:paraId="5004B61F" w14:textId="5FCFA688" w:rsidR="005E787F" w:rsidRPr="005E787F" w:rsidRDefault="005E787F" w:rsidP="001A6197">
      <w:pPr>
        <w:widowControl/>
        <w:adjustRightInd w:val="0"/>
        <w:spacing w:after="480"/>
        <w:jc w:val="both"/>
        <w:rPr>
          <w:rFonts w:eastAsiaTheme="minorHAnsi"/>
          <w:sz w:val="26"/>
          <w:szCs w:val="26"/>
          <w:lang w:val="en-GB"/>
        </w:rPr>
      </w:pPr>
      <w:r w:rsidRPr="005E787F">
        <w:rPr>
          <w:rFonts w:eastAsiaTheme="minorHAnsi"/>
          <w:sz w:val="26"/>
          <w:szCs w:val="26"/>
          <w:lang w:val="en-GB"/>
        </w:rPr>
        <w:t xml:space="preserve">It was legitimate to have regard to the competing demands on the limited funds of the local authority. It was not right to treat it as in the same position as a civil litigant who raises an issue that is ultimately determined against him. A local authority has a duty to investigate reports that a child has been subjected to significant harm and, where there are reasonable grounds for believing that they may be well founded, to instigate care proceedings. In this respect the role of the local authority has much in common with that of a prosecuting authority and it is for the court to determine where the truth lies </w:t>
      </w:r>
      <w:r w:rsidRPr="00424548">
        <w:rPr>
          <w:rFonts w:eastAsiaTheme="minorHAnsi"/>
          <w:b/>
          <w:bCs/>
          <w:sz w:val="26"/>
          <w:szCs w:val="26"/>
          <w:lang w:val="en-GB"/>
        </w:rPr>
        <w:t>[</w:t>
      </w:r>
      <w:r w:rsidRPr="00424548">
        <w:rPr>
          <w:rFonts w:eastAsiaTheme="minorHAnsi" w:cs="Garamond-Bold"/>
          <w:b/>
          <w:bCs/>
          <w:sz w:val="26"/>
          <w:szCs w:val="26"/>
          <w:lang w:val="en-GB"/>
        </w:rPr>
        <w:t>42</w:t>
      </w:r>
      <w:r w:rsidRPr="00424548">
        <w:rPr>
          <w:rFonts w:eastAsiaTheme="minorHAnsi"/>
          <w:b/>
          <w:bCs/>
          <w:sz w:val="26"/>
          <w:szCs w:val="26"/>
          <w:lang w:val="en-GB"/>
        </w:rPr>
        <w:t>]</w:t>
      </w:r>
      <w:r w:rsidRPr="005E787F">
        <w:rPr>
          <w:rFonts w:eastAsiaTheme="minorHAnsi"/>
          <w:sz w:val="26"/>
          <w:szCs w:val="26"/>
          <w:lang w:val="en-GB"/>
        </w:rPr>
        <w:t xml:space="preserve">. There was no valid basis for restricting the approach of the Court of Appeal in this case to findings of fact in a split hearing and the effect on the resources of local authorities would be significant </w:t>
      </w:r>
      <w:r w:rsidRPr="00424548">
        <w:rPr>
          <w:rFonts w:eastAsiaTheme="minorHAnsi"/>
          <w:b/>
          <w:bCs/>
          <w:sz w:val="26"/>
          <w:szCs w:val="26"/>
          <w:lang w:val="en-GB"/>
        </w:rPr>
        <w:t>[</w:t>
      </w:r>
      <w:r w:rsidRPr="00424548">
        <w:rPr>
          <w:rFonts w:eastAsiaTheme="minorHAnsi" w:cs="Garamond-Bold"/>
          <w:b/>
          <w:bCs/>
          <w:sz w:val="26"/>
          <w:szCs w:val="26"/>
          <w:lang w:val="en-GB"/>
        </w:rPr>
        <w:t>43</w:t>
      </w:r>
      <w:r w:rsidRPr="00424548">
        <w:rPr>
          <w:rFonts w:eastAsiaTheme="minorHAnsi"/>
          <w:b/>
          <w:bCs/>
          <w:sz w:val="26"/>
          <w:szCs w:val="26"/>
          <w:lang w:val="en-GB"/>
        </w:rPr>
        <w:t>]</w:t>
      </w:r>
      <w:r w:rsidRPr="005E787F">
        <w:rPr>
          <w:rFonts w:eastAsiaTheme="minorHAnsi"/>
          <w:sz w:val="26"/>
          <w:szCs w:val="26"/>
          <w:lang w:val="en-GB"/>
        </w:rPr>
        <w:t xml:space="preserve">. For these reasons the Supreme Court concluded that that the general practice of not awarding costs in care proceedings against a party, including a local authority, in the absence of reprehensible behaviour or an unreasonable stance, is </w:t>
      </w:r>
      <w:r w:rsidRPr="005E787F">
        <w:rPr>
          <w:rFonts w:eastAsiaTheme="minorHAnsi"/>
          <w:sz w:val="26"/>
          <w:szCs w:val="26"/>
          <w:lang w:val="en-GB"/>
        </w:rPr>
        <w:lastRenderedPageBreak/>
        <w:t xml:space="preserve">one that accords with the ends of </w:t>
      </w:r>
      <w:proofErr w:type="gramStart"/>
      <w:r w:rsidRPr="005E787F">
        <w:rPr>
          <w:rFonts w:eastAsiaTheme="minorHAnsi"/>
          <w:sz w:val="26"/>
          <w:szCs w:val="26"/>
          <w:lang w:val="en-GB"/>
        </w:rPr>
        <w:t>justice</w:t>
      </w:r>
      <w:proofErr w:type="gramEnd"/>
      <w:r w:rsidRPr="005E787F">
        <w:rPr>
          <w:rFonts w:eastAsiaTheme="minorHAnsi"/>
          <w:sz w:val="26"/>
          <w:szCs w:val="26"/>
          <w:lang w:val="en-GB"/>
        </w:rPr>
        <w:t xml:space="preserve"> and which should not be subject to an exception in the case of split hearings </w:t>
      </w:r>
      <w:r w:rsidRPr="00424548">
        <w:rPr>
          <w:rFonts w:eastAsiaTheme="minorHAnsi"/>
          <w:b/>
          <w:bCs/>
          <w:sz w:val="26"/>
          <w:szCs w:val="26"/>
          <w:lang w:val="en-GB"/>
        </w:rPr>
        <w:t>[</w:t>
      </w:r>
      <w:r w:rsidRPr="00424548">
        <w:rPr>
          <w:rFonts w:eastAsiaTheme="minorHAnsi" w:cs="Garamond-Bold"/>
          <w:b/>
          <w:bCs/>
          <w:sz w:val="26"/>
          <w:szCs w:val="26"/>
          <w:lang w:val="en-GB"/>
        </w:rPr>
        <w:t>44</w:t>
      </w:r>
      <w:r w:rsidRPr="00424548">
        <w:rPr>
          <w:rFonts w:eastAsiaTheme="minorHAnsi"/>
          <w:b/>
          <w:bCs/>
          <w:sz w:val="26"/>
          <w:szCs w:val="26"/>
          <w:lang w:val="en-GB"/>
        </w:rPr>
        <w:t>]</w:t>
      </w:r>
      <w:r w:rsidRPr="005E787F">
        <w:rPr>
          <w:rFonts w:eastAsiaTheme="minorHAnsi"/>
          <w:sz w:val="26"/>
          <w:szCs w:val="26"/>
          <w:lang w:val="en-GB"/>
        </w:rPr>
        <w:t>.</w:t>
      </w:r>
    </w:p>
    <w:p w14:paraId="0D39DF37" w14:textId="77777777" w:rsidR="00216388" w:rsidRPr="00424548" w:rsidRDefault="00216388" w:rsidP="00216388">
      <w:pPr>
        <w:pStyle w:val="CM2"/>
        <w:spacing w:after="240"/>
        <w:ind w:right="232"/>
        <w:jc w:val="both"/>
        <w:rPr>
          <w:rFonts w:cs="Garamond"/>
          <w:i/>
          <w:iCs/>
          <w:color w:val="000000"/>
          <w:sz w:val="26"/>
          <w:szCs w:val="26"/>
        </w:rPr>
      </w:pPr>
      <w:r w:rsidRPr="00424548">
        <w:rPr>
          <w:rFonts w:cs="Garamond"/>
          <w:i/>
          <w:iCs/>
          <w:color w:val="000000"/>
          <w:sz w:val="26"/>
          <w:szCs w:val="26"/>
        </w:rPr>
        <w:t xml:space="preserve">References in square brackets are to paragraphs in the </w:t>
      </w:r>
      <w:proofErr w:type="gramStart"/>
      <w:r w:rsidRPr="00424548">
        <w:rPr>
          <w:rFonts w:cs="Garamond"/>
          <w:i/>
          <w:iCs/>
          <w:color w:val="000000"/>
          <w:sz w:val="26"/>
          <w:szCs w:val="26"/>
        </w:rPr>
        <w:t>judgment</w:t>
      </w:r>
      <w:proofErr w:type="gramEnd"/>
    </w:p>
    <w:p w14:paraId="26697A44" w14:textId="2FA75FBD" w:rsidR="007F53E9" w:rsidRPr="00DA59A4" w:rsidRDefault="009E426D" w:rsidP="00C42949">
      <w:pPr>
        <w:spacing w:after="120"/>
        <w:jc w:val="both"/>
        <w:rPr>
          <w:b/>
          <w:sz w:val="24"/>
          <w:szCs w:val="24"/>
        </w:rPr>
      </w:pPr>
      <w:r w:rsidRPr="00DA59A4">
        <w:rPr>
          <w:b/>
          <w:spacing w:val="-4"/>
          <w:sz w:val="24"/>
          <w:szCs w:val="24"/>
          <w:u w:val="single"/>
        </w:rPr>
        <w:t>NOTE</w:t>
      </w:r>
    </w:p>
    <w:p w14:paraId="00418A8F" w14:textId="38BA080A" w:rsidR="00D05DC4" w:rsidRPr="00D05DC4" w:rsidRDefault="00D05DC4" w:rsidP="00C42949">
      <w:pPr>
        <w:jc w:val="both"/>
        <w:rPr>
          <w:b/>
          <w:sz w:val="24"/>
          <w:szCs w:val="24"/>
        </w:rPr>
      </w:pPr>
      <w:r w:rsidRPr="00D05DC4">
        <w:rPr>
          <w:b/>
          <w:sz w:val="24"/>
          <w:szCs w:val="24"/>
        </w:rPr>
        <w:t>This summary is provided to assist in understanding the Court’s decision. It does not form part of the reasons for the decision. The full judgment of the Court is the only authoritative document. Judgments are public documents and are available at:</w:t>
      </w:r>
    </w:p>
    <w:p w14:paraId="26697A45" w14:textId="67201DA3" w:rsidR="007F53E9" w:rsidRDefault="00416DA6" w:rsidP="00C42949">
      <w:pPr>
        <w:jc w:val="both"/>
        <w:rPr>
          <w:rStyle w:val="Hyperlink"/>
          <w:sz w:val="24"/>
          <w:szCs w:val="24"/>
        </w:rPr>
      </w:pPr>
      <w:hyperlink r:id="rId12" w:history="1">
        <w:r w:rsidR="00464737">
          <w:rPr>
            <w:rStyle w:val="Hyperlink"/>
            <w:sz w:val="24"/>
            <w:szCs w:val="24"/>
          </w:rPr>
          <w:t>https://www.supremecourt.uk/decided-cases/index.html</w:t>
        </w:r>
      </w:hyperlink>
    </w:p>
    <w:sectPr w:rsidR="007F53E9" w:rsidSect="00BD4EAA">
      <w:headerReference w:type="even" r:id="rId13"/>
      <w:headerReference w:type="default" r:id="rId14"/>
      <w:footerReference w:type="even" r:id="rId15"/>
      <w:footerReference w:type="default" r:id="rId16"/>
      <w:headerReference w:type="first" r:id="rId17"/>
      <w:footerReference w:type="first" r:id="rId18"/>
      <w:pgSz w:w="11910" w:h="16840"/>
      <w:pgMar w:top="993"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2D973" w14:textId="77777777" w:rsidR="006278CD" w:rsidRDefault="006278CD" w:rsidP="00BA527D">
      <w:r>
        <w:separator/>
      </w:r>
    </w:p>
  </w:endnote>
  <w:endnote w:type="continuationSeparator" w:id="0">
    <w:p w14:paraId="79338D8A" w14:textId="77777777" w:rsidR="006278CD" w:rsidRDefault="006278CD" w:rsidP="00BA527D">
      <w:r>
        <w:continuationSeparator/>
      </w:r>
    </w:p>
  </w:endnote>
  <w:endnote w:type="continuationNotice" w:id="1">
    <w:p w14:paraId="60696F3F" w14:textId="77777777" w:rsidR="006278CD" w:rsidRDefault="00627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Bold">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EEE4" w14:textId="77777777" w:rsidR="00504DCB" w:rsidRDefault="00504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6117" w14:textId="69D1CF11" w:rsidR="00273F53" w:rsidRDefault="00273F53" w:rsidP="00273F53">
    <w:pPr>
      <w:pStyle w:val="Footer"/>
      <w:ind w:left="4513" w:hanging="4513"/>
      <w:jc w:val="center"/>
      <w:rPr>
        <w:rFonts w:ascii="Times New Roman" w:eastAsiaTheme="minorHAnsi" w:hAnsi="Times New Roman" w:cs="Times New Roman"/>
        <w:b/>
        <w:bCs/>
        <w:color w:val="000000"/>
        <w:sz w:val="20"/>
        <w:szCs w:val="20"/>
        <w:lang w:val="en-GB"/>
      </w:rPr>
    </w:pPr>
    <w:r>
      <w:rPr>
        <w:rFonts w:ascii="Times New Roman" w:eastAsiaTheme="minorHAnsi" w:hAnsi="Times New Roman" w:cs="Times New Roman"/>
        <w:b/>
        <w:bCs/>
        <w:color w:val="000000"/>
        <w:sz w:val="20"/>
        <w:szCs w:val="20"/>
        <w:lang w:val="en-GB"/>
      </w:rPr>
      <w:t>T</w:t>
    </w:r>
    <w:r w:rsidRPr="00273F53">
      <w:rPr>
        <w:rFonts w:ascii="Times New Roman" w:eastAsiaTheme="minorHAnsi" w:hAnsi="Times New Roman" w:cs="Times New Roman"/>
        <w:b/>
        <w:bCs/>
        <w:color w:val="000000"/>
        <w:sz w:val="20"/>
        <w:szCs w:val="20"/>
        <w:lang w:val="en-GB"/>
      </w:rPr>
      <w:t>he Supreme Court of the United Kingdom</w:t>
    </w:r>
  </w:p>
  <w:p w14:paraId="7D10CFD9" w14:textId="5F36345D" w:rsidR="00273F53" w:rsidRPr="00504DCB" w:rsidRDefault="00273F53" w:rsidP="00504DCB">
    <w:pPr>
      <w:pStyle w:val="Footer"/>
      <w:jc w:val="center"/>
      <w:rPr>
        <w:rFonts w:ascii="Times New Roman" w:eastAsiaTheme="minorHAnsi" w:hAnsi="Times New Roman" w:cs="Times New Roman"/>
        <w:b/>
        <w:bCs/>
        <w:color w:val="000000"/>
        <w:sz w:val="20"/>
        <w:szCs w:val="20"/>
        <w:lang w:val="en-GB"/>
      </w:rPr>
    </w:pPr>
    <w:r w:rsidRPr="00273F53">
      <w:rPr>
        <w:rFonts w:ascii="Times New Roman" w:eastAsiaTheme="minorHAnsi" w:hAnsi="Times New Roman" w:cs="Times New Roman"/>
        <w:color w:val="000000"/>
        <w:sz w:val="20"/>
        <w:szCs w:val="20"/>
        <w:lang w:val="en-GB"/>
      </w:rPr>
      <w:t xml:space="preserve">Parliament Square London SW1P 3BD </w:t>
    </w:r>
    <w:r w:rsidRPr="00273F53">
      <w:rPr>
        <w:rFonts w:ascii="Times New Roman" w:eastAsiaTheme="minorHAnsi" w:hAnsi="Times New Roman" w:cs="Times New Roman"/>
        <w:b/>
        <w:bCs/>
        <w:color w:val="000000"/>
        <w:sz w:val="20"/>
        <w:szCs w:val="20"/>
        <w:lang w:val="en-GB"/>
      </w:rPr>
      <w:t xml:space="preserve">T: </w:t>
    </w:r>
    <w:r w:rsidRPr="00273F53">
      <w:rPr>
        <w:rFonts w:ascii="Times New Roman" w:eastAsiaTheme="minorHAnsi" w:hAnsi="Times New Roman" w:cs="Times New Roman"/>
        <w:color w:val="000000"/>
        <w:sz w:val="20"/>
        <w:szCs w:val="20"/>
        <w:lang w:val="en-GB"/>
      </w:rPr>
      <w:t xml:space="preserve">020 7960 1886/1887 </w:t>
    </w:r>
    <w:r w:rsidRPr="00273F53">
      <w:rPr>
        <w:rFonts w:ascii="Times New Roman" w:eastAsiaTheme="minorHAnsi" w:hAnsi="Times New Roman" w:cs="Times New Roman"/>
        <w:b/>
        <w:bCs/>
        <w:color w:val="000000"/>
        <w:sz w:val="20"/>
        <w:szCs w:val="20"/>
        <w:lang w:val="en-GB"/>
      </w:rPr>
      <w:t xml:space="preserve">F: </w:t>
    </w:r>
    <w:r w:rsidRPr="00273F53">
      <w:rPr>
        <w:rFonts w:ascii="Times New Roman" w:eastAsiaTheme="minorHAnsi" w:hAnsi="Times New Roman" w:cs="Times New Roman"/>
        <w:color w:val="000000"/>
        <w:sz w:val="20"/>
        <w:szCs w:val="20"/>
        <w:lang w:val="en-GB"/>
      </w:rPr>
      <w:t xml:space="preserve">020 7960 1901 </w:t>
    </w:r>
    <w:r w:rsidRPr="00273F53">
      <w:rPr>
        <w:rFonts w:ascii="Times New Roman" w:eastAsiaTheme="minorHAnsi" w:hAnsi="Times New Roman" w:cs="Times New Roman"/>
        <w:b/>
        <w:bCs/>
        <w:color w:val="000000"/>
        <w:sz w:val="20"/>
        <w:szCs w:val="20"/>
        <w:lang w:val="en-GB"/>
      </w:rPr>
      <w:t>www.supremecourt.uk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E3830" w14:textId="77777777" w:rsidR="00504DCB" w:rsidRDefault="00504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1437" w14:textId="77777777" w:rsidR="006278CD" w:rsidRDefault="006278CD" w:rsidP="00BA527D">
      <w:r>
        <w:separator/>
      </w:r>
    </w:p>
  </w:footnote>
  <w:footnote w:type="continuationSeparator" w:id="0">
    <w:p w14:paraId="77134953" w14:textId="77777777" w:rsidR="006278CD" w:rsidRDefault="006278CD" w:rsidP="00BA527D">
      <w:r>
        <w:continuationSeparator/>
      </w:r>
    </w:p>
  </w:footnote>
  <w:footnote w:type="continuationNotice" w:id="1">
    <w:p w14:paraId="6CF2EAF1" w14:textId="77777777" w:rsidR="006278CD" w:rsidRDefault="006278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DFAB" w14:textId="77777777" w:rsidR="00504DCB" w:rsidRDefault="00504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6B17" w14:textId="77777777" w:rsidR="00504DCB" w:rsidRDefault="00504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85A9" w14:textId="77777777" w:rsidR="00504DCB" w:rsidRDefault="00504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CE124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97A0F"/>
    <w:multiLevelType w:val="hybridMultilevel"/>
    <w:tmpl w:val="BB60CE3C"/>
    <w:lvl w:ilvl="0" w:tplc="8AC66B46">
      <w:start w:val="1"/>
      <w:numFmt w:val="lowerRoman"/>
      <w:lvlText w:val="(%1)"/>
      <w:lvlJc w:val="left"/>
      <w:pPr>
        <w:ind w:left="1080" w:hanging="720"/>
      </w:pPr>
      <w:rPr>
        <w:rFonts w:hint="default"/>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351E0F"/>
    <w:multiLevelType w:val="hybridMultilevel"/>
    <w:tmpl w:val="6AC69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967C1D"/>
    <w:multiLevelType w:val="hybridMultilevel"/>
    <w:tmpl w:val="68748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26013"/>
    <w:multiLevelType w:val="hybridMultilevel"/>
    <w:tmpl w:val="FF62F4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580E4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52216D"/>
    <w:multiLevelType w:val="hybridMultilevel"/>
    <w:tmpl w:val="160C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BE27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1883623"/>
    <w:multiLevelType w:val="hybridMultilevel"/>
    <w:tmpl w:val="3244C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C95AD2"/>
    <w:multiLevelType w:val="hybridMultilevel"/>
    <w:tmpl w:val="F250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DC05ED"/>
    <w:multiLevelType w:val="hybridMultilevel"/>
    <w:tmpl w:val="0936B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F06AC0"/>
    <w:multiLevelType w:val="hybridMultilevel"/>
    <w:tmpl w:val="C7CE9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2453D1"/>
    <w:multiLevelType w:val="hybridMultilevel"/>
    <w:tmpl w:val="CAA21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33A99"/>
    <w:multiLevelType w:val="hybridMultilevel"/>
    <w:tmpl w:val="90FA60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1A6401"/>
    <w:multiLevelType w:val="hybridMultilevel"/>
    <w:tmpl w:val="6FD49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15460B"/>
    <w:multiLevelType w:val="hybridMultilevel"/>
    <w:tmpl w:val="C2A0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214819"/>
    <w:multiLevelType w:val="hybridMultilevel"/>
    <w:tmpl w:val="37809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D66B32"/>
    <w:multiLevelType w:val="hybridMultilevel"/>
    <w:tmpl w:val="63982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C92F94"/>
    <w:multiLevelType w:val="hybridMultilevel"/>
    <w:tmpl w:val="8DA2174A"/>
    <w:lvl w:ilvl="0" w:tplc="25DCB9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574E22"/>
    <w:multiLevelType w:val="hybridMultilevel"/>
    <w:tmpl w:val="6AE06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E33D00"/>
    <w:multiLevelType w:val="hybridMultilevel"/>
    <w:tmpl w:val="D756B1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062C8F"/>
    <w:multiLevelType w:val="hybridMultilevel"/>
    <w:tmpl w:val="6C741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867A43"/>
    <w:multiLevelType w:val="hybridMultilevel"/>
    <w:tmpl w:val="5C6C2684"/>
    <w:lvl w:ilvl="0" w:tplc="25DCB9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6AF887"/>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B9826D2"/>
    <w:multiLevelType w:val="hybridMultilevel"/>
    <w:tmpl w:val="458A2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237CC2"/>
    <w:multiLevelType w:val="hybridMultilevel"/>
    <w:tmpl w:val="CD4C8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90C83"/>
    <w:multiLevelType w:val="hybridMultilevel"/>
    <w:tmpl w:val="5706D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600B70"/>
    <w:multiLevelType w:val="hybridMultilevel"/>
    <w:tmpl w:val="092E9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C15C38"/>
    <w:multiLevelType w:val="hybridMultilevel"/>
    <w:tmpl w:val="D35649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E200BF"/>
    <w:multiLevelType w:val="hybridMultilevel"/>
    <w:tmpl w:val="A590F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6FF92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F7822AA"/>
    <w:multiLevelType w:val="hybridMultilevel"/>
    <w:tmpl w:val="04F0D546"/>
    <w:lvl w:ilvl="0" w:tplc="C2D02B24">
      <w:numFmt w:val="bullet"/>
      <w:lvlText w:val=""/>
      <w:lvlJc w:val="left"/>
      <w:pPr>
        <w:ind w:left="720" w:hanging="360"/>
      </w:pPr>
      <w:rPr>
        <w:rFonts w:ascii="Symbol" w:eastAsia="Garamond" w:hAnsi="Symbol" w:cs="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6811AD"/>
    <w:multiLevelType w:val="hybridMultilevel"/>
    <w:tmpl w:val="A89E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8B514A"/>
    <w:multiLevelType w:val="hybridMultilevel"/>
    <w:tmpl w:val="7B2C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6761989">
    <w:abstractNumId w:val="14"/>
  </w:num>
  <w:num w:numId="2" w16cid:durableId="1826823465">
    <w:abstractNumId w:val="31"/>
  </w:num>
  <w:num w:numId="3" w16cid:durableId="219677762">
    <w:abstractNumId w:val="8"/>
  </w:num>
  <w:num w:numId="4" w16cid:durableId="1708487896">
    <w:abstractNumId w:val="1"/>
  </w:num>
  <w:num w:numId="5" w16cid:durableId="1125730334">
    <w:abstractNumId w:val="32"/>
  </w:num>
  <w:num w:numId="6" w16cid:durableId="179783642">
    <w:abstractNumId w:val="15"/>
  </w:num>
  <w:num w:numId="7" w16cid:durableId="1050616382">
    <w:abstractNumId w:val="27"/>
  </w:num>
  <w:num w:numId="8" w16cid:durableId="794370266">
    <w:abstractNumId w:val="6"/>
  </w:num>
  <w:num w:numId="9" w16cid:durableId="1083456898">
    <w:abstractNumId w:val="29"/>
  </w:num>
  <w:num w:numId="10" w16cid:durableId="1569262513">
    <w:abstractNumId w:val="17"/>
  </w:num>
  <w:num w:numId="11" w16cid:durableId="14507847">
    <w:abstractNumId w:val="28"/>
  </w:num>
  <w:num w:numId="12" w16cid:durableId="1362049688">
    <w:abstractNumId w:val="0"/>
  </w:num>
  <w:num w:numId="13" w16cid:durableId="110128096">
    <w:abstractNumId w:val="7"/>
  </w:num>
  <w:num w:numId="14" w16cid:durableId="536897425">
    <w:abstractNumId w:val="23"/>
  </w:num>
  <w:num w:numId="15" w16cid:durableId="393158796">
    <w:abstractNumId w:val="30"/>
  </w:num>
  <w:num w:numId="16" w16cid:durableId="1536653707">
    <w:abstractNumId w:val="5"/>
  </w:num>
  <w:num w:numId="17" w16cid:durableId="1259100486">
    <w:abstractNumId w:val="11"/>
  </w:num>
  <w:num w:numId="18" w16cid:durableId="656149657">
    <w:abstractNumId w:val="2"/>
  </w:num>
  <w:num w:numId="19" w16cid:durableId="1285775279">
    <w:abstractNumId w:val="3"/>
  </w:num>
  <w:num w:numId="20" w16cid:durableId="1957562013">
    <w:abstractNumId w:val="22"/>
  </w:num>
  <w:num w:numId="21" w16cid:durableId="584924659">
    <w:abstractNumId w:val="18"/>
  </w:num>
  <w:num w:numId="22" w16cid:durableId="1051225430">
    <w:abstractNumId w:val="24"/>
  </w:num>
  <w:num w:numId="23" w16cid:durableId="1090078251">
    <w:abstractNumId w:val="10"/>
  </w:num>
  <w:num w:numId="24" w16cid:durableId="609237987">
    <w:abstractNumId w:val="12"/>
  </w:num>
  <w:num w:numId="25" w16cid:durableId="1244990045">
    <w:abstractNumId w:val="21"/>
  </w:num>
  <w:num w:numId="26" w16cid:durableId="1134444568">
    <w:abstractNumId w:val="4"/>
  </w:num>
  <w:num w:numId="27" w16cid:durableId="456460753">
    <w:abstractNumId w:val="13"/>
  </w:num>
  <w:num w:numId="28" w16cid:durableId="82341303">
    <w:abstractNumId w:val="25"/>
  </w:num>
  <w:num w:numId="29" w16cid:durableId="1778525048">
    <w:abstractNumId w:val="33"/>
  </w:num>
  <w:num w:numId="30" w16cid:durableId="88283538">
    <w:abstractNumId w:val="16"/>
  </w:num>
  <w:num w:numId="31" w16cid:durableId="2076465049">
    <w:abstractNumId w:val="19"/>
  </w:num>
  <w:num w:numId="32" w16cid:durableId="1566725584">
    <w:abstractNumId w:val="20"/>
  </w:num>
  <w:num w:numId="33" w16cid:durableId="932057778">
    <w:abstractNumId w:val="26"/>
  </w:num>
  <w:num w:numId="34" w16cid:durableId="89396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7F53E9"/>
    <w:rsid w:val="00002E23"/>
    <w:rsid w:val="000033D7"/>
    <w:rsid w:val="0000347F"/>
    <w:rsid w:val="00005E23"/>
    <w:rsid w:val="00007C9D"/>
    <w:rsid w:val="00011DE1"/>
    <w:rsid w:val="00011FC1"/>
    <w:rsid w:val="00013332"/>
    <w:rsid w:val="0001619C"/>
    <w:rsid w:val="000208C3"/>
    <w:rsid w:val="00021ABB"/>
    <w:rsid w:val="0002524A"/>
    <w:rsid w:val="00026538"/>
    <w:rsid w:val="00030D01"/>
    <w:rsid w:val="00032AA4"/>
    <w:rsid w:val="0003400A"/>
    <w:rsid w:val="00035BD1"/>
    <w:rsid w:val="00040336"/>
    <w:rsid w:val="0004407A"/>
    <w:rsid w:val="00047469"/>
    <w:rsid w:val="00047875"/>
    <w:rsid w:val="0005577F"/>
    <w:rsid w:val="00057883"/>
    <w:rsid w:val="000611AB"/>
    <w:rsid w:val="000635A4"/>
    <w:rsid w:val="000648A0"/>
    <w:rsid w:val="0006501E"/>
    <w:rsid w:val="000666BC"/>
    <w:rsid w:val="00071975"/>
    <w:rsid w:val="000722CD"/>
    <w:rsid w:val="00073744"/>
    <w:rsid w:val="000744F7"/>
    <w:rsid w:val="000750D7"/>
    <w:rsid w:val="000815E5"/>
    <w:rsid w:val="00081AFC"/>
    <w:rsid w:val="0008457E"/>
    <w:rsid w:val="000849CA"/>
    <w:rsid w:val="00084B64"/>
    <w:rsid w:val="00084D85"/>
    <w:rsid w:val="00085893"/>
    <w:rsid w:val="00085D09"/>
    <w:rsid w:val="00087BE0"/>
    <w:rsid w:val="000918DD"/>
    <w:rsid w:val="000924C6"/>
    <w:rsid w:val="00094AF7"/>
    <w:rsid w:val="000962E7"/>
    <w:rsid w:val="00096852"/>
    <w:rsid w:val="00096F6C"/>
    <w:rsid w:val="000A2A81"/>
    <w:rsid w:val="000A43E4"/>
    <w:rsid w:val="000A4C2E"/>
    <w:rsid w:val="000B1A3E"/>
    <w:rsid w:val="000B35D8"/>
    <w:rsid w:val="000C00A8"/>
    <w:rsid w:val="000C0515"/>
    <w:rsid w:val="000C1F8E"/>
    <w:rsid w:val="000C30EA"/>
    <w:rsid w:val="000C556A"/>
    <w:rsid w:val="000C5AA9"/>
    <w:rsid w:val="000C62B7"/>
    <w:rsid w:val="000C68C7"/>
    <w:rsid w:val="000D3C6C"/>
    <w:rsid w:val="000D3DAE"/>
    <w:rsid w:val="000D49AF"/>
    <w:rsid w:val="000D65BC"/>
    <w:rsid w:val="000D6B2F"/>
    <w:rsid w:val="000D7ABA"/>
    <w:rsid w:val="000E0A6B"/>
    <w:rsid w:val="000E2F2A"/>
    <w:rsid w:val="000E3E62"/>
    <w:rsid w:val="000E4913"/>
    <w:rsid w:val="000E68C2"/>
    <w:rsid w:val="000E6C68"/>
    <w:rsid w:val="000F040A"/>
    <w:rsid w:val="000F05E3"/>
    <w:rsid w:val="000F099E"/>
    <w:rsid w:val="000F5A77"/>
    <w:rsid w:val="000F6C15"/>
    <w:rsid w:val="00101744"/>
    <w:rsid w:val="00106E22"/>
    <w:rsid w:val="00110E11"/>
    <w:rsid w:val="0011175F"/>
    <w:rsid w:val="00112218"/>
    <w:rsid w:val="001156D5"/>
    <w:rsid w:val="00120372"/>
    <w:rsid w:val="001216F8"/>
    <w:rsid w:val="0012301D"/>
    <w:rsid w:val="00123514"/>
    <w:rsid w:val="001304DA"/>
    <w:rsid w:val="00130F4A"/>
    <w:rsid w:val="001310B9"/>
    <w:rsid w:val="00132FE9"/>
    <w:rsid w:val="0013350D"/>
    <w:rsid w:val="00133FFB"/>
    <w:rsid w:val="00135A6F"/>
    <w:rsid w:val="00136F1A"/>
    <w:rsid w:val="001405E4"/>
    <w:rsid w:val="001406CF"/>
    <w:rsid w:val="00142240"/>
    <w:rsid w:val="0014614E"/>
    <w:rsid w:val="00147B5E"/>
    <w:rsid w:val="001513C7"/>
    <w:rsid w:val="00152676"/>
    <w:rsid w:val="00153FF2"/>
    <w:rsid w:val="00155993"/>
    <w:rsid w:val="00160A74"/>
    <w:rsid w:val="00161292"/>
    <w:rsid w:val="00161933"/>
    <w:rsid w:val="00166098"/>
    <w:rsid w:val="00166737"/>
    <w:rsid w:val="00166B35"/>
    <w:rsid w:val="00170536"/>
    <w:rsid w:val="00170E35"/>
    <w:rsid w:val="00172FDC"/>
    <w:rsid w:val="00176D86"/>
    <w:rsid w:val="0018516D"/>
    <w:rsid w:val="001857F3"/>
    <w:rsid w:val="001859DE"/>
    <w:rsid w:val="00187840"/>
    <w:rsid w:val="00187E48"/>
    <w:rsid w:val="0019137B"/>
    <w:rsid w:val="001935A4"/>
    <w:rsid w:val="0019368D"/>
    <w:rsid w:val="00193867"/>
    <w:rsid w:val="00193E23"/>
    <w:rsid w:val="001A0879"/>
    <w:rsid w:val="001A0F21"/>
    <w:rsid w:val="001A182B"/>
    <w:rsid w:val="001A2241"/>
    <w:rsid w:val="001A3A5B"/>
    <w:rsid w:val="001A401B"/>
    <w:rsid w:val="001A5A31"/>
    <w:rsid w:val="001A6197"/>
    <w:rsid w:val="001A769F"/>
    <w:rsid w:val="001B0FE9"/>
    <w:rsid w:val="001B104B"/>
    <w:rsid w:val="001B2E59"/>
    <w:rsid w:val="001B34B9"/>
    <w:rsid w:val="001C02C1"/>
    <w:rsid w:val="001C3F63"/>
    <w:rsid w:val="001D0726"/>
    <w:rsid w:val="001D38AD"/>
    <w:rsid w:val="001D5026"/>
    <w:rsid w:val="001D5090"/>
    <w:rsid w:val="001D575B"/>
    <w:rsid w:val="001D585F"/>
    <w:rsid w:val="001E0EB7"/>
    <w:rsid w:val="001E4246"/>
    <w:rsid w:val="001F13FE"/>
    <w:rsid w:val="001F2A5B"/>
    <w:rsid w:val="001F36A4"/>
    <w:rsid w:val="001F3EEA"/>
    <w:rsid w:val="001F5625"/>
    <w:rsid w:val="001F6666"/>
    <w:rsid w:val="00210311"/>
    <w:rsid w:val="0021130F"/>
    <w:rsid w:val="00211F6F"/>
    <w:rsid w:val="00212880"/>
    <w:rsid w:val="00216388"/>
    <w:rsid w:val="00220526"/>
    <w:rsid w:val="00220882"/>
    <w:rsid w:val="00220A82"/>
    <w:rsid w:val="00221281"/>
    <w:rsid w:val="002227C0"/>
    <w:rsid w:val="00224005"/>
    <w:rsid w:val="00232C0C"/>
    <w:rsid w:val="00233F3A"/>
    <w:rsid w:val="002347F9"/>
    <w:rsid w:val="00235200"/>
    <w:rsid w:val="0023656F"/>
    <w:rsid w:val="00237D3A"/>
    <w:rsid w:val="00240053"/>
    <w:rsid w:val="0024056F"/>
    <w:rsid w:val="002410C6"/>
    <w:rsid w:val="0024146C"/>
    <w:rsid w:val="0024208C"/>
    <w:rsid w:val="00242536"/>
    <w:rsid w:val="00253B0E"/>
    <w:rsid w:val="00254AE7"/>
    <w:rsid w:val="0025532C"/>
    <w:rsid w:val="00255379"/>
    <w:rsid w:val="00256C42"/>
    <w:rsid w:val="002620C8"/>
    <w:rsid w:val="00263573"/>
    <w:rsid w:val="00266524"/>
    <w:rsid w:val="0027011E"/>
    <w:rsid w:val="0027117E"/>
    <w:rsid w:val="002721E3"/>
    <w:rsid w:val="00273F53"/>
    <w:rsid w:val="002743B0"/>
    <w:rsid w:val="002861E2"/>
    <w:rsid w:val="00287287"/>
    <w:rsid w:val="00290F9B"/>
    <w:rsid w:val="00291629"/>
    <w:rsid w:val="00291F82"/>
    <w:rsid w:val="00293402"/>
    <w:rsid w:val="00297A02"/>
    <w:rsid w:val="002A021C"/>
    <w:rsid w:val="002A06A2"/>
    <w:rsid w:val="002A148D"/>
    <w:rsid w:val="002A214E"/>
    <w:rsid w:val="002A613A"/>
    <w:rsid w:val="002B02B0"/>
    <w:rsid w:val="002B3680"/>
    <w:rsid w:val="002B4029"/>
    <w:rsid w:val="002B4BC0"/>
    <w:rsid w:val="002B52A4"/>
    <w:rsid w:val="002B5A2C"/>
    <w:rsid w:val="002B5EE5"/>
    <w:rsid w:val="002C139A"/>
    <w:rsid w:val="002C4ACD"/>
    <w:rsid w:val="002D0FFD"/>
    <w:rsid w:val="002D4B32"/>
    <w:rsid w:val="002D4C45"/>
    <w:rsid w:val="002D546D"/>
    <w:rsid w:val="002D7163"/>
    <w:rsid w:val="002D740B"/>
    <w:rsid w:val="002E275B"/>
    <w:rsid w:val="002E36E9"/>
    <w:rsid w:val="002F0393"/>
    <w:rsid w:val="002F1529"/>
    <w:rsid w:val="002F34D0"/>
    <w:rsid w:val="002F3DDE"/>
    <w:rsid w:val="002F5AEF"/>
    <w:rsid w:val="0030243E"/>
    <w:rsid w:val="0030261C"/>
    <w:rsid w:val="0030266F"/>
    <w:rsid w:val="0030271C"/>
    <w:rsid w:val="00306F87"/>
    <w:rsid w:val="00307853"/>
    <w:rsid w:val="00307C9F"/>
    <w:rsid w:val="003103D5"/>
    <w:rsid w:val="00311630"/>
    <w:rsid w:val="0031324B"/>
    <w:rsid w:val="00313B1A"/>
    <w:rsid w:val="00315A53"/>
    <w:rsid w:val="00315F25"/>
    <w:rsid w:val="00316CC7"/>
    <w:rsid w:val="003174C8"/>
    <w:rsid w:val="0032346E"/>
    <w:rsid w:val="003301C3"/>
    <w:rsid w:val="0033078D"/>
    <w:rsid w:val="00330811"/>
    <w:rsid w:val="00332D8E"/>
    <w:rsid w:val="00335000"/>
    <w:rsid w:val="00336138"/>
    <w:rsid w:val="0034265B"/>
    <w:rsid w:val="00342FD2"/>
    <w:rsid w:val="00344640"/>
    <w:rsid w:val="00345321"/>
    <w:rsid w:val="003503B1"/>
    <w:rsid w:val="0035470A"/>
    <w:rsid w:val="00357C3F"/>
    <w:rsid w:val="00361B3A"/>
    <w:rsid w:val="003647DA"/>
    <w:rsid w:val="00364EDF"/>
    <w:rsid w:val="003650DD"/>
    <w:rsid w:val="00365231"/>
    <w:rsid w:val="00365E34"/>
    <w:rsid w:val="0036656D"/>
    <w:rsid w:val="0036741C"/>
    <w:rsid w:val="00373091"/>
    <w:rsid w:val="00373D87"/>
    <w:rsid w:val="003743EB"/>
    <w:rsid w:val="00374DE9"/>
    <w:rsid w:val="00375711"/>
    <w:rsid w:val="003759B8"/>
    <w:rsid w:val="00376593"/>
    <w:rsid w:val="00377695"/>
    <w:rsid w:val="0038088D"/>
    <w:rsid w:val="00380AB7"/>
    <w:rsid w:val="003817D0"/>
    <w:rsid w:val="0038319B"/>
    <w:rsid w:val="00383C37"/>
    <w:rsid w:val="00385A48"/>
    <w:rsid w:val="00387897"/>
    <w:rsid w:val="003878A3"/>
    <w:rsid w:val="00391028"/>
    <w:rsid w:val="00391F65"/>
    <w:rsid w:val="003972D0"/>
    <w:rsid w:val="00397A47"/>
    <w:rsid w:val="003A01ED"/>
    <w:rsid w:val="003A0A22"/>
    <w:rsid w:val="003A38E5"/>
    <w:rsid w:val="003A44ED"/>
    <w:rsid w:val="003A7CB2"/>
    <w:rsid w:val="003B1FD1"/>
    <w:rsid w:val="003B6FCF"/>
    <w:rsid w:val="003C02CA"/>
    <w:rsid w:val="003C0612"/>
    <w:rsid w:val="003C27E3"/>
    <w:rsid w:val="003C3AC4"/>
    <w:rsid w:val="003C3B64"/>
    <w:rsid w:val="003C5472"/>
    <w:rsid w:val="003C64C3"/>
    <w:rsid w:val="003D0174"/>
    <w:rsid w:val="003D11E6"/>
    <w:rsid w:val="003D1694"/>
    <w:rsid w:val="003D3822"/>
    <w:rsid w:val="003D3B7B"/>
    <w:rsid w:val="003D3D14"/>
    <w:rsid w:val="003E11C1"/>
    <w:rsid w:val="003E143A"/>
    <w:rsid w:val="003E1C7E"/>
    <w:rsid w:val="003F217A"/>
    <w:rsid w:val="003F4B75"/>
    <w:rsid w:val="004034BB"/>
    <w:rsid w:val="00403E6D"/>
    <w:rsid w:val="004061E1"/>
    <w:rsid w:val="00406711"/>
    <w:rsid w:val="0040705D"/>
    <w:rsid w:val="00407385"/>
    <w:rsid w:val="00411220"/>
    <w:rsid w:val="0041166B"/>
    <w:rsid w:val="00412161"/>
    <w:rsid w:val="00414428"/>
    <w:rsid w:val="00414FA7"/>
    <w:rsid w:val="00415BAC"/>
    <w:rsid w:val="0041616D"/>
    <w:rsid w:val="00416DA6"/>
    <w:rsid w:val="00417002"/>
    <w:rsid w:val="0042358E"/>
    <w:rsid w:val="00423F3F"/>
    <w:rsid w:val="00424548"/>
    <w:rsid w:val="004255F7"/>
    <w:rsid w:val="004266A6"/>
    <w:rsid w:val="00427A11"/>
    <w:rsid w:val="0043044E"/>
    <w:rsid w:val="00435D25"/>
    <w:rsid w:val="00437899"/>
    <w:rsid w:val="00437903"/>
    <w:rsid w:val="00437F27"/>
    <w:rsid w:val="004421F9"/>
    <w:rsid w:val="00446F20"/>
    <w:rsid w:val="0044700C"/>
    <w:rsid w:val="00450146"/>
    <w:rsid w:val="00455251"/>
    <w:rsid w:val="00455CFB"/>
    <w:rsid w:val="00457507"/>
    <w:rsid w:val="00457C3C"/>
    <w:rsid w:val="00460046"/>
    <w:rsid w:val="00461BC5"/>
    <w:rsid w:val="00462B0E"/>
    <w:rsid w:val="00462CE7"/>
    <w:rsid w:val="00464362"/>
    <w:rsid w:val="004646C7"/>
    <w:rsid w:val="00464737"/>
    <w:rsid w:val="00465E5C"/>
    <w:rsid w:val="0046604A"/>
    <w:rsid w:val="00470AAF"/>
    <w:rsid w:val="004720C1"/>
    <w:rsid w:val="004767C7"/>
    <w:rsid w:val="00483530"/>
    <w:rsid w:val="00485176"/>
    <w:rsid w:val="00487506"/>
    <w:rsid w:val="0049003F"/>
    <w:rsid w:val="004A14D0"/>
    <w:rsid w:val="004A5073"/>
    <w:rsid w:val="004A5CC3"/>
    <w:rsid w:val="004A6455"/>
    <w:rsid w:val="004B1036"/>
    <w:rsid w:val="004B10D9"/>
    <w:rsid w:val="004B2DFD"/>
    <w:rsid w:val="004B4750"/>
    <w:rsid w:val="004B488A"/>
    <w:rsid w:val="004B5866"/>
    <w:rsid w:val="004B664A"/>
    <w:rsid w:val="004B78E9"/>
    <w:rsid w:val="004C250B"/>
    <w:rsid w:val="004C4483"/>
    <w:rsid w:val="004C469F"/>
    <w:rsid w:val="004C6853"/>
    <w:rsid w:val="004C69A5"/>
    <w:rsid w:val="004D05DD"/>
    <w:rsid w:val="004D2A1E"/>
    <w:rsid w:val="004D5D77"/>
    <w:rsid w:val="004D60D6"/>
    <w:rsid w:val="004D6786"/>
    <w:rsid w:val="004E04A6"/>
    <w:rsid w:val="004E2327"/>
    <w:rsid w:val="004E2340"/>
    <w:rsid w:val="004E3D04"/>
    <w:rsid w:val="004E5688"/>
    <w:rsid w:val="004E69D5"/>
    <w:rsid w:val="004E6A7B"/>
    <w:rsid w:val="004F264C"/>
    <w:rsid w:val="004F4772"/>
    <w:rsid w:val="004F6998"/>
    <w:rsid w:val="004F7230"/>
    <w:rsid w:val="00502066"/>
    <w:rsid w:val="00502CBB"/>
    <w:rsid w:val="00504DCB"/>
    <w:rsid w:val="00505533"/>
    <w:rsid w:val="00506198"/>
    <w:rsid w:val="00506C8F"/>
    <w:rsid w:val="0050783D"/>
    <w:rsid w:val="00507C21"/>
    <w:rsid w:val="00511A25"/>
    <w:rsid w:val="00511E65"/>
    <w:rsid w:val="00515E6F"/>
    <w:rsid w:val="005166A4"/>
    <w:rsid w:val="005173A0"/>
    <w:rsid w:val="00521903"/>
    <w:rsid w:val="00521D5F"/>
    <w:rsid w:val="00526E8A"/>
    <w:rsid w:val="0052710B"/>
    <w:rsid w:val="00532736"/>
    <w:rsid w:val="0053629C"/>
    <w:rsid w:val="00536B64"/>
    <w:rsid w:val="005406AF"/>
    <w:rsid w:val="0054227E"/>
    <w:rsid w:val="00542B85"/>
    <w:rsid w:val="0054655E"/>
    <w:rsid w:val="00555CDD"/>
    <w:rsid w:val="00556A13"/>
    <w:rsid w:val="00556E7F"/>
    <w:rsid w:val="005575CF"/>
    <w:rsid w:val="005636DA"/>
    <w:rsid w:val="0056548D"/>
    <w:rsid w:val="00565B87"/>
    <w:rsid w:val="00565F9C"/>
    <w:rsid w:val="00567429"/>
    <w:rsid w:val="00567E60"/>
    <w:rsid w:val="00570B67"/>
    <w:rsid w:val="005745BF"/>
    <w:rsid w:val="0057665C"/>
    <w:rsid w:val="005767DC"/>
    <w:rsid w:val="005829C4"/>
    <w:rsid w:val="005863B9"/>
    <w:rsid w:val="00587A6C"/>
    <w:rsid w:val="005963DF"/>
    <w:rsid w:val="005979B7"/>
    <w:rsid w:val="005A02FE"/>
    <w:rsid w:val="005A0A05"/>
    <w:rsid w:val="005A1E00"/>
    <w:rsid w:val="005A4813"/>
    <w:rsid w:val="005A4C0C"/>
    <w:rsid w:val="005A4ECC"/>
    <w:rsid w:val="005A5297"/>
    <w:rsid w:val="005B1E23"/>
    <w:rsid w:val="005B237F"/>
    <w:rsid w:val="005B583D"/>
    <w:rsid w:val="005C0702"/>
    <w:rsid w:val="005C0B67"/>
    <w:rsid w:val="005C10FC"/>
    <w:rsid w:val="005C2496"/>
    <w:rsid w:val="005C2617"/>
    <w:rsid w:val="005C7EA0"/>
    <w:rsid w:val="005D3160"/>
    <w:rsid w:val="005D773F"/>
    <w:rsid w:val="005D77D7"/>
    <w:rsid w:val="005E01FA"/>
    <w:rsid w:val="005E31D4"/>
    <w:rsid w:val="005E36E5"/>
    <w:rsid w:val="005E3876"/>
    <w:rsid w:val="005E3DE8"/>
    <w:rsid w:val="005E6B1D"/>
    <w:rsid w:val="005E6E38"/>
    <w:rsid w:val="005E787F"/>
    <w:rsid w:val="005F04E9"/>
    <w:rsid w:val="005F0522"/>
    <w:rsid w:val="005F45FE"/>
    <w:rsid w:val="005F706E"/>
    <w:rsid w:val="005F7DDC"/>
    <w:rsid w:val="006006A2"/>
    <w:rsid w:val="006006F0"/>
    <w:rsid w:val="0060261F"/>
    <w:rsid w:val="00602814"/>
    <w:rsid w:val="00604630"/>
    <w:rsid w:val="006051B2"/>
    <w:rsid w:val="00606800"/>
    <w:rsid w:val="006073DC"/>
    <w:rsid w:val="0060783B"/>
    <w:rsid w:val="00611565"/>
    <w:rsid w:val="006118CA"/>
    <w:rsid w:val="006131FB"/>
    <w:rsid w:val="00614120"/>
    <w:rsid w:val="00614168"/>
    <w:rsid w:val="00614616"/>
    <w:rsid w:val="006153E0"/>
    <w:rsid w:val="006155A4"/>
    <w:rsid w:val="006155D9"/>
    <w:rsid w:val="0061597C"/>
    <w:rsid w:val="00617D1C"/>
    <w:rsid w:val="00622C3B"/>
    <w:rsid w:val="00625126"/>
    <w:rsid w:val="00625D6A"/>
    <w:rsid w:val="006278CD"/>
    <w:rsid w:val="00631390"/>
    <w:rsid w:val="00631E73"/>
    <w:rsid w:val="00632A83"/>
    <w:rsid w:val="00632EF3"/>
    <w:rsid w:val="00635064"/>
    <w:rsid w:val="006352D6"/>
    <w:rsid w:val="006375A9"/>
    <w:rsid w:val="00644219"/>
    <w:rsid w:val="0064747D"/>
    <w:rsid w:val="00650DEB"/>
    <w:rsid w:val="00656D3C"/>
    <w:rsid w:val="0066119C"/>
    <w:rsid w:val="00662A8A"/>
    <w:rsid w:val="00665C3A"/>
    <w:rsid w:val="00666E90"/>
    <w:rsid w:val="00667029"/>
    <w:rsid w:val="00673755"/>
    <w:rsid w:val="0067610A"/>
    <w:rsid w:val="006763BF"/>
    <w:rsid w:val="00680D8A"/>
    <w:rsid w:val="00682D40"/>
    <w:rsid w:val="00683761"/>
    <w:rsid w:val="00684B67"/>
    <w:rsid w:val="006857C3"/>
    <w:rsid w:val="00690B3B"/>
    <w:rsid w:val="00695FE0"/>
    <w:rsid w:val="00697A80"/>
    <w:rsid w:val="006A1445"/>
    <w:rsid w:val="006A1B16"/>
    <w:rsid w:val="006A382A"/>
    <w:rsid w:val="006B259B"/>
    <w:rsid w:val="006B2F09"/>
    <w:rsid w:val="006B5181"/>
    <w:rsid w:val="006B5FBC"/>
    <w:rsid w:val="006B735C"/>
    <w:rsid w:val="006C06F4"/>
    <w:rsid w:val="006C1746"/>
    <w:rsid w:val="006C18F5"/>
    <w:rsid w:val="006C5B7C"/>
    <w:rsid w:val="006D458A"/>
    <w:rsid w:val="006D5C32"/>
    <w:rsid w:val="006E0228"/>
    <w:rsid w:val="006E0B6D"/>
    <w:rsid w:val="006E1F18"/>
    <w:rsid w:val="006E4FAD"/>
    <w:rsid w:val="006E6706"/>
    <w:rsid w:val="006F156D"/>
    <w:rsid w:val="006F3382"/>
    <w:rsid w:val="006F4700"/>
    <w:rsid w:val="006F4D09"/>
    <w:rsid w:val="006F6556"/>
    <w:rsid w:val="00700FD3"/>
    <w:rsid w:val="00701B64"/>
    <w:rsid w:val="00701B94"/>
    <w:rsid w:val="00702529"/>
    <w:rsid w:val="00704351"/>
    <w:rsid w:val="00710289"/>
    <w:rsid w:val="0071037B"/>
    <w:rsid w:val="0071175F"/>
    <w:rsid w:val="00714A1C"/>
    <w:rsid w:val="00714C8B"/>
    <w:rsid w:val="00715CDB"/>
    <w:rsid w:val="00717AE7"/>
    <w:rsid w:val="0072405C"/>
    <w:rsid w:val="007319EF"/>
    <w:rsid w:val="0073503E"/>
    <w:rsid w:val="00736D16"/>
    <w:rsid w:val="0074022E"/>
    <w:rsid w:val="00740687"/>
    <w:rsid w:val="00740BB8"/>
    <w:rsid w:val="00742549"/>
    <w:rsid w:val="0074738A"/>
    <w:rsid w:val="007532DD"/>
    <w:rsid w:val="00753E67"/>
    <w:rsid w:val="00753F83"/>
    <w:rsid w:val="00754B1C"/>
    <w:rsid w:val="0076007B"/>
    <w:rsid w:val="00760336"/>
    <w:rsid w:val="00760F2E"/>
    <w:rsid w:val="00762E81"/>
    <w:rsid w:val="00765FC1"/>
    <w:rsid w:val="00766732"/>
    <w:rsid w:val="007744BA"/>
    <w:rsid w:val="00775FEE"/>
    <w:rsid w:val="00781C54"/>
    <w:rsid w:val="00782EAC"/>
    <w:rsid w:val="00783DF8"/>
    <w:rsid w:val="00784713"/>
    <w:rsid w:val="00790098"/>
    <w:rsid w:val="00793845"/>
    <w:rsid w:val="00794415"/>
    <w:rsid w:val="00796185"/>
    <w:rsid w:val="00797937"/>
    <w:rsid w:val="007A0C5D"/>
    <w:rsid w:val="007A2165"/>
    <w:rsid w:val="007A258C"/>
    <w:rsid w:val="007A48B8"/>
    <w:rsid w:val="007A7AC3"/>
    <w:rsid w:val="007B5C90"/>
    <w:rsid w:val="007B62B6"/>
    <w:rsid w:val="007B7B19"/>
    <w:rsid w:val="007C0CFD"/>
    <w:rsid w:val="007C1A0B"/>
    <w:rsid w:val="007C6A5C"/>
    <w:rsid w:val="007C6F7F"/>
    <w:rsid w:val="007C7FDD"/>
    <w:rsid w:val="007D09B6"/>
    <w:rsid w:val="007D1D62"/>
    <w:rsid w:val="007D2D4C"/>
    <w:rsid w:val="007D5A75"/>
    <w:rsid w:val="007E413E"/>
    <w:rsid w:val="007E5190"/>
    <w:rsid w:val="007E56BF"/>
    <w:rsid w:val="007E6C81"/>
    <w:rsid w:val="007F1CE2"/>
    <w:rsid w:val="007F2BEE"/>
    <w:rsid w:val="007F53E9"/>
    <w:rsid w:val="00800429"/>
    <w:rsid w:val="00801044"/>
    <w:rsid w:val="00801280"/>
    <w:rsid w:val="00802F38"/>
    <w:rsid w:val="0080432F"/>
    <w:rsid w:val="00804500"/>
    <w:rsid w:val="00804C93"/>
    <w:rsid w:val="00804E15"/>
    <w:rsid w:val="00810F16"/>
    <w:rsid w:val="008121E3"/>
    <w:rsid w:val="00812746"/>
    <w:rsid w:val="0081434E"/>
    <w:rsid w:val="0082370C"/>
    <w:rsid w:val="008241D4"/>
    <w:rsid w:val="008244BD"/>
    <w:rsid w:val="00827088"/>
    <w:rsid w:val="008309A7"/>
    <w:rsid w:val="00834D00"/>
    <w:rsid w:val="008358A4"/>
    <w:rsid w:val="00836F26"/>
    <w:rsid w:val="00842896"/>
    <w:rsid w:val="00843E40"/>
    <w:rsid w:val="0084426D"/>
    <w:rsid w:val="00846FEC"/>
    <w:rsid w:val="00852ACC"/>
    <w:rsid w:val="00853B67"/>
    <w:rsid w:val="00853EA9"/>
    <w:rsid w:val="00854F0E"/>
    <w:rsid w:val="008558FE"/>
    <w:rsid w:val="00855D97"/>
    <w:rsid w:val="00856CFD"/>
    <w:rsid w:val="0085799E"/>
    <w:rsid w:val="00862938"/>
    <w:rsid w:val="00862C9D"/>
    <w:rsid w:val="00867E41"/>
    <w:rsid w:val="00870398"/>
    <w:rsid w:val="008717D1"/>
    <w:rsid w:val="008725B6"/>
    <w:rsid w:val="00872A78"/>
    <w:rsid w:val="00873282"/>
    <w:rsid w:val="00873E77"/>
    <w:rsid w:val="00873E9F"/>
    <w:rsid w:val="00875709"/>
    <w:rsid w:val="008809EE"/>
    <w:rsid w:val="00880F3C"/>
    <w:rsid w:val="00881395"/>
    <w:rsid w:val="00882E03"/>
    <w:rsid w:val="00886BFC"/>
    <w:rsid w:val="00887A45"/>
    <w:rsid w:val="0089277B"/>
    <w:rsid w:val="00893DC9"/>
    <w:rsid w:val="008948D8"/>
    <w:rsid w:val="00894F9B"/>
    <w:rsid w:val="00895B8E"/>
    <w:rsid w:val="00895DFC"/>
    <w:rsid w:val="008A234C"/>
    <w:rsid w:val="008A3F53"/>
    <w:rsid w:val="008B17E2"/>
    <w:rsid w:val="008B5EB5"/>
    <w:rsid w:val="008B7941"/>
    <w:rsid w:val="008C6C7D"/>
    <w:rsid w:val="008D0166"/>
    <w:rsid w:val="008D275D"/>
    <w:rsid w:val="008D369C"/>
    <w:rsid w:val="008D51A0"/>
    <w:rsid w:val="008D6B16"/>
    <w:rsid w:val="008D6E07"/>
    <w:rsid w:val="008D712C"/>
    <w:rsid w:val="008E0827"/>
    <w:rsid w:val="008E1689"/>
    <w:rsid w:val="008E295A"/>
    <w:rsid w:val="008E30F7"/>
    <w:rsid w:val="008E4620"/>
    <w:rsid w:val="008E5E04"/>
    <w:rsid w:val="008F5683"/>
    <w:rsid w:val="008F7C1B"/>
    <w:rsid w:val="008F7F58"/>
    <w:rsid w:val="009007C9"/>
    <w:rsid w:val="00900E15"/>
    <w:rsid w:val="00901608"/>
    <w:rsid w:val="00905435"/>
    <w:rsid w:val="00906E94"/>
    <w:rsid w:val="00906F56"/>
    <w:rsid w:val="00907BA1"/>
    <w:rsid w:val="009102CB"/>
    <w:rsid w:val="00910C6F"/>
    <w:rsid w:val="00912CBC"/>
    <w:rsid w:val="00913EF2"/>
    <w:rsid w:val="00915743"/>
    <w:rsid w:val="0091615F"/>
    <w:rsid w:val="009169B2"/>
    <w:rsid w:val="009204D8"/>
    <w:rsid w:val="0092073D"/>
    <w:rsid w:val="00924243"/>
    <w:rsid w:val="009248FA"/>
    <w:rsid w:val="0092681A"/>
    <w:rsid w:val="00927C05"/>
    <w:rsid w:val="009304E4"/>
    <w:rsid w:val="009317BE"/>
    <w:rsid w:val="00931BAF"/>
    <w:rsid w:val="009335D4"/>
    <w:rsid w:val="0093434A"/>
    <w:rsid w:val="0093577A"/>
    <w:rsid w:val="009372CE"/>
    <w:rsid w:val="00942C1E"/>
    <w:rsid w:val="00942EBF"/>
    <w:rsid w:val="009434A0"/>
    <w:rsid w:val="0094766D"/>
    <w:rsid w:val="00950319"/>
    <w:rsid w:val="009512D1"/>
    <w:rsid w:val="00951B8A"/>
    <w:rsid w:val="00952317"/>
    <w:rsid w:val="009530C4"/>
    <w:rsid w:val="00954004"/>
    <w:rsid w:val="00954B6A"/>
    <w:rsid w:val="00956150"/>
    <w:rsid w:val="00957000"/>
    <w:rsid w:val="00957BF6"/>
    <w:rsid w:val="00957D71"/>
    <w:rsid w:val="00961A59"/>
    <w:rsid w:val="0096457D"/>
    <w:rsid w:val="00966BD9"/>
    <w:rsid w:val="009674AC"/>
    <w:rsid w:val="00975A20"/>
    <w:rsid w:val="00976CD7"/>
    <w:rsid w:val="00984707"/>
    <w:rsid w:val="00993DFB"/>
    <w:rsid w:val="009957D9"/>
    <w:rsid w:val="009A19A3"/>
    <w:rsid w:val="009B0CCF"/>
    <w:rsid w:val="009B3D14"/>
    <w:rsid w:val="009B5C2F"/>
    <w:rsid w:val="009B604A"/>
    <w:rsid w:val="009C11B6"/>
    <w:rsid w:val="009C14C9"/>
    <w:rsid w:val="009C3134"/>
    <w:rsid w:val="009C614D"/>
    <w:rsid w:val="009C6766"/>
    <w:rsid w:val="009D159B"/>
    <w:rsid w:val="009D2965"/>
    <w:rsid w:val="009D481E"/>
    <w:rsid w:val="009D5B68"/>
    <w:rsid w:val="009E0556"/>
    <w:rsid w:val="009E3D00"/>
    <w:rsid w:val="009E426D"/>
    <w:rsid w:val="009E521A"/>
    <w:rsid w:val="009E6852"/>
    <w:rsid w:val="009E6881"/>
    <w:rsid w:val="009E7701"/>
    <w:rsid w:val="009F1FE9"/>
    <w:rsid w:val="009F4FF1"/>
    <w:rsid w:val="00A006E4"/>
    <w:rsid w:val="00A024A6"/>
    <w:rsid w:val="00A05C61"/>
    <w:rsid w:val="00A06D37"/>
    <w:rsid w:val="00A0747B"/>
    <w:rsid w:val="00A133EF"/>
    <w:rsid w:val="00A13DA1"/>
    <w:rsid w:val="00A14DA5"/>
    <w:rsid w:val="00A17211"/>
    <w:rsid w:val="00A2011E"/>
    <w:rsid w:val="00A202AD"/>
    <w:rsid w:val="00A209F8"/>
    <w:rsid w:val="00A22A66"/>
    <w:rsid w:val="00A23BF6"/>
    <w:rsid w:val="00A24138"/>
    <w:rsid w:val="00A2426B"/>
    <w:rsid w:val="00A24CA6"/>
    <w:rsid w:val="00A32DA8"/>
    <w:rsid w:val="00A3349D"/>
    <w:rsid w:val="00A34649"/>
    <w:rsid w:val="00A354BA"/>
    <w:rsid w:val="00A35B6F"/>
    <w:rsid w:val="00A36782"/>
    <w:rsid w:val="00A36784"/>
    <w:rsid w:val="00A4365B"/>
    <w:rsid w:val="00A44692"/>
    <w:rsid w:val="00A456EC"/>
    <w:rsid w:val="00A50051"/>
    <w:rsid w:val="00A51DF0"/>
    <w:rsid w:val="00A53C73"/>
    <w:rsid w:val="00A5684C"/>
    <w:rsid w:val="00A61120"/>
    <w:rsid w:val="00A619FF"/>
    <w:rsid w:val="00A62535"/>
    <w:rsid w:val="00A631C3"/>
    <w:rsid w:val="00A65E10"/>
    <w:rsid w:val="00A71028"/>
    <w:rsid w:val="00A765AC"/>
    <w:rsid w:val="00A7714F"/>
    <w:rsid w:val="00A77CE2"/>
    <w:rsid w:val="00A809E8"/>
    <w:rsid w:val="00A80A32"/>
    <w:rsid w:val="00A83739"/>
    <w:rsid w:val="00A839CE"/>
    <w:rsid w:val="00A83FE5"/>
    <w:rsid w:val="00A851A0"/>
    <w:rsid w:val="00A914EB"/>
    <w:rsid w:val="00A9213D"/>
    <w:rsid w:val="00A9417F"/>
    <w:rsid w:val="00A94CEC"/>
    <w:rsid w:val="00A950B7"/>
    <w:rsid w:val="00A95D4F"/>
    <w:rsid w:val="00A96B2C"/>
    <w:rsid w:val="00A96F08"/>
    <w:rsid w:val="00A97233"/>
    <w:rsid w:val="00AA0058"/>
    <w:rsid w:val="00AA0FF2"/>
    <w:rsid w:val="00AA171A"/>
    <w:rsid w:val="00AA516D"/>
    <w:rsid w:val="00AA6498"/>
    <w:rsid w:val="00AB06B2"/>
    <w:rsid w:val="00AB11A8"/>
    <w:rsid w:val="00AB4E04"/>
    <w:rsid w:val="00AB50D1"/>
    <w:rsid w:val="00AC0CB1"/>
    <w:rsid w:val="00AC1E7A"/>
    <w:rsid w:val="00AC4743"/>
    <w:rsid w:val="00AC5DEB"/>
    <w:rsid w:val="00AD04DA"/>
    <w:rsid w:val="00AD0724"/>
    <w:rsid w:val="00AD28B6"/>
    <w:rsid w:val="00AD3925"/>
    <w:rsid w:val="00AD3F94"/>
    <w:rsid w:val="00AD465C"/>
    <w:rsid w:val="00AD55EB"/>
    <w:rsid w:val="00AD7743"/>
    <w:rsid w:val="00AE03DB"/>
    <w:rsid w:val="00AE1CBA"/>
    <w:rsid w:val="00AE3BE3"/>
    <w:rsid w:val="00AE3E3D"/>
    <w:rsid w:val="00AE5729"/>
    <w:rsid w:val="00AF77CA"/>
    <w:rsid w:val="00B0054C"/>
    <w:rsid w:val="00B01AC2"/>
    <w:rsid w:val="00B03D4C"/>
    <w:rsid w:val="00B04FF9"/>
    <w:rsid w:val="00B05E32"/>
    <w:rsid w:val="00B10E53"/>
    <w:rsid w:val="00B137E4"/>
    <w:rsid w:val="00B146C2"/>
    <w:rsid w:val="00B15DD6"/>
    <w:rsid w:val="00B16E68"/>
    <w:rsid w:val="00B175BF"/>
    <w:rsid w:val="00B2243A"/>
    <w:rsid w:val="00B23F2B"/>
    <w:rsid w:val="00B26B9B"/>
    <w:rsid w:val="00B305E8"/>
    <w:rsid w:val="00B30B69"/>
    <w:rsid w:val="00B32EB7"/>
    <w:rsid w:val="00B35031"/>
    <w:rsid w:val="00B35491"/>
    <w:rsid w:val="00B35D4F"/>
    <w:rsid w:val="00B4044A"/>
    <w:rsid w:val="00B406CA"/>
    <w:rsid w:val="00B40D51"/>
    <w:rsid w:val="00B4440D"/>
    <w:rsid w:val="00B4467C"/>
    <w:rsid w:val="00B44D6D"/>
    <w:rsid w:val="00B46B1D"/>
    <w:rsid w:val="00B504B2"/>
    <w:rsid w:val="00B51094"/>
    <w:rsid w:val="00B51C24"/>
    <w:rsid w:val="00B53572"/>
    <w:rsid w:val="00B535B3"/>
    <w:rsid w:val="00B56745"/>
    <w:rsid w:val="00B5678D"/>
    <w:rsid w:val="00B57910"/>
    <w:rsid w:val="00B60166"/>
    <w:rsid w:val="00B65229"/>
    <w:rsid w:val="00B6527E"/>
    <w:rsid w:val="00B66458"/>
    <w:rsid w:val="00B71544"/>
    <w:rsid w:val="00B74036"/>
    <w:rsid w:val="00B75015"/>
    <w:rsid w:val="00B80883"/>
    <w:rsid w:val="00B8126D"/>
    <w:rsid w:val="00B82B95"/>
    <w:rsid w:val="00B92BA2"/>
    <w:rsid w:val="00B9433C"/>
    <w:rsid w:val="00B9785A"/>
    <w:rsid w:val="00BA01F5"/>
    <w:rsid w:val="00BA0B76"/>
    <w:rsid w:val="00BA267B"/>
    <w:rsid w:val="00BA527D"/>
    <w:rsid w:val="00BA7206"/>
    <w:rsid w:val="00BB0E76"/>
    <w:rsid w:val="00BB1F43"/>
    <w:rsid w:val="00BB3BE1"/>
    <w:rsid w:val="00BB3DF7"/>
    <w:rsid w:val="00BB7670"/>
    <w:rsid w:val="00BC09E2"/>
    <w:rsid w:val="00BC307F"/>
    <w:rsid w:val="00BC6509"/>
    <w:rsid w:val="00BD02B8"/>
    <w:rsid w:val="00BD0352"/>
    <w:rsid w:val="00BD2F59"/>
    <w:rsid w:val="00BD4EAA"/>
    <w:rsid w:val="00BD5255"/>
    <w:rsid w:val="00BD6BBB"/>
    <w:rsid w:val="00BD7B6C"/>
    <w:rsid w:val="00BD7BD0"/>
    <w:rsid w:val="00BE191B"/>
    <w:rsid w:val="00BE1BC3"/>
    <w:rsid w:val="00BE60C1"/>
    <w:rsid w:val="00BE67FC"/>
    <w:rsid w:val="00BE6D42"/>
    <w:rsid w:val="00BE7AEB"/>
    <w:rsid w:val="00BF0A25"/>
    <w:rsid w:val="00BF101D"/>
    <w:rsid w:val="00BF1437"/>
    <w:rsid w:val="00BF14A2"/>
    <w:rsid w:val="00BF1C57"/>
    <w:rsid w:val="00BF26D1"/>
    <w:rsid w:val="00BF40E0"/>
    <w:rsid w:val="00BF59A5"/>
    <w:rsid w:val="00BF6C5B"/>
    <w:rsid w:val="00C0056B"/>
    <w:rsid w:val="00C00D9A"/>
    <w:rsid w:val="00C04183"/>
    <w:rsid w:val="00C06765"/>
    <w:rsid w:val="00C10F8A"/>
    <w:rsid w:val="00C12BA8"/>
    <w:rsid w:val="00C139F6"/>
    <w:rsid w:val="00C14251"/>
    <w:rsid w:val="00C154A3"/>
    <w:rsid w:val="00C16C63"/>
    <w:rsid w:val="00C17384"/>
    <w:rsid w:val="00C177F7"/>
    <w:rsid w:val="00C24CAC"/>
    <w:rsid w:val="00C256BB"/>
    <w:rsid w:val="00C26D88"/>
    <w:rsid w:val="00C26F5F"/>
    <w:rsid w:val="00C27410"/>
    <w:rsid w:val="00C31466"/>
    <w:rsid w:val="00C31F4E"/>
    <w:rsid w:val="00C349B1"/>
    <w:rsid w:val="00C354ED"/>
    <w:rsid w:val="00C362E0"/>
    <w:rsid w:val="00C3674A"/>
    <w:rsid w:val="00C36EB1"/>
    <w:rsid w:val="00C37A7F"/>
    <w:rsid w:val="00C412CB"/>
    <w:rsid w:val="00C41755"/>
    <w:rsid w:val="00C42949"/>
    <w:rsid w:val="00C44084"/>
    <w:rsid w:val="00C47AB0"/>
    <w:rsid w:val="00C50480"/>
    <w:rsid w:val="00C51825"/>
    <w:rsid w:val="00C52A5F"/>
    <w:rsid w:val="00C536DA"/>
    <w:rsid w:val="00C53B28"/>
    <w:rsid w:val="00C54653"/>
    <w:rsid w:val="00C56B2F"/>
    <w:rsid w:val="00C603B5"/>
    <w:rsid w:val="00C61188"/>
    <w:rsid w:val="00C6246C"/>
    <w:rsid w:val="00C628B8"/>
    <w:rsid w:val="00C6379B"/>
    <w:rsid w:val="00C63E9F"/>
    <w:rsid w:val="00C6430E"/>
    <w:rsid w:val="00C647E3"/>
    <w:rsid w:val="00C65947"/>
    <w:rsid w:val="00C65DC8"/>
    <w:rsid w:val="00C65F2B"/>
    <w:rsid w:val="00C66AF5"/>
    <w:rsid w:val="00C70EDB"/>
    <w:rsid w:val="00C720A7"/>
    <w:rsid w:val="00C75AAD"/>
    <w:rsid w:val="00C75F33"/>
    <w:rsid w:val="00C77670"/>
    <w:rsid w:val="00C8068F"/>
    <w:rsid w:val="00C82DE8"/>
    <w:rsid w:val="00C8547A"/>
    <w:rsid w:val="00C85871"/>
    <w:rsid w:val="00C86E18"/>
    <w:rsid w:val="00C9110A"/>
    <w:rsid w:val="00C92809"/>
    <w:rsid w:val="00C93231"/>
    <w:rsid w:val="00C9516D"/>
    <w:rsid w:val="00CA0B39"/>
    <w:rsid w:val="00CA105B"/>
    <w:rsid w:val="00CA2160"/>
    <w:rsid w:val="00CA5223"/>
    <w:rsid w:val="00CA784C"/>
    <w:rsid w:val="00CB02D9"/>
    <w:rsid w:val="00CB11F9"/>
    <w:rsid w:val="00CB381D"/>
    <w:rsid w:val="00CB4D21"/>
    <w:rsid w:val="00CB4FFA"/>
    <w:rsid w:val="00CB53DC"/>
    <w:rsid w:val="00CB6D0D"/>
    <w:rsid w:val="00CB76E0"/>
    <w:rsid w:val="00CC0192"/>
    <w:rsid w:val="00CC14EF"/>
    <w:rsid w:val="00CC1C29"/>
    <w:rsid w:val="00CC1E87"/>
    <w:rsid w:val="00CC2A52"/>
    <w:rsid w:val="00CC5DED"/>
    <w:rsid w:val="00CC6B41"/>
    <w:rsid w:val="00CC7E18"/>
    <w:rsid w:val="00CD2B19"/>
    <w:rsid w:val="00CD74B5"/>
    <w:rsid w:val="00CE0D9E"/>
    <w:rsid w:val="00CE0F9C"/>
    <w:rsid w:val="00CE35CB"/>
    <w:rsid w:val="00CE38AA"/>
    <w:rsid w:val="00CE40E8"/>
    <w:rsid w:val="00CE4537"/>
    <w:rsid w:val="00CE472B"/>
    <w:rsid w:val="00CE4CF4"/>
    <w:rsid w:val="00CE5D8C"/>
    <w:rsid w:val="00CE618C"/>
    <w:rsid w:val="00CE7971"/>
    <w:rsid w:val="00CE798D"/>
    <w:rsid w:val="00CF3328"/>
    <w:rsid w:val="00CF46C6"/>
    <w:rsid w:val="00CF4B84"/>
    <w:rsid w:val="00CF5829"/>
    <w:rsid w:val="00D00DCD"/>
    <w:rsid w:val="00D01E51"/>
    <w:rsid w:val="00D03AC2"/>
    <w:rsid w:val="00D05D18"/>
    <w:rsid w:val="00D05DC4"/>
    <w:rsid w:val="00D10E6F"/>
    <w:rsid w:val="00D12908"/>
    <w:rsid w:val="00D13817"/>
    <w:rsid w:val="00D1384D"/>
    <w:rsid w:val="00D13BBB"/>
    <w:rsid w:val="00D16615"/>
    <w:rsid w:val="00D16E75"/>
    <w:rsid w:val="00D2090B"/>
    <w:rsid w:val="00D22BB7"/>
    <w:rsid w:val="00D23518"/>
    <w:rsid w:val="00D24E02"/>
    <w:rsid w:val="00D26C51"/>
    <w:rsid w:val="00D2763E"/>
    <w:rsid w:val="00D27EC5"/>
    <w:rsid w:val="00D3683B"/>
    <w:rsid w:val="00D43675"/>
    <w:rsid w:val="00D43DD8"/>
    <w:rsid w:val="00D44B64"/>
    <w:rsid w:val="00D44D01"/>
    <w:rsid w:val="00D51A2D"/>
    <w:rsid w:val="00D53DDE"/>
    <w:rsid w:val="00D54B50"/>
    <w:rsid w:val="00D5544B"/>
    <w:rsid w:val="00D60BFA"/>
    <w:rsid w:val="00D624A9"/>
    <w:rsid w:val="00D62C28"/>
    <w:rsid w:val="00D66B95"/>
    <w:rsid w:val="00D70581"/>
    <w:rsid w:val="00D7107A"/>
    <w:rsid w:val="00D71AC8"/>
    <w:rsid w:val="00D72DB9"/>
    <w:rsid w:val="00D73DB0"/>
    <w:rsid w:val="00D7538C"/>
    <w:rsid w:val="00D7585F"/>
    <w:rsid w:val="00D77B8B"/>
    <w:rsid w:val="00D81502"/>
    <w:rsid w:val="00D81AFE"/>
    <w:rsid w:val="00D8230C"/>
    <w:rsid w:val="00D83E4E"/>
    <w:rsid w:val="00D86CA5"/>
    <w:rsid w:val="00D90460"/>
    <w:rsid w:val="00D92E76"/>
    <w:rsid w:val="00D942D6"/>
    <w:rsid w:val="00D96C3A"/>
    <w:rsid w:val="00DA140E"/>
    <w:rsid w:val="00DA3807"/>
    <w:rsid w:val="00DA3CDA"/>
    <w:rsid w:val="00DA4E5B"/>
    <w:rsid w:val="00DA54A4"/>
    <w:rsid w:val="00DA59A4"/>
    <w:rsid w:val="00DB240D"/>
    <w:rsid w:val="00DB2F8F"/>
    <w:rsid w:val="00DB3015"/>
    <w:rsid w:val="00DB3F21"/>
    <w:rsid w:val="00DB4165"/>
    <w:rsid w:val="00DB5863"/>
    <w:rsid w:val="00DB7394"/>
    <w:rsid w:val="00DC0183"/>
    <w:rsid w:val="00DC126C"/>
    <w:rsid w:val="00DC1758"/>
    <w:rsid w:val="00DC3976"/>
    <w:rsid w:val="00DC4F7A"/>
    <w:rsid w:val="00DC610C"/>
    <w:rsid w:val="00DC7447"/>
    <w:rsid w:val="00DC753D"/>
    <w:rsid w:val="00DD1E56"/>
    <w:rsid w:val="00DD2889"/>
    <w:rsid w:val="00DE0F4E"/>
    <w:rsid w:val="00DE3F4B"/>
    <w:rsid w:val="00DE56B0"/>
    <w:rsid w:val="00DE5E68"/>
    <w:rsid w:val="00DF0EE0"/>
    <w:rsid w:val="00DF15FA"/>
    <w:rsid w:val="00DF3C74"/>
    <w:rsid w:val="00DF422D"/>
    <w:rsid w:val="00E0245E"/>
    <w:rsid w:val="00E027A8"/>
    <w:rsid w:val="00E050E4"/>
    <w:rsid w:val="00E11E73"/>
    <w:rsid w:val="00E1482A"/>
    <w:rsid w:val="00E15A70"/>
    <w:rsid w:val="00E166F6"/>
    <w:rsid w:val="00E170B5"/>
    <w:rsid w:val="00E17896"/>
    <w:rsid w:val="00E24969"/>
    <w:rsid w:val="00E2574B"/>
    <w:rsid w:val="00E25C23"/>
    <w:rsid w:val="00E26DE2"/>
    <w:rsid w:val="00E2775A"/>
    <w:rsid w:val="00E27B80"/>
    <w:rsid w:val="00E316C7"/>
    <w:rsid w:val="00E31C3C"/>
    <w:rsid w:val="00E343E9"/>
    <w:rsid w:val="00E34809"/>
    <w:rsid w:val="00E37546"/>
    <w:rsid w:val="00E37C44"/>
    <w:rsid w:val="00E40121"/>
    <w:rsid w:val="00E42314"/>
    <w:rsid w:val="00E5058C"/>
    <w:rsid w:val="00E515B4"/>
    <w:rsid w:val="00E55E83"/>
    <w:rsid w:val="00E569AB"/>
    <w:rsid w:val="00E570CD"/>
    <w:rsid w:val="00E60769"/>
    <w:rsid w:val="00E63AA9"/>
    <w:rsid w:val="00E65B5D"/>
    <w:rsid w:val="00E701DB"/>
    <w:rsid w:val="00E71874"/>
    <w:rsid w:val="00E72523"/>
    <w:rsid w:val="00E72941"/>
    <w:rsid w:val="00E73476"/>
    <w:rsid w:val="00E8072C"/>
    <w:rsid w:val="00E80A0B"/>
    <w:rsid w:val="00E82A2B"/>
    <w:rsid w:val="00E85B9C"/>
    <w:rsid w:val="00E91859"/>
    <w:rsid w:val="00E94B31"/>
    <w:rsid w:val="00E94CFA"/>
    <w:rsid w:val="00E94D0A"/>
    <w:rsid w:val="00E951B7"/>
    <w:rsid w:val="00E95A47"/>
    <w:rsid w:val="00E973D4"/>
    <w:rsid w:val="00EA0915"/>
    <w:rsid w:val="00EA1460"/>
    <w:rsid w:val="00EA1B12"/>
    <w:rsid w:val="00EA36EB"/>
    <w:rsid w:val="00EA4D8D"/>
    <w:rsid w:val="00EA5366"/>
    <w:rsid w:val="00EB14EA"/>
    <w:rsid w:val="00EB6E69"/>
    <w:rsid w:val="00EB6FFF"/>
    <w:rsid w:val="00EB7273"/>
    <w:rsid w:val="00EB757F"/>
    <w:rsid w:val="00EB783F"/>
    <w:rsid w:val="00EB7D35"/>
    <w:rsid w:val="00EC442B"/>
    <w:rsid w:val="00EC4BD9"/>
    <w:rsid w:val="00EC4C19"/>
    <w:rsid w:val="00EC56F9"/>
    <w:rsid w:val="00ED07AB"/>
    <w:rsid w:val="00ED0895"/>
    <w:rsid w:val="00ED20E4"/>
    <w:rsid w:val="00ED2BDC"/>
    <w:rsid w:val="00ED33FB"/>
    <w:rsid w:val="00ED4DDE"/>
    <w:rsid w:val="00ED673A"/>
    <w:rsid w:val="00ED71B9"/>
    <w:rsid w:val="00EE041A"/>
    <w:rsid w:val="00EE173B"/>
    <w:rsid w:val="00EE3057"/>
    <w:rsid w:val="00EF66F6"/>
    <w:rsid w:val="00F0036C"/>
    <w:rsid w:val="00F07F5E"/>
    <w:rsid w:val="00F12628"/>
    <w:rsid w:val="00F204B5"/>
    <w:rsid w:val="00F20E8C"/>
    <w:rsid w:val="00F218B9"/>
    <w:rsid w:val="00F22B9A"/>
    <w:rsid w:val="00F23FB7"/>
    <w:rsid w:val="00F27178"/>
    <w:rsid w:val="00F27FF0"/>
    <w:rsid w:val="00F33259"/>
    <w:rsid w:val="00F41511"/>
    <w:rsid w:val="00F42CAA"/>
    <w:rsid w:val="00F53FEB"/>
    <w:rsid w:val="00F54617"/>
    <w:rsid w:val="00F5672A"/>
    <w:rsid w:val="00F62AAD"/>
    <w:rsid w:val="00F649E8"/>
    <w:rsid w:val="00F67005"/>
    <w:rsid w:val="00F67526"/>
    <w:rsid w:val="00F67608"/>
    <w:rsid w:val="00F7019C"/>
    <w:rsid w:val="00F71220"/>
    <w:rsid w:val="00F72930"/>
    <w:rsid w:val="00F745A2"/>
    <w:rsid w:val="00F74888"/>
    <w:rsid w:val="00F802EE"/>
    <w:rsid w:val="00F842D7"/>
    <w:rsid w:val="00F84D06"/>
    <w:rsid w:val="00F85665"/>
    <w:rsid w:val="00F85E94"/>
    <w:rsid w:val="00F9344C"/>
    <w:rsid w:val="00F96D66"/>
    <w:rsid w:val="00F97FB4"/>
    <w:rsid w:val="00FA1A66"/>
    <w:rsid w:val="00FA487E"/>
    <w:rsid w:val="00FA697F"/>
    <w:rsid w:val="00FB049A"/>
    <w:rsid w:val="00FB0BD5"/>
    <w:rsid w:val="00FB0CD9"/>
    <w:rsid w:val="00FB1D60"/>
    <w:rsid w:val="00FB3CDD"/>
    <w:rsid w:val="00FB5087"/>
    <w:rsid w:val="00FB72EF"/>
    <w:rsid w:val="00FC145A"/>
    <w:rsid w:val="00FC2C52"/>
    <w:rsid w:val="00FC3525"/>
    <w:rsid w:val="00FC4200"/>
    <w:rsid w:val="00FC4C8E"/>
    <w:rsid w:val="00FC5EC5"/>
    <w:rsid w:val="00FC6402"/>
    <w:rsid w:val="00FD1223"/>
    <w:rsid w:val="00FD13A1"/>
    <w:rsid w:val="00FD5FAF"/>
    <w:rsid w:val="00FD7AD9"/>
    <w:rsid w:val="00FE5130"/>
    <w:rsid w:val="00FE5F94"/>
    <w:rsid w:val="00FE658F"/>
    <w:rsid w:val="00FE767D"/>
    <w:rsid w:val="00FF25CB"/>
    <w:rsid w:val="00FF3440"/>
    <w:rsid w:val="00FF3F67"/>
    <w:rsid w:val="00FF578C"/>
    <w:rsid w:val="00FF5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7A2A"/>
  <w15:docId w15:val="{3E1061E6-52CC-402D-8904-C52F82B1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paragraph" w:styleId="Heading1">
    <w:name w:val="heading 1"/>
    <w:basedOn w:val="Normal"/>
    <w:link w:val="Heading1Char"/>
    <w:uiPriority w:val="9"/>
    <w:qFormat/>
    <w:rsid w:val="00E85B9C"/>
    <w:pPr>
      <w:spacing w:before="240" w:after="240"/>
      <w:outlineLvl w:val="0"/>
    </w:pPr>
    <w:rPr>
      <w:b/>
      <w:bCs/>
      <w:sz w:val="26"/>
      <w:szCs w:val="24"/>
    </w:rPr>
  </w:style>
  <w:style w:type="paragraph" w:styleId="Heading3">
    <w:name w:val="heading 3"/>
    <w:basedOn w:val="Normal"/>
    <w:next w:val="Normal"/>
    <w:link w:val="Heading3Char"/>
    <w:uiPriority w:val="9"/>
    <w:semiHidden/>
    <w:unhideWhenUsed/>
    <w:qFormat/>
    <w:rsid w:val="00966BD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3573"/>
    <w:pPr>
      <w:jc w:val="both"/>
    </w:pPr>
    <w:rPr>
      <w:sz w:val="26"/>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527D"/>
    <w:pPr>
      <w:tabs>
        <w:tab w:val="center" w:pos="4513"/>
        <w:tab w:val="right" w:pos="9026"/>
      </w:tabs>
    </w:pPr>
  </w:style>
  <w:style w:type="character" w:customStyle="1" w:styleId="HeaderChar">
    <w:name w:val="Header Char"/>
    <w:basedOn w:val="DefaultParagraphFont"/>
    <w:link w:val="Header"/>
    <w:uiPriority w:val="99"/>
    <w:rsid w:val="00BA527D"/>
    <w:rPr>
      <w:rFonts w:ascii="Garamond" w:eastAsia="Garamond" w:hAnsi="Garamond" w:cs="Garamond"/>
    </w:rPr>
  </w:style>
  <w:style w:type="paragraph" w:styleId="Footer">
    <w:name w:val="footer"/>
    <w:basedOn w:val="Normal"/>
    <w:link w:val="FooterChar"/>
    <w:unhideWhenUsed/>
    <w:rsid w:val="00BA527D"/>
    <w:pPr>
      <w:tabs>
        <w:tab w:val="center" w:pos="4513"/>
        <w:tab w:val="right" w:pos="9026"/>
      </w:tabs>
    </w:pPr>
  </w:style>
  <w:style w:type="character" w:customStyle="1" w:styleId="FooterChar">
    <w:name w:val="Footer Char"/>
    <w:basedOn w:val="DefaultParagraphFont"/>
    <w:link w:val="Footer"/>
    <w:rsid w:val="00BA527D"/>
    <w:rPr>
      <w:rFonts w:ascii="Garamond" w:eastAsia="Garamond" w:hAnsi="Garamond" w:cs="Garamond"/>
    </w:rPr>
  </w:style>
  <w:style w:type="character" w:customStyle="1" w:styleId="Heading1Char">
    <w:name w:val="Heading 1 Char"/>
    <w:basedOn w:val="DefaultParagraphFont"/>
    <w:link w:val="Heading1"/>
    <w:uiPriority w:val="9"/>
    <w:rsid w:val="00FF578C"/>
    <w:rPr>
      <w:rFonts w:ascii="Garamond" w:eastAsia="Garamond" w:hAnsi="Garamond" w:cs="Garamond"/>
      <w:b/>
      <w:bCs/>
      <w:sz w:val="26"/>
      <w:szCs w:val="24"/>
    </w:rPr>
  </w:style>
  <w:style w:type="character" w:styleId="Hyperlink">
    <w:name w:val="Hyperlink"/>
    <w:rsid w:val="00D05DC4"/>
    <w:rPr>
      <w:color w:val="0000FF"/>
      <w:u w:val="single"/>
    </w:rPr>
  </w:style>
  <w:style w:type="character" w:styleId="FollowedHyperlink">
    <w:name w:val="FollowedHyperlink"/>
    <w:basedOn w:val="DefaultParagraphFont"/>
    <w:uiPriority w:val="99"/>
    <w:semiHidden/>
    <w:unhideWhenUsed/>
    <w:rsid w:val="000C1F8E"/>
    <w:rPr>
      <w:color w:val="800080" w:themeColor="followedHyperlink"/>
      <w:u w:val="single"/>
    </w:rPr>
  </w:style>
  <w:style w:type="paragraph" w:customStyle="1" w:styleId="Default">
    <w:name w:val="Default"/>
    <w:rsid w:val="00085D09"/>
    <w:pPr>
      <w:widowControl/>
      <w:adjustRightInd w:val="0"/>
    </w:pPr>
    <w:rPr>
      <w:rFonts w:ascii="Garamond" w:hAnsi="Garamond" w:cs="Garamond"/>
      <w:color w:val="000000"/>
      <w:sz w:val="24"/>
      <w:szCs w:val="24"/>
      <w:lang w:val="en-GB"/>
    </w:rPr>
  </w:style>
  <w:style w:type="character" w:customStyle="1" w:styleId="Heading3Char">
    <w:name w:val="Heading 3 Char"/>
    <w:basedOn w:val="DefaultParagraphFont"/>
    <w:link w:val="Heading3"/>
    <w:uiPriority w:val="9"/>
    <w:semiHidden/>
    <w:rsid w:val="00966BD9"/>
    <w:rPr>
      <w:rFonts w:asciiTheme="majorHAnsi" w:eastAsiaTheme="majorEastAsia" w:hAnsiTheme="majorHAnsi" w:cstheme="majorBidi"/>
      <w:color w:val="243F60" w:themeColor="accent1" w:themeShade="7F"/>
      <w:sz w:val="24"/>
      <w:szCs w:val="24"/>
    </w:rPr>
  </w:style>
  <w:style w:type="paragraph" w:customStyle="1" w:styleId="CM1">
    <w:name w:val="CM1"/>
    <w:basedOn w:val="Default"/>
    <w:next w:val="Default"/>
    <w:uiPriority w:val="99"/>
    <w:rsid w:val="009A19A3"/>
    <w:pPr>
      <w:spacing w:line="271" w:lineRule="atLeast"/>
    </w:pPr>
    <w:rPr>
      <w:rFonts w:cstheme="minorBidi"/>
      <w:color w:val="auto"/>
    </w:rPr>
  </w:style>
  <w:style w:type="paragraph" w:customStyle="1" w:styleId="CM2">
    <w:name w:val="CM2"/>
    <w:basedOn w:val="Default"/>
    <w:next w:val="Default"/>
    <w:uiPriority w:val="99"/>
    <w:rsid w:val="0041166B"/>
    <w:pPr>
      <w:spacing w:line="271" w:lineRule="atLeast"/>
    </w:pPr>
    <w:rPr>
      <w:rFonts w:cstheme="minorBidi"/>
      <w:color w:val="auto"/>
    </w:rPr>
  </w:style>
  <w:style w:type="paragraph" w:customStyle="1" w:styleId="CM6">
    <w:name w:val="CM6"/>
    <w:basedOn w:val="Default"/>
    <w:next w:val="Default"/>
    <w:uiPriority w:val="99"/>
    <w:rsid w:val="00A53C73"/>
    <w:rPr>
      <w:rFonts w:cstheme="minorBidi"/>
      <w:color w:val="auto"/>
    </w:rPr>
  </w:style>
  <w:style w:type="paragraph" w:customStyle="1" w:styleId="CM3">
    <w:name w:val="CM3"/>
    <w:basedOn w:val="Default"/>
    <w:next w:val="Default"/>
    <w:uiPriority w:val="99"/>
    <w:rsid w:val="003D0174"/>
    <w:pPr>
      <w:spacing w:line="248" w:lineRule="atLeast"/>
    </w:pPr>
    <w:rPr>
      <w:rFonts w:cstheme="minorBidi"/>
      <w:color w:val="auto"/>
    </w:rPr>
  </w:style>
  <w:style w:type="paragraph" w:styleId="FootnoteText">
    <w:name w:val="footnote text"/>
    <w:basedOn w:val="Normal"/>
    <w:link w:val="FootnoteTextChar"/>
    <w:uiPriority w:val="99"/>
    <w:semiHidden/>
    <w:unhideWhenUsed/>
    <w:rsid w:val="00A13DA1"/>
    <w:rPr>
      <w:sz w:val="20"/>
      <w:szCs w:val="20"/>
    </w:rPr>
  </w:style>
  <w:style w:type="character" w:customStyle="1" w:styleId="FootnoteTextChar">
    <w:name w:val="Footnote Text Char"/>
    <w:basedOn w:val="DefaultParagraphFont"/>
    <w:link w:val="FootnoteText"/>
    <w:uiPriority w:val="99"/>
    <w:semiHidden/>
    <w:rsid w:val="00A13DA1"/>
    <w:rPr>
      <w:rFonts w:ascii="Garamond" w:eastAsia="Garamond" w:hAnsi="Garamond" w:cs="Garamond"/>
      <w:sz w:val="20"/>
      <w:szCs w:val="20"/>
    </w:rPr>
  </w:style>
  <w:style w:type="character" w:styleId="FootnoteReference">
    <w:name w:val="footnote reference"/>
    <w:basedOn w:val="DefaultParagraphFont"/>
    <w:uiPriority w:val="99"/>
    <w:semiHidden/>
    <w:unhideWhenUsed/>
    <w:rsid w:val="00A13DA1"/>
    <w:rPr>
      <w:vertAlign w:val="superscript"/>
    </w:rPr>
  </w:style>
  <w:style w:type="character" w:styleId="UnresolvedMention">
    <w:name w:val="Unresolved Mention"/>
    <w:basedOn w:val="DefaultParagraphFont"/>
    <w:uiPriority w:val="99"/>
    <w:semiHidden/>
    <w:unhideWhenUsed/>
    <w:rsid w:val="00504DCB"/>
    <w:rPr>
      <w:color w:val="605E5C"/>
      <w:shd w:val="clear" w:color="auto" w:fill="E1DFDD"/>
    </w:rPr>
  </w:style>
  <w:style w:type="paragraph" w:customStyle="1" w:styleId="CM4">
    <w:name w:val="CM4"/>
    <w:basedOn w:val="Default"/>
    <w:next w:val="Default"/>
    <w:uiPriority w:val="99"/>
    <w:rsid w:val="00B175BF"/>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659509">
      <w:bodyDiv w:val="1"/>
      <w:marLeft w:val="0"/>
      <w:marRight w:val="0"/>
      <w:marTop w:val="0"/>
      <w:marBottom w:val="0"/>
      <w:divBdr>
        <w:top w:val="none" w:sz="0" w:space="0" w:color="auto"/>
        <w:left w:val="none" w:sz="0" w:space="0" w:color="auto"/>
        <w:bottom w:val="none" w:sz="0" w:space="0" w:color="auto"/>
        <w:right w:val="none" w:sz="0" w:space="0" w:color="auto"/>
      </w:divBdr>
    </w:div>
    <w:div w:id="161639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upremecourt.uk/decided-cases/index.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ba139d-dfa9-4d99-bada-e9a0b0212d0a">
      <Terms xmlns="http://schemas.microsoft.com/office/infopath/2007/PartnerControls"/>
    </lcf76f155ced4ddcb4097134ff3c332f>
    <TaxCatchAll xmlns="8c4107a8-2ba2-4c7f-a549-2a7930b8c2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DB45F4B96FB841B9E65A50BE93DBA2" ma:contentTypeVersion="17" ma:contentTypeDescription="Create a new document." ma:contentTypeScope="" ma:versionID="7081cc00247a11b0dde863933679e9ef">
  <xsd:schema xmlns:xsd="http://www.w3.org/2001/XMLSchema" xmlns:xs="http://www.w3.org/2001/XMLSchema" xmlns:p="http://schemas.microsoft.com/office/2006/metadata/properties" xmlns:ns2="1eba139d-dfa9-4d99-bada-e9a0b0212d0a" xmlns:ns3="8c4107a8-2ba2-4c7f-a549-2a7930b8c22b" targetNamespace="http://schemas.microsoft.com/office/2006/metadata/properties" ma:root="true" ma:fieldsID="02ac37565207f9e05cec10688a78cbf7" ns2:_="" ns3:_="">
    <xsd:import namespace="1eba139d-dfa9-4d99-bada-e9a0b0212d0a"/>
    <xsd:import namespace="8c4107a8-2ba2-4c7f-a549-2a7930b8c2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a139d-dfa9-4d99-bada-e9a0b0212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a96bc35-c4cc-4be1-a920-9ed41f535fb1"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107a8-2ba2-4c7f-a549-2a7930b8c2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857f714-befc-4d5b-b92b-422c6cde74b1}" ma:internalName="TaxCatchAll" ma:showField="CatchAllData" ma:web="8c4107a8-2ba2-4c7f-a549-2a7930b8c2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371C8-5580-4833-AA4A-4AC25B3CCCBA}">
  <ds:schemaRefs>
    <ds:schemaRef ds:uri="http://schemas.microsoft.com/sharepoint/v3/contenttype/forms"/>
  </ds:schemaRefs>
</ds:datastoreItem>
</file>

<file path=customXml/itemProps2.xml><?xml version="1.0" encoding="utf-8"?>
<ds:datastoreItem xmlns:ds="http://schemas.openxmlformats.org/officeDocument/2006/customXml" ds:itemID="{6C393404-B773-4F56-9464-800B4D821A4C}">
  <ds:schemaRefs>
    <ds:schemaRef ds:uri="http://schemas.microsoft.com/office/2006/documentManagement/types"/>
    <ds:schemaRef ds:uri="http://www.w3.org/XML/1998/namespace"/>
    <ds:schemaRef ds:uri="http://schemas.openxmlformats.org/package/2006/metadata/core-properties"/>
    <ds:schemaRef ds:uri="http://purl.org/dc/elements/1.1/"/>
    <ds:schemaRef ds:uri="http://schemas.microsoft.com/office/infopath/2007/PartnerControls"/>
    <ds:schemaRef ds:uri="http://purl.org/dc/dcmitype/"/>
    <ds:schemaRef ds:uri="1eba139d-dfa9-4d99-bada-e9a0b0212d0a"/>
    <ds:schemaRef ds:uri="8c4107a8-2ba2-4c7f-a549-2a7930b8c22b"/>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7E76BCB-20F9-4B16-9304-D07826567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a139d-dfa9-4d99-bada-e9a0b0212d0a"/>
    <ds:schemaRef ds:uri="8c4107a8-2ba2-4c7f-a549-2a7930b8c2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AD9DD0-2AB6-40A9-9AEB-BE0D7879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 (Children)</vt:lpstr>
    </vt:vector>
  </TitlesOfParts>
  <Company>Supreme Court of the United Kingdom (UKSC)</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(Children)</dc:title>
  <dc:subject>Press summary</dc:subject>
  <dc:creator>Supreme Court of the United Kingdom (UKSC)</dc:creator>
  <cp:keywords>[2012] UKSC 36; UKSC 2010/0244</cp:keywords>
  <cp:lastModifiedBy>Paul Sandles</cp:lastModifiedBy>
  <cp:revision>12</cp:revision>
  <dcterms:created xsi:type="dcterms:W3CDTF">2023-07-10T09:34:00Z</dcterms:created>
  <dcterms:modified xsi:type="dcterms:W3CDTF">2024-02-23T11:15:00Z</dcterms:modified>
  <cp:category>Press summaries; Decided cases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ID">
    <vt:lpwstr>JCPC 2009/0111</vt:lpwstr>
  </property>
  <property fmtid="{D5CDD505-2E9C-101B-9397-08002B2CF9AE}" pid="3" name="CaseName">
    <vt:lpwstr>Curtis Warren and others v The Attorney General of the Bailiwick of Jersey</vt:lpwstr>
  </property>
  <property fmtid="{D5CDD505-2E9C-101B-9397-08002B2CF9AE}" pid="4" name="Created">
    <vt:filetime>2011-03-24T00:00:00Z</vt:filetime>
  </property>
  <property fmtid="{D5CDD505-2E9C-101B-9397-08002B2CF9AE}" pid="5" name="Creator">
    <vt:lpwstr>PScript5.dll Version 5.2.2</vt:lpwstr>
  </property>
  <property fmtid="{D5CDD505-2E9C-101B-9397-08002B2CF9AE}" pid="6" name="HandDownDate">
    <vt:lpwstr>28/03/2011</vt:lpwstr>
  </property>
  <property fmtid="{D5CDD505-2E9C-101B-9397-08002B2CF9AE}" pid="7" name="Jurisdiction">
    <vt:lpwstr>Court of Appeal of Jersey</vt:lpwstr>
  </property>
  <property fmtid="{D5CDD505-2E9C-101B-9397-08002B2CF9AE}" pid="8" name="LastSaved">
    <vt:filetime>2022-12-06T00:00:00Z</vt:filetime>
  </property>
  <property fmtid="{D5CDD505-2E9C-101B-9397-08002B2CF9AE}" pid="9" name="NeutralCitationNo">
    <vt:lpwstr>[2011[ UKPC 10</vt:lpwstr>
  </property>
  <property fmtid="{D5CDD505-2E9C-101B-9397-08002B2CF9AE}" pid="10" name="Producer">
    <vt:lpwstr>Acrobat Distiller 9.3.3 (Windows)</vt:lpwstr>
  </property>
  <property fmtid="{D5CDD505-2E9C-101B-9397-08002B2CF9AE}" pid="11" name="ContentTypeId">
    <vt:lpwstr>0x01010058DB45F4B96FB841B9E65A50BE93DBA2</vt:lpwstr>
  </property>
  <property fmtid="{D5CDD505-2E9C-101B-9397-08002B2CF9AE}" pid="12" name="MediaServiceImageTags">
    <vt:lpwstr/>
  </property>
</Properties>
</file>