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2FC9DA" w14:textId="77777777" w:rsidR="00D57C53" w:rsidRDefault="00D57C53" w:rsidP="00D57C53">
      <w:pPr>
        <w:jc w:val="center"/>
        <w:rPr>
          <w:rFonts w:ascii="Garamond" w:hAnsi="Garamond"/>
        </w:rPr>
      </w:pPr>
      <w:bookmarkStart w:id="0" w:name="_GoBack"/>
      <w:r w:rsidRPr="001C78CB">
        <w:rPr>
          <w:rFonts w:ascii="Garamond" w:hAnsi="Garamond"/>
          <w:noProof/>
        </w:rPr>
        <w:drawing>
          <wp:inline distT="0" distB="0" distL="0" distR="0" wp14:anchorId="232A8E14" wp14:editId="19D832EA">
            <wp:extent cx="1066800" cy="1428750"/>
            <wp:effectExtent l="0" t="0" r="0" b="0"/>
            <wp:docPr id="1" name="Picture 1" descr="UKSC logo" title="UKS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0" cy="1428750"/>
                    </a:xfrm>
                    <a:prstGeom prst="rect">
                      <a:avLst/>
                    </a:prstGeom>
                    <a:noFill/>
                    <a:ln>
                      <a:noFill/>
                    </a:ln>
                  </pic:spPr>
                </pic:pic>
              </a:graphicData>
            </a:graphic>
          </wp:inline>
        </w:drawing>
      </w:r>
      <w:bookmarkEnd w:id="0"/>
    </w:p>
    <w:p w14:paraId="3C5F91FA" w14:textId="2B4269A0" w:rsidR="00D57C53" w:rsidRPr="00A97444" w:rsidRDefault="00DE6EE6" w:rsidP="00D57C53">
      <w:pPr>
        <w:tabs>
          <w:tab w:val="left" w:pos="8285"/>
        </w:tabs>
        <w:jc w:val="right"/>
        <w:rPr>
          <w:rFonts w:ascii="Garamond" w:hAnsi="Garamond"/>
          <w:b/>
        </w:rPr>
      </w:pPr>
      <w:r>
        <w:rPr>
          <w:rFonts w:ascii="Garamond" w:hAnsi="Garamond"/>
          <w:b/>
        </w:rPr>
        <w:t>22 October 2014</w:t>
      </w:r>
    </w:p>
    <w:p w14:paraId="396FFF3C" w14:textId="77777777" w:rsidR="00D57C53" w:rsidRPr="00A97444" w:rsidRDefault="00D57C53" w:rsidP="00D57C53">
      <w:pPr>
        <w:tabs>
          <w:tab w:val="left" w:pos="8285"/>
        </w:tabs>
        <w:jc w:val="center"/>
        <w:rPr>
          <w:rFonts w:ascii="Garamond" w:hAnsi="Garamond"/>
          <w:b/>
        </w:rPr>
      </w:pPr>
      <w:r w:rsidRPr="00A97444">
        <w:rPr>
          <w:rFonts w:ascii="Garamond" w:hAnsi="Garamond"/>
          <w:b/>
        </w:rPr>
        <w:t>PRESS SUMMARY</w:t>
      </w:r>
    </w:p>
    <w:p w14:paraId="189F6B5A" w14:textId="77777777" w:rsidR="00D57C53" w:rsidRPr="00A97444" w:rsidRDefault="00D57C53" w:rsidP="00D57C53">
      <w:pPr>
        <w:tabs>
          <w:tab w:val="left" w:pos="8285"/>
        </w:tabs>
        <w:rPr>
          <w:rFonts w:ascii="Garamond" w:hAnsi="Garamond"/>
          <w:b/>
        </w:rPr>
      </w:pPr>
    </w:p>
    <w:p w14:paraId="36E62B45" w14:textId="0956EA28" w:rsidR="00D57C53" w:rsidRDefault="008A5BAE" w:rsidP="00D57C53">
      <w:pPr>
        <w:tabs>
          <w:tab w:val="left" w:pos="8285"/>
        </w:tabs>
        <w:rPr>
          <w:rFonts w:ascii="Garamond" w:hAnsi="Garamond"/>
          <w:b/>
        </w:rPr>
      </w:pPr>
      <w:r>
        <w:rPr>
          <w:rFonts w:ascii="Garamond" w:hAnsi="Garamond"/>
          <w:b/>
        </w:rPr>
        <w:t xml:space="preserve">McDonald (Deceased) (Represented by Mrs Edna McDonald) </w:t>
      </w:r>
      <w:r w:rsidR="00D57C53">
        <w:rPr>
          <w:rFonts w:ascii="Garamond" w:hAnsi="Garamond"/>
          <w:b/>
        </w:rPr>
        <w:t>(</w:t>
      </w:r>
      <w:r>
        <w:rPr>
          <w:rFonts w:ascii="Garamond" w:hAnsi="Garamond"/>
          <w:b/>
        </w:rPr>
        <w:t>Respondent</w:t>
      </w:r>
      <w:r w:rsidR="00D57C53">
        <w:rPr>
          <w:rFonts w:ascii="Garamond" w:hAnsi="Garamond"/>
          <w:b/>
        </w:rPr>
        <w:t xml:space="preserve">) </w:t>
      </w:r>
      <w:r w:rsidR="00D57C53" w:rsidRPr="00A97444">
        <w:rPr>
          <w:rFonts w:ascii="Garamond" w:hAnsi="Garamond"/>
          <w:b/>
        </w:rPr>
        <w:t xml:space="preserve">v </w:t>
      </w:r>
      <w:r>
        <w:rPr>
          <w:rFonts w:ascii="Garamond" w:hAnsi="Garamond"/>
          <w:b/>
        </w:rPr>
        <w:t xml:space="preserve">The National Grid Electricity Transmission Plc </w:t>
      </w:r>
      <w:r w:rsidR="00D57C53">
        <w:rPr>
          <w:rFonts w:ascii="Garamond" w:hAnsi="Garamond"/>
          <w:b/>
        </w:rPr>
        <w:t>(</w:t>
      </w:r>
      <w:r>
        <w:rPr>
          <w:rFonts w:ascii="Garamond" w:hAnsi="Garamond"/>
          <w:b/>
        </w:rPr>
        <w:t>Appellant)</w:t>
      </w:r>
      <w:r w:rsidR="00D57C53">
        <w:rPr>
          <w:rFonts w:ascii="Garamond" w:hAnsi="Garamond"/>
          <w:b/>
        </w:rPr>
        <w:t xml:space="preserve"> </w:t>
      </w:r>
      <w:r w:rsidR="00BB68F3">
        <w:rPr>
          <w:rFonts w:ascii="Garamond" w:hAnsi="Garamond"/>
          <w:b/>
        </w:rPr>
        <w:t>[2014</w:t>
      </w:r>
      <w:r w:rsidR="00D57C53">
        <w:rPr>
          <w:rFonts w:ascii="Garamond" w:hAnsi="Garamond"/>
          <w:b/>
        </w:rPr>
        <w:t xml:space="preserve">] UKSC </w:t>
      </w:r>
      <w:r w:rsidR="002819B0">
        <w:rPr>
          <w:rFonts w:ascii="Garamond" w:hAnsi="Garamond"/>
          <w:b/>
        </w:rPr>
        <w:t>53</w:t>
      </w:r>
    </w:p>
    <w:p w14:paraId="4ACDD48B" w14:textId="13F5DED2" w:rsidR="00BB68F3" w:rsidRDefault="00BB68F3" w:rsidP="00BB68F3">
      <w:pPr>
        <w:tabs>
          <w:tab w:val="left" w:pos="8285"/>
        </w:tabs>
        <w:rPr>
          <w:rFonts w:ascii="Garamond" w:hAnsi="Garamond"/>
          <w:b/>
        </w:rPr>
      </w:pPr>
      <w:r>
        <w:rPr>
          <w:rFonts w:ascii="Garamond" w:hAnsi="Garamond"/>
          <w:b/>
        </w:rPr>
        <w:t xml:space="preserve">McDonald (Deceased) (Represented by Mrs Edna McDonald) (Appellant) </w:t>
      </w:r>
      <w:r w:rsidRPr="00A97444">
        <w:rPr>
          <w:rFonts w:ascii="Garamond" w:hAnsi="Garamond"/>
          <w:b/>
        </w:rPr>
        <w:t xml:space="preserve">v </w:t>
      </w:r>
      <w:r>
        <w:rPr>
          <w:rFonts w:ascii="Garamond" w:hAnsi="Garamond"/>
          <w:b/>
        </w:rPr>
        <w:t>The National Grid Electricity Transmission Pl</w:t>
      </w:r>
      <w:r w:rsidR="002819B0">
        <w:rPr>
          <w:rFonts w:ascii="Garamond" w:hAnsi="Garamond"/>
          <w:b/>
        </w:rPr>
        <w:t>c (Respondent)   [2014] UKSC 53</w:t>
      </w:r>
    </w:p>
    <w:p w14:paraId="3716CC29" w14:textId="795D14D6" w:rsidR="00D57C53" w:rsidRPr="00A97444" w:rsidRDefault="00D57C53" w:rsidP="00D57C53">
      <w:pPr>
        <w:tabs>
          <w:tab w:val="left" w:pos="8285"/>
        </w:tabs>
        <w:rPr>
          <w:rFonts w:ascii="Garamond" w:hAnsi="Garamond"/>
          <w:b/>
          <w:i/>
        </w:rPr>
      </w:pPr>
      <w:r>
        <w:rPr>
          <w:rFonts w:ascii="Garamond" w:hAnsi="Garamond"/>
          <w:b/>
          <w:i/>
        </w:rPr>
        <w:t xml:space="preserve">On appeal from </w:t>
      </w:r>
      <w:r w:rsidR="00DE6EE6">
        <w:rPr>
          <w:rFonts w:ascii="Garamond" w:hAnsi="Garamond"/>
          <w:b/>
          <w:i/>
        </w:rPr>
        <w:t xml:space="preserve">[2013] EWCA </w:t>
      </w:r>
      <w:proofErr w:type="spellStart"/>
      <w:r w:rsidR="00DE6EE6">
        <w:rPr>
          <w:rFonts w:ascii="Garamond" w:hAnsi="Garamond"/>
          <w:b/>
          <w:i/>
        </w:rPr>
        <w:t>Civ</w:t>
      </w:r>
      <w:proofErr w:type="spellEnd"/>
      <w:r w:rsidR="00DE6EE6">
        <w:rPr>
          <w:rFonts w:ascii="Garamond" w:hAnsi="Garamond"/>
          <w:b/>
          <w:i/>
        </w:rPr>
        <w:t xml:space="preserve"> 1346</w:t>
      </w:r>
    </w:p>
    <w:p w14:paraId="0A936380" w14:textId="77777777" w:rsidR="00D57C53" w:rsidRDefault="00D57C53" w:rsidP="00D57C53">
      <w:pPr>
        <w:tabs>
          <w:tab w:val="left" w:pos="8285"/>
        </w:tabs>
        <w:rPr>
          <w:rFonts w:ascii="Garamond" w:hAnsi="Garamond"/>
        </w:rPr>
      </w:pPr>
    </w:p>
    <w:p w14:paraId="535CE0FE" w14:textId="7324D17B" w:rsidR="00D57C53" w:rsidRDefault="00D57C53" w:rsidP="00D57C53">
      <w:pPr>
        <w:tabs>
          <w:tab w:val="left" w:pos="8285"/>
        </w:tabs>
        <w:rPr>
          <w:rFonts w:ascii="Garamond" w:hAnsi="Garamond"/>
        </w:rPr>
      </w:pPr>
      <w:r w:rsidRPr="00A97444">
        <w:rPr>
          <w:rFonts w:ascii="Garamond" w:hAnsi="Garamond"/>
          <w:b/>
        </w:rPr>
        <w:t>JUSTICES</w:t>
      </w:r>
      <w:r>
        <w:rPr>
          <w:rFonts w:ascii="Garamond" w:hAnsi="Garamond"/>
        </w:rPr>
        <w:t xml:space="preserve">: </w:t>
      </w:r>
      <w:r w:rsidR="00DE6EE6">
        <w:rPr>
          <w:rFonts w:ascii="Garamond" w:hAnsi="Garamond"/>
        </w:rPr>
        <w:t>Lord Neuberger</w:t>
      </w:r>
      <w:r w:rsidR="009822D2">
        <w:rPr>
          <w:rFonts w:ascii="Garamond" w:hAnsi="Garamond"/>
        </w:rPr>
        <w:t xml:space="preserve"> (President)</w:t>
      </w:r>
      <w:r w:rsidR="00DE6EE6">
        <w:rPr>
          <w:rFonts w:ascii="Garamond" w:hAnsi="Garamond"/>
        </w:rPr>
        <w:t>, Lady Hale</w:t>
      </w:r>
      <w:r w:rsidR="009822D2">
        <w:rPr>
          <w:rFonts w:ascii="Garamond" w:hAnsi="Garamond"/>
        </w:rPr>
        <w:t xml:space="preserve"> (Deputy President)</w:t>
      </w:r>
      <w:r w:rsidR="00DE6EE6">
        <w:rPr>
          <w:rFonts w:ascii="Garamond" w:hAnsi="Garamond"/>
        </w:rPr>
        <w:t>, Lord Kerr, Lord Clarke, Lord Reed.</w:t>
      </w:r>
    </w:p>
    <w:p w14:paraId="2D305E28" w14:textId="77777777" w:rsidR="00D57C53" w:rsidRDefault="00D57C53" w:rsidP="00D57C53">
      <w:pPr>
        <w:tabs>
          <w:tab w:val="left" w:pos="8285"/>
        </w:tabs>
        <w:rPr>
          <w:rFonts w:ascii="Garamond" w:hAnsi="Garamond"/>
        </w:rPr>
      </w:pPr>
    </w:p>
    <w:p w14:paraId="0EAE3C56" w14:textId="77777777" w:rsidR="00D57C53" w:rsidRPr="00A97444" w:rsidRDefault="00D57C53" w:rsidP="00D57C53">
      <w:pPr>
        <w:tabs>
          <w:tab w:val="left" w:pos="8285"/>
        </w:tabs>
        <w:rPr>
          <w:rFonts w:ascii="Garamond" w:hAnsi="Garamond"/>
          <w:b/>
        </w:rPr>
      </w:pPr>
      <w:r w:rsidRPr="00A97444">
        <w:rPr>
          <w:rFonts w:ascii="Garamond" w:hAnsi="Garamond"/>
          <w:b/>
        </w:rPr>
        <w:t>BACKGROUND TO THE APPEAL</w:t>
      </w:r>
      <w:r>
        <w:rPr>
          <w:rFonts w:ascii="Garamond" w:hAnsi="Garamond"/>
          <w:b/>
        </w:rPr>
        <w:t>S</w:t>
      </w:r>
    </w:p>
    <w:p w14:paraId="48AD34AC" w14:textId="4126CD43" w:rsidR="009822D2" w:rsidRDefault="009822D2" w:rsidP="00D57C53">
      <w:pPr>
        <w:tabs>
          <w:tab w:val="left" w:pos="8285"/>
        </w:tabs>
        <w:rPr>
          <w:rFonts w:ascii="Garamond" w:hAnsi="Garamond"/>
        </w:rPr>
      </w:pPr>
      <w:r>
        <w:rPr>
          <w:rFonts w:ascii="Garamond" w:hAnsi="Garamond"/>
        </w:rPr>
        <w:t>Between 1954 and March 1959 Percy McDonald attended Battersea power station in the course of his employment</w:t>
      </w:r>
      <w:r w:rsidR="008A5BAE">
        <w:rPr>
          <w:rFonts w:ascii="Garamond" w:hAnsi="Garamond"/>
        </w:rPr>
        <w:t xml:space="preserve"> as a lorry driver</w:t>
      </w:r>
      <w:r>
        <w:rPr>
          <w:rFonts w:ascii="Garamond" w:hAnsi="Garamond"/>
        </w:rPr>
        <w:t xml:space="preserve"> for a firm known as Building Research Station to collect pulverised fuel ash. Between 1954 and January 1957 he was at the power station approximately twice a month </w:t>
      </w:r>
      <w:r w:rsidR="00C311A2">
        <w:rPr>
          <w:rFonts w:ascii="Garamond" w:hAnsi="Garamond"/>
        </w:rPr>
        <w:t xml:space="preserve">but this fell to about twice every three months from January 1957. While </w:t>
      </w:r>
      <w:r w:rsidR="0046773E">
        <w:rPr>
          <w:rFonts w:ascii="Garamond" w:hAnsi="Garamond"/>
        </w:rPr>
        <w:t>at</w:t>
      </w:r>
      <w:r w:rsidR="00C311A2">
        <w:rPr>
          <w:rFonts w:ascii="Garamond" w:hAnsi="Garamond"/>
        </w:rPr>
        <w:t xml:space="preserve"> the power station</w:t>
      </w:r>
      <w:r w:rsidR="0046773E">
        <w:rPr>
          <w:rFonts w:ascii="Garamond" w:hAnsi="Garamond"/>
        </w:rPr>
        <w:t xml:space="preserve"> as a “casual visitor”</w:t>
      </w:r>
      <w:r w:rsidR="00C311A2">
        <w:rPr>
          <w:rFonts w:ascii="Garamond" w:hAnsi="Garamond"/>
        </w:rPr>
        <w:t xml:space="preserve"> Mr McDonald went into areas where asbestos dust was generated by lagging work.</w:t>
      </w:r>
      <w:r w:rsidR="00C9305F">
        <w:rPr>
          <w:rFonts w:ascii="Garamond" w:hAnsi="Garamond"/>
        </w:rPr>
        <w:t xml:space="preserve"> </w:t>
      </w:r>
      <w:r w:rsidR="00C311A2">
        <w:rPr>
          <w:rFonts w:ascii="Garamond" w:hAnsi="Garamond"/>
        </w:rPr>
        <w:t>The lagging work involved mixing asbestos pow</w:t>
      </w:r>
      <w:r w:rsidR="002819B0">
        <w:rPr>
          <w:rFonts w:ascii="Garamond" w:hAnsi="Garamond"/>
        </w:rPr>
        <w:t>d</w:t>
      </w:r>
      <w:r w:rsidR="00C311A2">
        <w:rPr>
          <w:rFonts w:ascii="Garamond" w:hAnsi="Garamond"/>
        </w:rPr>
        <w:t xml:space="preserve">er with water in order to make a paste, as well as sawing preformed asbestos sections and stripping off old asbestos lagging.  </w:t>
      </w:r>
    </w:p>
    <w:p w14:paraId="56747BE9" w14:textId="77777777" w:rsidR="009822D2" w:rsidRDefault="009822D2" w:rsidP="00D57C53">
      <w:pPr>
        <w:tabs>
          <w:tab w:val="left" w:pos="8285"/>
        </w:tabs>
        <w:rPr>
          <w:rFonts w:ascii="Garamond" w:hAnsi="Garamond"/>
        </w:rPr>
      </w:pPr>
    </w:p>
    <w:p w14:paraId="6856E203" w14:textId="47992355" w:rsidR="00FD5FE8" w:rsidRDefault="00C9305F" w:rsidP="00D57C53">
      <w:pPr>
        <w:tabs>
          <w:tab w:val="left" w:pos="8285"/>
        </w:tabs>
        <w:rPr>
          <w:rFonts w:ascii="Garamond" w:hAnsi="Garamond"/>
        </w:rPr>
      </w:pPr>
      <w:r>
        <w:rPr>
          <w:rFonts w:ascii="Garamond" w:hAnsi="Garamond"/>
        </w:rPr>
        <w:t xml:space="preserve">Mr McDonald </w:t>
      </w:r>
      <w:r w:rsidR="009822D2">
        <w:rPr>
          <w:rFonts w:ascii="Garamond" w:hAnsi="Garamond"/>
        </w:rPr>
        <w:t xml:space="preserve">was diagnosed as suffering from mesothelioma in July 2012 and sadly died at the beginning of February 2014. His widow, Edna McDonald, took his place as respondent in the appeal. </w:t>
      </w:r>
      <w:r>
        <w:rPr>
          <w:rFonts w:ascii="Garamond" w:hAnsi="Garamond"/>
        </w:rPr>
        <w:t xml:space="preserve">The </w:t>
      </w:r>
      <w:r w:rsidR="002C3ABB">
        <w:rPr>
          <w:rFonts w:ascii="Garamond" w:hAnsi="Garamond"/>
        </w:rPr>
        <w:t>National Grid Electricity Transmission Plc (“</w:t>
      </w:r>
      <w:r w:rsidR="0046773E">
        <w:rPr>
          <w:rFonts w:ascii="Garamond" w:hAnsi="Garamond"/>
        </w:rPr>
        <w:t>National Grid</w:t>
      </w:r>
      <w:r w:rsidR="002C3ABB">
        <w:rPr>
          <w:rFonts w:ascii="Garamond" w:hAnsi="Garamond"/>
        </w:rPr>
        <w:t>”)</w:t>
      </w:r>
      <w:r>
        <w:rPr>
          <w:rFonts w:ascii="Garamond" w:hAnsi="Garamond"/>
        </w:rPr>
        <w:t xml:space="preserve"> is the successor body to the occupiers of the power station. At trial, Mr McDonald alleged that those occupiers </w:t>
      </w:r>
      <w:r w:rsidR="00C53F48">
        <w:rPr>
          <w:rFonts w:ascii="Garamond" w:hAnsi="Garamond"/>
        </w:rPr>
        <w:t>had been</w:t>
      </w:r>
      <w:r>
        <w:rPr>
          <w:rFonts w:ascii="Garamond" w:hAnsi="Garamond"/>
        </w:rPr>
        <w:t xml:space="preserve"> in breach of their statutory obligations under regulation 2(a) of the Asbestos Industry Regulations 1931 (“the 1931 Regulations”) and section 4</w:t>
      </w:r>
      <w:r w:rsidR="00FD5FE8">
        <w:rPr>
          <w:rFonts w:ascii="Garamond" w:hAnsi="Garamond"/>
        </w:rPr>
        <w:t>7</w:t>
      </w:r>
      <w:r>
        <w:rPr>
          <w:rFonts w:ascii="Garamond" w:hAnsi="Garamond"/>
        </w:rPr>
        <w:t xml:space="preserve"> of the Factories Act 1937 (“the 1937 Act”).</w:t>
      </w:r>
      <w:r w:rsidR="00FD5FE8">
        <w:rPr>
          <w:rFonts w:ascii="Garamond" w:hAnsi="Garamond"/>
        </w:rPr>
        <w:t xml:space="preserve"> </w:t>
      </w:r>
      <w:r w:rsidR="008A5BAE">
        <w:rPr>
          <w:rFonts w:ascii="Garamond" w:hAnsi="Garamond"/>
        </w:rPr>
        <w:t>He also brought claims in negligence against the successors</w:t>
      </w:r>
      <w:r w:rsidR="0046773E">
        <w:rPr>
          <w:rFonts w:ascii="Garamond" w:hAnsi="Garamond"/>
        </w:rPr>
        <w:t xml:space="preserve"> to his former employers and National Grid</w:t>
      </w:r>
      <w:r w:rsidR="008A5BAE">
        <w:rPr>
          <w:rFonts w:ascii="Garamond" w:hAnsi="Garamond"/>
        </w:rPr>
        <w:t xml:space="preserve">, but these claims were </w:t>
      </w:r>
      <w:r w:rsidR="00C53F48">
        <w:rPr>
          <w:rFonts w:ascii="Garamond" w:hAnsi="Garamond"/>
        </w:rPr>
        <w:t>dropped before the matter came to</w:t>
      </w:r>
      <w:r w:rsidR="008A5BAE">
        <w:rPr>
          <w:rFonts w:ascii="Garamond" w:hAnsi="Garamond"/>
        </w:rPr>
        <w:t xml:space="preserve"> the Supreme Court. </w:t>
      </w:r>
    </w:p>
    <w:p w14:paraId="1AC2A314" w14:textId="77777777" w:rsidR="00FD5FE8" w:rsidRDefault="00FD5FE8" w:rsidP="00D57C53">
      <w:pPr>
        <w:tabs>
          <w:tab w:val="left" w:pos="8285"/>
        </w:tabs>
        <w:rPr>
          <w:rFonts w:ascii="Garamond" w:hAnsi="Garamond"/>
        </w:rPr>
      </w:pPr>
    </w:p>
    <w:p w14:paraId="4D4D595A" w14:textId="51C0A2A1" w:rsidR="00D57C53" w:rsidRDefault="00FD5FE8" w:rsidP="00D57C53">
      <w:pPr>
        <w:tabs>
          <w:tab w:val="left" w:pos="8285"/>
        </w:tabs>
        <w:rPr>
          <w:rFonts w:ascii="Garamond" w:hAnsi="Garamond"/>
        </w:rPr>
      </w:pPr>
      <w:r>
        <w:rPr>
          <w:rFonts w:ascii="Garamond" w:hAnsi="Garamond"/>
        </w:rPr>
        <w:t xml:space="preserve">The trial judge dismissed </w:t>
      </w:r>
      <w:r w:rsidR="002C3ABB">
        <w:rPr>
          <w:rFonts w:ascii="Garamond" w:hAnsi="Garamond"/>
        </w:rPr>
        <w:t>all Mr McDonald’s claims. On appeal, the Court of Appeal allowed Mr McDonald’s appeal under the 1931 Regulations but dismissed his</w:t>
      </w:r>
      <w:r w:rsidR="0046773E">
        <w:rPr>
          <w:rFonts w:ascii="Garamond" w:hAnsi="Garamond"/>
        </w:rPr>
        <w:t xml:space="preserve"> appeal under the 1937 Act. National Grid </w:t>
      </w:r>
      <w:r w:rsidR="00B73F64">
        <w:rPr>
          <w:rFonts w:ascii="Garamond" w:hAnsi="Garamond"/>
        </w:rPr>
        <w:t>appeals</w:t>
      </w:r>
      <w:r w:rsidR="002C3ABB">
        <w:rPr>
          <w:rFonts w:ascii="Garamond" w:hAnsi="Garamond"/>
        </w:rPr>
        <w:t xml:space="preserve"> to the Supreme Court in the first appeal and Mr McDonald’s r</w:t>
      </w:r>
      <w:r w:rsidR="00C92E1A">
        <w:rPr>
          <w:rFonts w:ascii="Garamond" w:hAnsi="Garamond"/>
        </w:rPr>
        <w:t>epresentative cross-appeals</w:t>
      </w:r>
      <w:r w:rsidR="002C3ABB">
        <w:rPr>
          <w:rFonts w:ascii="Garamond" w:hAnsi="Garamond"/>
        </w:rPr>
        <w:t xml:space="preserve"> in the second appeal.</w:t>
      </w:r>
    </w:p>
    <w:p w14:paraId="105F3303" w14:textId="77777777" w:rsidR="00D57C53" w:rsidRPr="0044315A" w:rsidRDefault="00D57C53" w:rsidP="00D57C53">
      <w:pPr>
        <w:rPr>
          <w:rFonts w:ascii="Garamond" w:hAnsi="Garamond"/>
        </w:rPr>
      </w:pPr>
    </w:p>
    <w:p w14:paraId="2F34BFD9" w14:textId="77777777" w:rsidR="00D57C53" w:rsidRDefault="00D57C53" w:rsidP="00D57C53">
      <w:pPr>
        <w:rPr>
          <w:rFonts w:ascii="Garamond" w:hAnsi="Garamond"/>
          <w:b/>
        </w:rPr>
      </w:pPr>
      <w:r>
        <w:rPr>
          <w:rFonts w:ascii="Garamond" w:hAnsi="Garamond"/>
          <w:b/>
        </w:rPr>
        <w:t>JUDGMENT</w:t>
      </w:r>
    </w:p>
    <w:p w14:paraId="15B0C5CC" w14:textId="77777777" w:rsidR="00D57C53" w:rsidRDefault="00D57C53" w:rsidP="00D57C53">
      <w:pPr>
        <w:rPr>
          <w:rFonts w:ascii="Garamond" w:hAnsi="Garamond"/>
          <w:b/>
        </w:rPr>
      </w:pPr>
    </w:p>
    <w:p w14:paraId="39A0CE0B" w14:textId="6AF090E2" w:rsidR="00D57C53" w:rsidRDefault="00D57C53" w:rsidP="00D57C53">
      <w:pPr>
        <w:rPr>
          <w:rFonts w:ascii="Garamond" w:hAnsi="Garamond"/>
        </w:rPr>
      </w:pPr>
      <w:r>
        <w:rPr>
          <w:rFonts w:ascii="Garamond" w:hAnsi="Garamond"/>
        </w:rPr>
        <w:t xml:space="preserve">The Supreme Court </w:t>
      </w:r>
      <w:r w:rsidR="004606D1">
        <w:rPr>
          <w:rFonts w:ascii="Garamond" w:hAnsi="Garamond"/>
        </w:rPr>
        <w:t>dismisses</w:t>
      </w:r>
      <w:r>
        <w:rPr>
          <w:rFonts w:ascii="Garamond" w:hAnsi="Garamond"/>
        </w:rPr>
        <w:t xml:space="preserve"> </w:t>
      </w:r>
      <w:r w:rsidR="0046773E">
        <w:rPr>
          <w:rFonts w:ascii="Garamond" w:hAnsi="Garamond"/>
        </w:rPr>
        <w:t>National Grid’s</w:t>
      </w:r>
      <w:r>
        <w:rPr>
          <w:rFonts w:ascii="Garamond" w:hAnsi="Garamond"/>
        </w:rPr>
        <w:t xml:space="preserve"> appeal</w:t>
      </w:r>
      <w:r w:rsidR="00DE6EE6">
        <w:rPr>
          <w:rFonts w:ascii="Garamond" w:hAnsi="Garamond"/>
        </w:rPr>
        <w:t xml:space="preserve"> and dismisses the cross-appeal</w:t>
      </w:r>
      <w:r w:rsidR="009822D2">
        <w:rPr>
          <w:rFonts w:ascii="Garamond" w:hAnsi="Garamond"/>
        </w:rPr>
        <w:t>. On the appeal, the decision was by a majority of three (</w:t>
      </w:r>
      <w:r w:rsidR="004606D1">
        <w:rPr>
          <w:rFonts w:ascii="Garamond" w:hAnsi="Garamond"/>
        </w:rPr>
        <w:t>Lord Kerr gives the</w:t>
      </w:r>
      <w:r w:rsidR="002819B0">
        <w:rPr>
          <w:rFonts w:ascii="Garamond" w:hAnsi="Garamond"/>
        </w:rPr>
        <w:t xml:space="preserve"> </w:t>
      </w:r>
      <w:r w:rsidR="00EC5F14">
        <w:rPr>
          <w:rFonts w:ascii="Garamond" w:hAnsi="Garamond"/>
        </w:rPr>
        <w:t>l</w:t>
      </w:r>
      <w:r w:rsidR="002819B0">
        <w:rPr>
          <w:rFonts w:ascii="Garamond" w:hAnsi="Garamond"/>
        </w:rPr>
        <w:t>ead</w:t>
      </w:r>
      <w:r w:rsidR="003D494B">
        <w:rPr>
          <w:rFonts w:ascii="Garamond" w:hAnsi="Garamond"/>
        </w:rPr>
        <w:t xml:space="preserve"> judgment</w:t>
      </w:r>
      <w:r w:rsidR="004606D1">
        <w:rPr>
          <w:rFonts w:ascii="Garamond" w:hAnsi="Garamond"/>
        </w:rPr>
        <w:t xml:space="preserve"> </w:t>
      </w:r>
      <w:r w:rsidR="002819B0">
        <w:rPr>
          <w:rFonts w:ascii="Garamond" w:hAnsi="Garamond"/>
        </w:rPr>
        <w:t>and</w:t>
      </w:r>
      <w:r w:rsidR="004606D1">
        <w:rPr>
          <w:rFonts w:ascii="Garamond" w:hAnsi="Garamond"/>
        </w:rPr>
        <w:t xml:space="preserve"> Lady Hale and Lord Clarke </w:t>
      </w:r>
      <w:r w:rsidR="002819B0">
        <w:rPr>
          <w:rFonts w:ascii="Garamond" w:hAnsi="Garamond"/>
        </w:rPr>
        <w:t>give concurring judgments</w:t>
      </w:r>
      <w:r w:rsidR="009822D2">
        <w:rPr>
          <w:rFonts w:ascii="Garamond" w:hAnsi="Garamond"/>
        </w:rPr>
        <w:t xml:space="preserve">) to two (Lord Reed, with whom Lord Neuberger agreed). On the cross-appeal, the decision was by a majority of four to one, with Lady Hale in the minority. </w:t>
      </w:r>
    </w:p>
    <w:p w14:paraId="41874ECD" w14:textId="0A86869B" w:rsidR="002C3ABB" w:rsidRDefault="002C3ABB" w:rsidP="00D57C53">
      <w:pPr>
        <w:rPr>
          <w:rFonts w:ascii="Garamond" w:hAnsi="Garamond"/>
        </w:rPr>
      </w:pPr>
    </w:p>
    <w:p w14:paraId="0742FA8B" w14:textId="77777777" w:rsidR="00D57C53" w:rsidRDefault="00D57C53" w:rsidP="00D57C53">
      <w:pPr>
        <w:rPr>
          <w:rFonts w:ascii="Garamond" w:hAnsi="Garamond"/>
          <w:b/>
        </w:rPr>
      </w:pPr>
      <w:r w:rsidRPr="00A30FCD">
        <w:rPr>
          <w:rFonts w:ascii="Garamond" w:hAnsi="Garamond"/>
          <w:b/>
        </w:rPr>
        <w:t>REASONS FOR THE JUDGMENT</w:t>
      </w:r>
    </w:p>
    <w:p w14:paraId="68052D7A" w14:textId="77777777" w:rsidR="00FB797B" w:rsidRDefault="00FB797B" w:rsidP="00FB797B">
      <w:pPr>
        <w:rPr>
          <w:rFonts w:ascii="Garamond" w:hAnsi="Garamond"/>
        </w:rPr>
      </w:pPr>
    </w:p>
    <w:p w14:paraId="2A65E970" w14:textId="3A4C175C" w:rsidR="002939CD" w:rsidRDefault="00881D0E" w:rsidP="00FB797B">
      <w:pPr>
        <w:rPr>
          <w:rFonts w:ascii="Garamond" w:hAnsi="Garamond"/>
        </w:rPr>
      </w:pPr>
      <w:r>
        <w:rPr>
          <w:rFonts w:ascii="Garamond" w:hAnsi="Garamond"/>
        </w:rPr>
        <w:t xml:space="preserve">On the first appeal, </w:t>
      </w:r>
      <w:r w:rsidR="004606D1">
        <w:rPr>
          <w:rFonts w:ascii="Garamond" w:hAnsi="Garamond"/>
        </w:rPr>
        <w:t>the majority</w:t>
      </w:r>
      <w:r w:rsidR="00FB797B">
        <w:rPr>
          <w:rFonts w:ascii="Garamond" w:hAnsi="Garamond"/>
        </w:rPr>
        <w:t xml:space="preserve"> </w:t>
      </w:r>
      <w:r>
        <w:rPr>
          <w:rFonts w:ascii="Garamond" w:hAnsi="Garamond"/>
        </w:rPr>
        <w:t>conclude</w:t>
      </w:r>
      <w:r w:rsidR="00FB797B">
        <w:rPr>
          <w:rFonts w:ascii="Garamond" w:hAnsi="Garamond"/>
        </w:rPr>
        <w:t xml:space="preserve"> that the 1931 Regulations apply to all factories and workshops processing asbestos</w:t>
      </w:r>
      <w:r>
        <w:rPr>
          <w:rFonts w:ascii="Garamond" w:hAnsi="Garamond"/>
        </w:rPr>
        <w:t>, not just those dealing with asbestos in its raw, unprocessed condition. The clear wording of the R</w:t>
      </w:r>
      <w:r w:rsidR="002819B0">
        <w:rPr>
          <w:rFonts w:ascii="Garamond" w:hAnsi="Garamond"/>
        </w:rPr>
        <w:t>egulations indicated this, focu</w:t>
      </w:r>
      <w:r>
        <w:rPr>
          <w:rFonts w:ascii="Garamond" w:hAnsi="Garamond"/>
        </w:rPr>
        <w:t>sing as they did on the processes in question rather than the nature of the industry.</w:t>
      </w:r>
      <w:r w:rsidR="00E8751D">
        <w:rPr>
          <w:rFonts w:ascii="Garamond" w:hAnsi="Garamond"/>
        </w:rPr>
        <w:t xml:space="preserve"> </w:t>
      </w:r>
      <w:r w:rsidR="00E8751D">
        <w:rPr>
          <w:rFonts w:ascii="Garamond" w:hAnsi="Garamond"/>
          <w:b/>
        </w:rPr>
        <w:t>[27, 98, 116]</w:t>
      </w:r>
      <w:r>
        <w:rPr>
          <w:rFonts w:ascii="Garamond" w:hAnsi="Garamond"/>
        </w:rPr>
        <w:t xml:space="preserve"> The Secretary of State made these Regulations to </w:t>
      </w:r>
      <w:r>
        <w:rPr>
          <w:rFonts w:ascii="Garamond" w:hAnsi="Garamond"/>
        </w:rPr>
        <w:lastRenderedPageBreak/>
        <w:t>counteract the harm that could be done by the manipulati</w:t>
      </w:r>
      <w:r w:rsidR="002819B0">
        <w:rPr>
          <w:rFonts w:ascii="Garamond" w:hAnsi="Garamond"/>
        </w:rPr>
        <w:t>on of asbestos rather than focu</w:t>
      </w:r>
      <w:r>
        <w:rPr>
          <w:rFonts w:ascii="Garamond" w:hAnsi="Garamond"/>
        </w:rPr>
        <w:t xml:space="preserve">sing on any particular setting where this might happen </w:t>
      </w:r>
      <w:r w:rsidR="00E8751D">
        <w:rPr>
          <w:rFonts w:ascii="Garamond" w:hAnsi="Garamond"/>
          <w:b/>
        </w:rPr>
        <w:t>[96, 117</w:t>
      </w:r>
      <w:r>
        <w:rPr>
          <w:rFonts w:ascii="Garamond" w:hAnsi="Garamond"/>
          <w:b/>
        </w:rPr>
        <w:t>]</w:t>
      </w:r>
      <w:r w:rsidR="00FB797B">
        <w:rPr>
          <w:rFonts w:ascii="Garamond" w:hAnsi="Garamond"/>
        </w:rPr>
        <w:t>.</w:t>
      </w:r>
    </w:p>
    <w:p w14:paraId="38C33A2C" w14:textId="77777777" w:rsidR="002939CD" w:rsidRDefault="002939CD" w:rsidP="00FB797B">
      <w:pPr>
        <w:rPr>
          <w:rFonts w:ascii="Garamond" w:hAnsi="Garamond"/>
        </w:rPr>
      </w:pPr>
    </w:p>
    <w:p w14:paraId="4D482562" w14:textId="49B11C44" w:rsidR="002939CD" w:rsidRDefault="00FB797B" w:rsidP="00FB797B">
      <w:pPr>
        <w:rPr>
          <w:rFonts w:ascii="Garamond" w:hAnsi="Garamond"/>
        </w:rPr>
      </w:pPr>
      <w:r>
        <w:rPr>
          <w:rFonts w:ascii="Garamond" w:hAnsi="Garamond"/>
        </w:rPr>
        <w:t>The mixing of asbestos</w:t>
      </w:r>
      <w:r w:rsidR="00881D0E">
        <w:rPr>
          <w:rFonts w:ascii="Garamond" w:hAnsi="Garamond"/>
        </w:rPr>
        <w:t xml:space="preserve"> during lagging work</w:t>
      </w:r>
      <w:r>
        <w:rPr>
          <w:rFonts w:ascii="Garamond" w:hAnsi="Garamond"/>
        </w:rPr>
        <w:t xml:space="preserve"> at the power station </w:t>
      </w:r>
      <w:r w:rsidR="00881D0E">
        <w:rPr>
          <w:rFonts w:ascii="Garamond" w:hAnsi="Garamond"/>
        </w:rPr>
        <w:t>fell within the meaning of paragraph (</w:t>
      </w:r>
      <w:proofErr w:type="spellStart"/>
      <w:r w:rsidR="00881D0E">
        <w:rPr>
          <w:rFonts w:ascii="Garamond" w:hAnsi="Garamond"/>
        </w:rPr>
        <w:t>i</w:t>
      </w:r>
      <w:proofErr w:type="spellEnd"/>
      <w:r w:rsidR="00881D0E">
        <w:rPr>
          <w:rFonts w:ascii="Garamond" w:hAnsi="Garamond"/>
        </w:rPr>
        <w:t>) of the Preamble to the 1931 Regulations. The Secretary of State was alive to the risk posed by mixing asbestos in settings other tha</w:t>
      </w:r>
      <w:r w:rsidR="00F73BB9">
        <w:rPr>
          <w:rFonts w:ascii="Garamond" w:hAnsi="Garamond"/>
        </w:rPr>
        <w:t>n a narrowly-defined manufacturing</w:t>
      </w:r>
      <w:r w:rsidR="00881D0E">
        <w:rPr>
          <w:rFonts w:ascii="Garamond" w:hAnsi="Garamond"/>
        </w:rPr>
        <w:t xml:space="preserve"> context</w:t>
      </w:r>
      <w:r w:rsidR="00E8751D">
        <w:rPr>
          <w:rFonts w:ascii="Garamond" w:hAnsi="Garamond"/>
        </w:rPr>
        <w:t xml:space="preserve"> </w:t>
      </w:r>
      <w:r w:rsidR="00E8751D">
        <w:rPr>
          <w:rFonts w:ascii="Garamond" w:hAnsi="Garamond"/>
          <w:b/>
        </w:rPr>
        <w:t>[49, 124]</w:t>
      </w:r>
      <w:r w:rsidR="00F73BB9">
        <w:rPr>
          <w:rFonts w:ascii="Garamond" w:hAnsi="Garamond"/>
        </w:rPr>
        <w:t xml:space="preserve">. Lady Hale points out that this interpretation of “mixing” was compatible with </w:t>
      </w:r>
      <w:r w:rsidR="00F73BB9">
        <w:rPr>
          <w:rFonts w:ascii="Garamond" w:hAnsi="Garamond"/>
          <w:i/>
        </w:rPr>
        <w:t xml:space="preserve">Cherry Tree Machine Co Ltd v Dawson sub nom </w:t>
      </w:r>
      <w:proofErr w:type="spellStart"/>
      <w:r w:rsidR="00F73BB9">
        <w:rPr>
          <w:rFonts w:ascii="Garamond" w:hAnsi="Garamond"/>
          <w:i/>
        </w:rPr>
        <w:t>Jeromson</w:t>
      </w:r>
      <w:proofErr w:type="spellEnd"/>
      <w:r w:rsidR="00F73BB9">
        <w:rPr>
          <w:rFonts w:ascii="Garamond" w:hAnsi="Garamond"/>
          <w:i/>
        </w:rPr>
        <w:t xml:space="preserve"> v Shell Tankers (UK) Ltd </w:t>
      </w:r>
      <w:r w:rsidR="00F73BB9">
        <w:rPr>
          <w:rFonts w:ascii="Garamond" w:hAnsi="Garamond"/>
        </w:rPr>
        <w:t xml:space="preserve">[2001] EWCA </w:t>
      </w:r>
      <w:proofErr w:type="spellStart"/>
      <w:r w:rsidR="00F73BB9">
        <w:rPr>
          <w:rFonts w:ascii="Garamond" w:hAnsi="Garamond"/>
        </w:rPr>
        <w:t>Civ</w:t>
      </w:r>
      <w:proofErr w:type="spellEnd"/>
      <w:r w:rsidR="00F73BB9">
        <w:rPr>
          <w:rFonts w:ascii="Garamond" w:hAnsi="Garamond"/>
        </w:rPr>
        <w:t xml:space="preserve"> 101</w:t>
      </w:r>
      <w:r w:rsidR="00F73BB9">
        <w:rPr>
          <w:rFonts w:ascii="Garamond" w:hAnsi="Garamond"/>
          <w:i/>
        </w:rPr>
        <w:t>,</w:t>
      </w:r>
      <w:r w:rsidR="00F73BB9">
        <w:rPr>
          <w:rFonts w:ascii="Garamond" w:hAnsi="Garamond"/>
        </w:rPr>
        <w:t xml:space="preserve"> which the Supreme Court unanimously approves in this case</w:t>
      </w:r>
      <w:r w:rsidR="00881D0E">
        <w:rPr>
          <w:rFonts w:ascii="Garamond" w:hAnsi="Garamond"/>
        </w:rPr>
        <w:t xml:space="preserve"> </w:t>
      </w:r>
      <w:r w:rsidR="00881D0E">
        <w:rPr>
          <w:rFonts w:ascii="Garamond" w:hAnsi="Garamond"/>
          <w:b/>
        </w:rPr>
        <w:t>[</w:t>
      </w:r>
      <w:r w:rsidR="00E8751D">
        <w:rPr>
          <w:rFonts w:ascii="Garamond" w:hAnsi="Garamond"/>
          <w:b/>
        </w:rPr>
        <w:t>100</w:t>
      </w:r>
      <w:r w:rsidR="00881D0E">
        <w:rPr>
          <w:rFonts w:ascii="Garamond" w:hAnsi="Garamond"/>
          <w:b/>
        </w:rPr>
        <w:t>]</w:t>
      </w:r>
      <w:r>
        <w:rPr>
          <w:rFonts w:ascii="Garamond" w:hAnsi="Garamond"/>
        </w:rPr>
        <w:t>.</w:t>
      </w:r>
    </w:p>
    <w:p w14:paraId="189559C4" w14:textId="77777777" w:rsidR="002939CD" w:rsidRDefault="002939CD" w:rsidP="00FB797B">
      <w:pPr>
        <w:rPr>
          <w:rFonts w:ascii="Garamond" w:hAnsi="Garamond"/>
        </w:rPr>
      </w:pPr>
    </w:p>
    <w:p w14:paraId="0E2A127E" w14:textId="283CF6E9" w:rsidR="00FB797B" w:rsidRDefault="00850765" w:rsidP="00FB797B">
      <w:pPr>
        <w:rPr>
          <w:rFonts w:ascii="Garamond" w:hAnsi="Garamond"/>
        </w:rPr>
      </w:pPr>
      <w:r>
        <w:rPr>
          <w:rFonts w:ascii="Garamond" w:hAnsi="Garamond"/>
        </w:rPr>
        <w:t>Lord Kerr holds that a</w:t>
      </w:r>
      <w:r w:rsidR="00FB797B">
        <w:rPr>
          <w:rFonts w:ascii="Garamond" w:hAnsi="Garamond"/>
        </w:rPr>
        <w:t xml:space="preserve"> worker in a factory or workshop</w:t>
      </w:r>
      <w:r w:rsidR="00BA13D9">
        <w:rPr>
          <w:rFonts w:ascii="Garamond" w:hAnsi="Garamond"/>
        </w:rPr>
        <w:t xml:space="preserve"> where processing of asbestos took place</w:t>
      </w:r>
      <w:r w:rsidR="00FB797B">
        <w:rPr>
          <w:rFonts w:ascii="Garamond" w:hAnsi="Garamond"/>
        </w:rPr>
        <w:t xml:space="preserve"> was within the scope of the </w:t>
      </w:r>
      <w:r w:rsidR="00881D0E">
        <w:rPr>
          <w:rFonts w:ascii="Garamond" w:hAnsi="Garamond"/>
        </w:rPr>
        <w:t xml:space="preserve">1931 </w:t>
      </w:r>
      <w:r w:rsidR="00FB797B">
        <w:rPr>
          <w:rFonts w:ascii="Garamond" w:hAnsi="Garamond"/>
        </w:rPr>
        <w:t xml:space="preserve">Regulations, even if not </w:t>
      </w:r>
      <w:r w:rsidR="00881D0E">
        <w:rPr>
          <w:rFonts w:ascii="Garamond" w:hAnsi="Garamond"/>
        </w:rPr>
        <w:t>mixing</w:t>
      </w:r>
      <w:r w:rsidR="00FB797B">
        <w:rPr>
          <w:rFonts w:ascii="Garamond" w:hAnsi="Garamond"/>
        </w:rPr>
        <w:t xml:space="preserve"> asbestos</w:t>
      </w:r>
      <w:r w:rsidR="00881D0E">
        <w:rPr>
          <w:rFonts w:ascii="Garamond" w:hAnsi="Garamond"/>
        </w:rPr>
        <w:t xml:space="preserve"> himself or directly employed by the occupiers of the premises where asbestos was being mixed</w:t>
      </w:r>
      <w:r w:rsidR="00F73BB9">
        <w:rPr>
          <w:rFonts w:ascii="Garamond" w:hAnsi="Garamond"/>
        </w:rPr>
        <w:t>. The Secretary of State made these Regulations under s. 79 of the Factory and Workshop Act 1901</w:t>
      </w:r>
      <w:r w:rsidR="002939CD">
        <w:rPr>
          <w:rFonts w:ascii="Garamond" w:hAnsi="Garamond"/>
        </w:rPr>
        <w:t xml:space="preserve"> (“the 1901 Act”)</w:t>
      </w:r>
      <w:r w:rsidR="00F73BB9">
        <w:rPr>
          <w:rFonts w:ascii="Garamond" w:hAnsi="Garamond"/>
        </w:rPr>
        <w:t xml:space="preserve">, which empowered him to </w:t>
      </w:r>
      <w:r w:rsidR="00C53F48">
        <w:rPr>
          <w:rFonts w:ascii="Garamond" w:hAnsi="Garamond"/>
        </w:rPr>
        <w:t>afford</w:t>
      </w:r>
      <w:r w:rsidR="00F73BB9">
        <w:rPr>
          <w:rFonts w:ascii="Garamond" w:hAnsi="Garamond"/>
        </w:rPr>
        <w:t xml:space="preserve"> protection to workers not involved in the </w:t>
      </w:r>
      <w:r w:rsidR="00C53F48">
        <w:rPr>
          <w:rFonts w:ascii="Garamond" w:hAnsi="Garamond"/>
        </w:rPr>
        <w:t xml:space="preserve">asbestos </w:t>
      </w:r>
      <w:r w:rsidR="00F73BB9">
        <w:rPr>
          <w:rFonts w:ascii="Garamond" w:hAnsi="Garamond"/>
        </w:rPr>
        <w:t>process</w:t>
      </w:r>
      <w:r w:rsidR="00C53F48">
        <w:rPr>
          <w:rFonts w:ascii="Garamond" w:hAnsi="Garamond"/>
        </w:rPr>
        <w:t>ing</w:t>
      </w:r>
      <w:r w:rsidR="00F73BB9">
        <w:rPr>
          <w:rFonts w:ascii="Garamond" w:hAnsi="Garamond"/>
        </w:rPr>
        <w:t>. The risk of injury which these Regulations sought to protect against arose from inhalation of dust or fumes</w:t>
      </w:r>
      <w:r w:rsidR="004606D1">
        <w:rPr>
          <w:rFonts w:ascii="Garamond" w:hAnsi="Garamond"/>
        </w:rPr>
        <w:t xml:space="preserve">. There was therefore </w:t>
      </w:r>
      <w:r w:rsidR="00F73BB9">
        <w:rPr>
          <w:rFonts w:ascii="Garamond" w:hAnsi="Garamond"/>
        </w:rPr>
        <w:t xml:space="preserve">no logical reason to exclude those who were liable to exposure despite not working directly </w:t>
      </w:r>
      <w:r w:rsidR="00C53F48">
        <w:rPr>
          <w:rFonts w:ascii="Garamond" w:hAnsi="Garamond"/>
        </w:rPr>
        <w:t>with asbestos</w:t>
      </w:r>
      <w:r>
        <w:rPr>
          <w:rFonts w:ascii="Garamond" w:hAnsi="Garamond"/>
        </w:rPr>
        <w:t xml:space="preserve"> </w:t>
      </w:r>
      <w:r w:rsidRPr="00850765">
        <w:rPr>
          <w:rFonts w:ascii="Garamond" w:hAnsi="Garamond"/>
          <w:b/>
        </w:rPr>
        <w:t>[</w:t>
      </w:r>
      <w:r>
        <w:rPr>
          <w:rFonts w:ascii="Garamond" w:hAnsi="Garamond"/>
          <w:b/>
        </w:rPr>
        <w:t>53</w:t>
      </w:r>
      <w:r w:rsidRPr="00850765">
        <w:rPr>
          <w:rFonts w:ascii="Garamond" w:hAnsi="Garamond"/>
          <w:b/>
        </w:rPr>
        <w:t>]</w:t>
      </w:r>
      <w:r w:rsidR="00F73BB9">
        <w:rPr>
          <w:rFonts w:ascii="Garamond" w:hAnsi="Garamond"/>
        </w:rPr>
        <w:t>.</w:t>
      </w:r>
      <w:r w:rsidR="002939CD">
        <w:rPr>
          <w:rFonts w:ascii="Garamond" w:hAnsi="Garamond"/>
        </w:rPr>
        <w:t xml:space="preserve"> </w:t>
      </w:r>
      <w:r>
        <w:rPr>
          <w:rFonts w:ascii="Garamond" w:hAnsi="Garamond"/>
        </w:rPr>
        <w:t xml:space="preserve">Lady Hale concludes that liability under the 1901 Act is imposed on occupiers (rather than employers) to protect people in the premises they occupied, therefore the question was whether a person was employed in the power station, not whether he was employed by the occupier </w:t>
      </w:r>
      <w:r>
        <w:rPr>
          <w:rFonts w:ascii="Garamond" w:hAnsi="Garamond"/>
          <w:b/>
        </w:rPr>
        <w:t>[103-104]</w:t>
      </w:r>
      <w:r>
        <w:rPr>
          <w:rFonts w:ascii="Garamond" w:hAnsi="Garamond"/>
        </w:rPr>
        <w:t>. Lord Clarke</w:t>
      </w:r>
      <w:r>
        <w:rPr>
          <w:rFonts w:ascii="Garamond" w:hAnsi="Garamond"/>
          <w:b/>
        </w:rPr>
        <w:t xml:space="preserve"> </w:t>
      </w:r>
      <w:r w:rsidRPr="00850765">
        <w:rPr>
          <w:rFonts w:ascii="Garamond" w:hAnsi="Garamond"/>
        </w:rPr>
        <w:t>deem</w:t>
      </w:r>
      <w:r>
        <w:rPr>
          <w:rFonts w:ascii="Garamond" w:hAnsi="Garamond"/>
        </w:rPr>
        <w:t>s</w:t>
      </w:r>
      <w:r w:rsidRPr="00850765">
        <w:rPr>
          <w:rFonts w:ascii="Garamond" w:hAnsi="Garamond"/>
        </w:rPr>
        <w:t xml:space="preserve"> that Mr </w:t>
      </w:r>
      <w:r>
        <w:rPr>
          <w:rFonts w:ascii="Garamond" w:hAnsi="Garamond"/>
        </w:rPr>
        <w:t>M</w:t>
      </w:r>
      <w:r w:rsidRPr="00850765">
        <w:rPr>
          <w:rFonts w:ascii="Garamond" w:hAnsi="Garamond"/>
        </w:rPr>
        <w:t>cDonald was</w:t>
      </w:r>
      <w:r>
        <w:rPr>
          <w:rFonts w:ascii="Garamond" w:hAnsi="Garamond"/>
        </w:rPr>
        <w:t xml:space="preserve"> “in a real sense” working for the purposes of the power station and agrees with Lord Kerr</w:t>
      </w:r>
      <w:r>
        <w:rPr>
          <w:rFonts w:ascii="Garamond" w:hAnsi="Garamond"/>
          <w:b/>
        </w:rPr>
        <w:t xml:space="preserve"> [127]</w:t>
      </w:r>
      <w:r>
        <w:rPr>
          <w:rFonts w:ascii="Garamond" w:hAnsi="Garamond"/>
        </w:rPr>
        <w:t xml:space="preserve">. </w:t>
      </w:r>
    </w:p>
    <w:p w14:paraId="59C43982" w14:textId="77777777" w:rsidR="00881D0E" w:rsidRDefault="00881D0E" w:rsidP="00FB797B">
      <w:pPr>
        <w:rPr>
          <w:rFonts w:ascii="Garamond" w:hAnsi="Garamond"/>
        </w:rPr>
      </w:pPr>
    </w:p>
    <w:p w14:paraId="57DF0F02" w14:textId="30294E2C" w:rsidR="00881D0E" w:rsidRDefault="00881D0E" w:rsidP="00FB797B">
      <w:pPr>
        <w:rPr>
          <w:rFonts w:ascii="Garamond" w:hAnsi="Garamond"/>
        </w:rPr>
      </w:pPr>
      <w:r>
        <w:rPr>
          <w:rFonts w:ascii="Garamond" w:hAnsi="Garamond"/>
        </w:rPr>
        <w:t>Lord Reed,</w:t>
      </w:r>
      <w:r w:rsidR="004C7284">
        <w:rPr>
          <w:rFonts w:ascii="Garamond" w:hAnsi="Garamond"/>
        </w:rPr>
        <w:t xml:space="preserve"> with whom Lord Neuberger agrees</w:t>
      </w:r>
      <w:r>
        <w:rPr>
          <w:rFonts w:ascii="Garamond" w:hAnsi="Garamond"/>
        </w:rPr>
        <w:t xml:space="preserve">, </w:t>
      </w:r>
      <w:r w:rsidR="002939CD">
        <w:rPr>
          <w:rFonts w:ascii="Garamond" w:hAnsi="Garamond"/>
        </w:rPr>
        <w:t xml:space="preserve">undertakes an extensive review of the background to the 1931 Regulations. </w:t>
      </w:r>
      <w:r w:rsidR="00850765">
        <w:rPr>
          <w:rFonts w:ascii="Garamond" w:hAnsi="Garamond"/>
        </w:rPr>
        <w:t>They</w:t>
      </w:r>
      <w:r w:rsidR="002939CD">
        <w:rPr>
          <w:rFonts w:ascii="Garamond" w:hAnsi="Garamond"/>
        </w:rPr>
        <w:t xml:space="preserve"> would dismiss the appeal on the grounds that the 1931 Regulations are not engaged as they are intended to apply </w:t>
      </w:r>
      <w:r w:rsidR="002819B0">
        <w:rPr>
          <w:rFonts w:ascii="Garamond" w:hAnsi="Garamond"/>
        </w:rPr>
        <w:t xml:space="preserve">solely </w:t>
      </w:r>
      <w:r w:rsidR="002939CD">
        <w:rPr>
          <w:rFonts w:ascii="Garamond" w:hAnsi="Garamond"/>
        </w:rPr>
        <w:t xml:space="preserve">to asbestos processing within the asbestos industry. </w:t>
      </w:r>
      <w:r w:rsidR="008362A3">
        <w:rPr>
          <w:rFonts w:ascii="Garamond" w:hAnsi="Garamond"/>
        </w:rPr>
        <w:t>They hold that the Regulations were</w:t>
      </w:r>
      <w:r w:rsidR="002939CD">
        <w:rPr>
          <w:rFonts w:ascii="Garamond" w:hAnsi="Garamond"/>
        </w:rPr>
        <w:t xml:space="preserve"> penal legislation </w:t>
      </w:r>
      <w:r w:rsidR="008362A3">
        <w:rPr>
          <w:rFonts w:ascii="Garamond" w:hAnsi="Garamond"/>
        </w:rPr>
        <w:t>which</w:t>
      </w:r>
      <w:r w:rsidR="002939CD">
        <w:rPr>
          <w:rFonts w:ascii="Garamond" w:hAnsi="Garamond"/>
        </w:rPr>
        <w:t xml:space="preserve"> should be construed narrowly </w:t>
      </w:r>
      <w:r w:rsidR="002939CD">
        <w:rPr>
          <w:rFonts w:ascii="Garamond" w:hAnsi="Garamond"/>
          <w:b/>
        </w:rPr>
        <w:t>[158]</w:t>
      </w:r>
      <w:r w:rsidR="002939CD">
        <w:rPr>
          <w:rFonts w:ascii="Garamond" w:hAnsi="Garamond"/>
        </w:rPr>
        <w:t xml:space="preserve">. </w:t>
      </w:r>
    </w:p>
    <w:p w14:paraId="7F1434AD" w14:textId="77777777" w:rsidR="00FB797B" w:rsidRDefault="00FB797B" w:rsidP="00FB797B">
      <w:pPr>
        <w:rPr>
          <w:rFonts w:ascii="Garamond" w:hAnsi="Garamond"/>
        </w:rPr>
      </w:pPr>
    </w:p>
    <w:p w14:paraId="60035D4D" w14:textId="3C85DC2B" w:rsidR="004C7284" w:rsidRDefault="004C7284" w:rsidP="00FB797B">
      <w:pPr>
        <w:rPr>
          <w:rFonts w:ascii="Garamond" w:hAnsi="Garamond"/>
        </w:rPr>
      </w:pPr>
      <w:r>
        <w:rPr>
          <w:rFonts w:ascii="Garamond" w:hAnsi="Garamond"/>
        </w:rPr>
        <w:t xml:space="preserve">Lord Neuberger, </w:t>
      </w:r>
      <w:r w:rsidR="002939CD">
        <w:rPr>
          <w:rFonts w:ascii="Garamond" w:hAnsi="Garamond"/>
        </w:rPr>
        <w:t>Lord Kerr</w:t>
      </w:r>
      <w:r w:rsidR="004606D1">
        <w:rPr>
          <w:rFonts w:ascii="Garamond" w:hAnsi="Garamond"/>
        </w:rPr>
        <w:t>, Lord Clarke</w:t>
      </w:r>
      <w:r>
        <w:rPr>
          <w:rFonts w:ascii="Garamond" w:hAnsi="Garamond"/>
        </w:rPr>
        <w:t xml:space="preserve"> and Lord Reed would dismiss the cross appeal. They agree that</w:t>
      </w:r>
      <w:r w:rsidR="00850765">
        <w:rPr>
          <w:rFonts w:ascii="Garamond" w:hAnsi="Garamond"/>
        </w:rPr>
        <w:t>, while the rest of the statutory criteria are met,</w:t>
      </w:r>
      <w:r>
        <w:rPr>
          <w:rFonts w:ascii="Garamond" w:hAnsi="Garamond"/>
        </w:rPr>
        <w:t xml:space="preserve"> there is no sufficient evidence to rebut the Court of Appeal’s conclusion that Mr McDonald had failed to establish that a “substantial quantity of dust” had been given off</w:t>
      </w:r>
      <w:r w:rsidR="00C53F48">
        <w:rPr>
          <w:rFonts w:ascii="Garamond" w:hAnsi="Garamond"/>
        </w:rPr>
        <w:t xml:space="preserve"> by the mixing process</w:t>
      </w:r>
      <w:r>
        <w:rPr>
          <w:rFonts w:ascii="Garamond" w:hAnsi="Garamond"/>
        </w:rPr>
        <w:t xml:space="preserve">, as required by s. 47(1) of the 1937 Act </w:t>
      </w:r>
      <w:r>
        <w:rPr>
          <w:rFonts w:ascii="Garamond" w:hAnsi="Garamond"/>
          <w:b/>
        </w:rPr>
        <w:t>[90, 209]</w:t>
      </w:r>
      <w:r>
        <w:rPr>
          <w:rFonts w:ascii="Garamond" w:hAnsi="Garamond"/>
        </w:rPr>
        <w:t xml:space="preserve">. </w:t>
      </w:r>
    </w:p>
    <w:p w14:paraId="5306F93C" w14:textId="77777777" w:rsidR="004C7284" w:rsidRDefault="004C7284" w:rsidP="00FB797B">
      <w:pPr>
        <w:rPr>
          <w:rFonts w:ascii="Garamond" w:hAnsi="Garamond"/>
        </w:rPr>
      </w:pPr>
    </w:p>
    <w:p w14:paraId="4535C6EF" w14:textId="71EC9B31" w:rsidR="00FB797B" w:rsidRDefault="004C7284" w:rsidP="00FB797B">
      <w:pPr>
        <w:rPr>
          <w:rFonts w:ascii="Garamond" w:hAnsi="Garamond"/>
        </w:rPr>
      </w:pPr>
      <w:r>
        <w:rPr>
          <w:rFonts w:ascii="Garamond" w:hAnsi="Garamond"/>
        </w:rPr>
        <w:t xml:space="preserve">Lady Hale would allow the </w:t>
      </w:r>
      <w:r w:rsidR="00DB1B2B">
        <w:rPr>
          <w:rFonts w:ascii="Garamond" w:hAnsi="Garamond"/>
        </w:rPr>
        <w:t>cross-</w:t>
      </w:r>
      <w:r>
        <w:rPr>
          <w:rFonts w:ascii="Garamond" w:hAnsi="Garamond"/>
        </w:rPr>
        <w:t xml:space="preserve">appeal on the grounds that </w:t>
      </w:r>
      <w:r w:rsidR="00E56AAB">
        <w:rPr>
          <w:rFonts w:ascii="Garamond" w:hAnsi="Garamond"/>
        </w:rPr>
        <w:t xml:space="preserve">there is evidence upon which </w:t>
      </w:r>
      <w:r w:rsidR="008362A3">
        <w:rPr>
          <w:rFonts w:ascii="Garamond" w:hAnsi="Garamond"/>
        </w:rPr>
        <w:t xml:space="preserve">it could be determined </w:t>
      </w:r>
      <w:r w:rsidR="00E56AAB">
        <w:rPr>
          <w:rFonts w:ascii="Garamond" w:hAnsi="Garamond"/>
        </w:rPr>
        <w:t>that a substantial quantity of dust had been given off</w:t>
      </w:r>
      <w:r w:rsidR="008362A3">
        <w:rPr>
          <w:rFonts w:ascii="Garamond" w:hAnsi="Garamond"/>
        </w:rPr>
        <w:t xml:space="preserve"> </w:t>
      </w:r>
      <w:r w:rsidR="00E56AAB">
        <w:rPr>
          <w:rFonts w:ascii="Garamond" w:hAnsi="Garamond"/>
          <w:b/>
        </w:rPr>
        <w:t>[108-109]</w:t>
      </w:r>
      <w:r w:rsidR="00E72FB3">
        <w:rPr>
          <w:rFonts w:ascii="Garamond" w:hAnsi="Garamond"/>
        </w:rPr>
        <w:t>.</w:t>
      </w:r>
    </w:p>
    <w:p w14:paraId="2F924B4A" w14:textId="77777777" w:rsidR="00D57C53" w:rsidRDefault="00D57C53" w:rsidP="00D57C53">
      <w:pPr>
        <w:rPr>
          <w:rFonts w:ascii="Garamond" w:hAnsi="Garamond"/>
          <w:b/>
        </w:rPr>
      </w:pPr>
    </w:p>
    <w:p w14:paraId="4C07F3CF" w14:textId="77777777" w:rsidR="00D57C53" w:rsidRPr="00566BC2" w:rsidRDefault="00D57C53" w:rsidP="00D57C53">
      <w:pPr>
        <w:rPr>
          <w:rFonts w:ascii="Garamond" w:hAnsi="Garamond"/>
          <w:i/>
        </w:rPr>
      </w:pPr>
      <w:r w:rsidRPr="00566BC2">
        <w:rPr>
          <w:rFonts w:ascii="Garamond" w:hAnsi="Garamond"/>
          <w:i/>
        </w:rPr>
        <w:t>References in square brackets are to paragraphs in the judgment</w:t>
      </w:r>
    </w:p>
    <w:p w14:paraId="68211DB8" w14:textId="77777777" w:rsidR="00D57C53" w:rsidRDefault="00D57C53" w:rsidP="00D57C53">
      <w:pPr>
        <w:rPr>
          <w:rFonts w:ascii="Garamond" w:hAnsi="Garamond"/>
        </w:rPr>
      </w:pPr>
    </w:p>
    <w:p w14:paraId="53DEE2DC" w14:textId="77777777" w:rsidR="00D57C53" w:rsidRPr="00775EE3" w:rsidRDefault="00D57C53" w:rsidP="00D57C53">
      <w:pPr>
        <w:rPr>
          <w:rFonts w:ascii="Garamond" w:hAnsi="Garamond"/>
          <w:b/>
          <w:u w:val="single"/>
        </w:rPr>
      </w:pPr>
      <w:r w:rsidRPr="00775EE3">
        <w:rPr>
          <w:rFonts w:ascii="Garamond" w:hAnsi="Garamond"/>
          <w:b/>
          <w:u w:val="single"/>
        </w:rPr>
        <w:t>NOTE</w:t>
      </w:r>
    </w:p>
    <w:p w14:paraId="28B2034A" w14:textId="77777777" w:rsidR="00D57C53" w:rsidRPr="00775EE3" w:rsidRDefault="00D57C53" w:rsidP="00D57C53">
      <w:pPr>
        <w:rPr>
          <w:rFonts w:ascii="Garamond" w:hAnsi="Garamond"/>
          <w:b/>
        </w:rPr>
      </w:pPr>
      <w:r w:rsidRPr="00775EE3">
        <w:rPr>
          <w:rFonts w:ascii="Garamond" w:hAnsi="Garamond"/>
          <w:b/>
        </w:rPr>
        <w:t>This summary is provided to assist in understanding the Court’s decision.  It does not form part of the reasons for the decision.  The full judgment of the Court is the only</w:t>
      </w:r>
      <w:r>
        <w:rPr>
          <w:rFonts w:ascii="Garamond" w:hAnsi="Garamond"/>
          <w:b/>
        </w:rPr>
        <w:t xml:space="preserve"> authoritative document.   Judg</w:t>
      </w:r>
      <w:r w:rsidRPr="00775EE3">
        <w:rPr>
          <w:rFonts w:ascii="Garamond" w:hAnsi="Garamond"/>
          <w:b/>
        </w:rPr>
        <w:t>ments are public documents and are available at:</w:t>
      </w:r>
    </w:p>
    <w:p w14:paraId="1C7081A6" w14:textId="6D937BD0" w:rsidR="008C51ED" w:rsidRDefault="00713F4B">
      <w:hyperlink r:id="rId11" w:history="1">
        <w:r w:rsidR="00D57C53" w:rsidRPr="0040659C">
          <w:rPr>
            <w:rStyle w:val="Hyperlink"/>
            <w:rFonts w:ascii="Garamond" w:hAnsi="Garamond"/>
          </w:rPr>
          <w:t>www.supremecourt.gov.uk/decided-cases/index.html</w:t>
        </w:r>
      </w:hyperlink>
      <w:r w:rsidR="00D57C53">
        <w:rPr>
          <w:rFonts w:ascii="Garamond" w:hAnsi="Garamond"/>
        </w:rPr>
        <w:t xml:space="preserve">   </w:t>
      </w:r>
    </w:p>
    <w:sectPr w:rsidR="008C51ED" w:rsidSect="00437284">
      <w:footerReference w:type="default" r:id="rId12"/>
      <w:pgSz w:w="11906" w:h="16838" w:code="9"/>
      <w:pgMar w:top="567" w:right="964" w:bottom="964" w:left="232" w:header="0" w:footer="0" w:gutter="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6B7053" w14:textId="77777777" w:rsidR="00DD1A45" w:rsidRDefault="00850765">
      <w:r>
        <w:separator/>
      </w:r>
    </w:p>
  </w:endnote>
  <w:endnote w:type="continuationSeparator" w:id="0">
    <w:p w14:paraId="5F0954BF" w14:textId="77777777" w:rsidR="00DD1A45" w:rsidRDefault="00850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 w:name="Shaker 2 Reg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78496" w14:textId="77777777" w:rsidR="00762D19" w:rsidRDefault="00C53F48" w:rsidP="00ED05C2">
    <w:pPr>
      <w:pStyle w:val="Footer"/>
      <w:jc w:val="center"/>
      <w:rPr>
        <w:rFonts w:ascii="Shaker 2 Regular" w:hAnsi="Shaker 2 Regular"/>
        <w:b/>
        <w:sz w:val="20"/>
      </w:rPr>
    </w:pPr>
    <w:r w:rsidRPr="00821EB9">
      <w:rPr>
        <w:rFonts w:ascii="Shaker 2 Regular" w:hAnsi="Shaker 2 Regular"/>
        <w:b/>
        <w:sz w:val="20"/>
      </w:rPr>
      <w:t xml:space="preserve">The Supreme Court of the </w:t>
    </w:r>
    <w:smartTag w:uri="urn:schemas-microsoft-com:office:smarttags" w:element="place">
      <w:smartTag w:uri="urn:schemas-microsoft-com:office:smarttags" w:element="country-region">
        <w:r w:rsidRPr="00821EB9">
          <w:rPr>
            <w:rFonts w:ascii="Shaker 2 Regular" w:hAnsi="Shaker 2 Regular"/>
            <w:b/>
            <w:sz w:val="20"/>
          </w:rPr>
          <w:t>United Kingdom</w:t>
        </w:r>
      </w:smartTag>
    </w:smartTag>
  </w:p>
  <w:p w14:paraId="63163140" w14:textId="77777777" w:rsidR="00762D19" w:rsidRPr="00821EB9" w:rsidRDefault="00C53F48" w:rsidP="00ED05C2">
    <w:pPr>
      <w:pStyle w:val="Footer"/>
      <w:jc w:val="center"/>
      <w:rPr>
        <w:rFonts w:ascii="Shaker 2 Regular" w:hAnsi="Shaker 2 Regular"/>
        <w:sz w:val="20"/>
      </w:rPr>
    </w:pPr>
    <w:r w:rsidRPr="00821EB9">
      <w:rPr>
        <w:rFonts w:ascii="Shaker 2 Regular" w:hAnsi="Shaker 2 Regular"/>
        <w:b/>
        <w:sz w:val="20"/>
      </w:rPr>
      <w:t xml:space="preserve"> </w:t>
    </w:r>
    <w:r w:rsidRPr="00821EB9">
      <w:rPr>
        <w:rFonts w:ascii="Shaker 2 Regular" w:hAnsi="Shaker 2 Regular"/>
        <w:sz w:val="20"/>
      </w:rPr>
      <w:t xml:space="preserve">Parliament Square London SW1P 3BD </w:t>
    </w:r>
    <w:r w:rsidRPr="00821EB9">
      <w:rPr>
        <w:rFonts w:ascii="Shaker 2 Regular" w:hAnsi="Shaker 2 Regular"/>
        <w:b/>
        <w:sz w:val="20"/>
      </w:rPr>
      <w:t xml:space="preserve">T: </w:t>
    </w:r>
    <w:r>
      <w:rPr>
        <w:rFonts w:ascii="Shaker 2 Regular" w:hAnsi="Shaker 2 Regular"/>
        <w:sz w:val="20"/>
      </w:rPr>
      <w:t>020 7960 1886/1887</w:t>
    </w:r>
    <w:r w:rsidRPr="00821EB9">
      <w:rPr>
        <w:rFonts w:ascii="Shaker 2 Regular" w:hAnsi="Shaker 2 Regular"/>
        <w:sz w:val="20"/>
      </w:rPr>
      <w:t xml:space="preserve"> </w:t>
    </w:r>
    <w:r w:rsidRPr="00821EB9">
      <w:rPr>
        <w:rFonts w:ascii="Shaker 2 Regular" w:hAnsi="Shaker 2 Regular"/>
        <w:b/>
        <w:sz w:val="20"/>
      </w:rPr>
      <w:t xml:space="preserve">F: </w:t>
    </w:r>
    <w:r w:rsidRPr="00821EB9">
      <w:rPr>
        <w:rFonts w:ascii="Shaker 2 Regular" w:hAnsi="Shaker 2 Regular"/>
        <w:sz w:val="20"/>
      </w:rPr>
      <w:t xml:space="preserve">020 7960 1901 </w:t>
    </w:r>
    <w:r w:rsidRPr="00821EB9">
      <w:rPr>
        <w:rFonts w:ascii="Shaker 2 Regular" w:hAnsi="Shaker 2 Regular"/>
        <w:b/>
        <w:sz w:val="20"/>
      </w:rPr>
      <w:t>www.supremecourt.gov.uk</w:t>
    </w:r>
  </w:p>
  <w:p w14:paraId="656C5E62" w14:textId="77777777" w:rsidR="00762D19" w:rsidRDefault="00713F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BD518F" w14:textId="77777777" w:rsidR="00DD1A45" w:rsidRDefault="00850765">
      <w:r>
        <w:separator/>
      </w:r>
    </w:p>
  </w:footnote>
  <w:footnote w:type="continuationSeparator" w:id="0">
    <w:p w14:paraId="72636D9B" w14:textId="77777777" w:rsidR="00DD1A45" w:rsidRDefault="008507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C53"/>
    <w:rsid w:val="000B2C9A"/>
    <w:rsid w:val="00124C46"/>
    <w:rsid w:val="001E0DEB"/>
    <w:rsid w:val="00275269"/>
    <w:rsid w:val="002819B0"/>
    <w:rsid w:val="002939CD"/>
    <w:rsid w:val="002C3ABB"/>
    <w:rsid w:val="00361802"/>
    <w:rsid w:val="003D494B"/>
    <w:rsid w:val="004606D1"/>
    <w:rsid w:val="0046773E"/>
    <w:rsid w:val="004C7284"/>
    <w:rsid w:val="0057136F"/>
    <w:rsid w:val="008362A3"/>
    <w:rsid w:val="00850765"/>
    <w:rsid w:val="0087715A"/>
    <w:rsid w:val="00881D0E"/>
    <w:rsid w:val="008A5BAE"/>
    <w:rsid w:val="008C51ED"/>
    <w:rsid w:val="009822D2"/>
    <w:rsid w:val="00A44EF4"/>
    <w:rsid w:val="00B73F64"/>
    <w:rsid w:val="00BA13D9"/>
    <w:rsid w:val="00BB68F3"/>
    <w:rsid w:val="00C311A2"/>
    <w:rsid w:val="00C53F48"/>
    <w:rsid w:val="00C92E1A"/>
    <w:rsid w:val="00C9305F"/>
    <w:rsid w:val="00D57C53"/>
    <w:rsid w:val="00DB1B2B"/>
    <w:rsid w:val="00DB75B2"/>
    <w:rsid w:val="00DD1A45"/>
    <w:rsid w:val="00DE6EE6"/>
    <w:rsid w:val="00E55BDA"/>
    <w:rsid w:val="00E56AAB"/>
    <w:rsid w:val="00E72FB3"/>
    <w:rsid w:val="00E8751D"/>
    <w:rsid w:val="00EC5F14"/>
    <w:rsid w:val="00F73BB9"/>
    <w:rsid w:val="00FB797B"/>
    <w:rsid w:val="00FD5F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9D8D884"/>
  <w15:chartTrackingRefBased/>
  <w15:docId w15:val="{E511718C-B0C6-4A81-962E-AD6421AE3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C53"/>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D57C53"/>
    <w:pPr>
      <w:tabs>
        <w:tab w:val="center" w:pos="4153"/>
        <w:tab w:val="right" w:pos="8306"/>
      </w:tabs>
    </w:pPr>
  </w:style>
  <w:style w:type="character" w:customStyle="1" w:styleId="FooterChar">
    <w:name w:val="Footer Char"/>
    <w:basedOn w:val="DefaultParagraphFont"/>
    <w:link w:val="Footer"/>
    <w:rsid w:val="00D57C53"/>
    <w:rPr>
      <w:rFonts w:ascii="Times New Roman" w:eastAsia="Times New Roman" w:hAnsi="Times New Roman" w:cs="Times New Roman"/>
      <w:sz w:val="24"/>
      <w:szCs w:val="24"/>
      <w:lang w:eastAsia="en-GB"/>
    </w:rPr>
  </w:style>
  <w:style w:type="character" w:styleId="Hyperlink">
    <w:name w:val="Hyperlink"/>
    <w:basedOn w:val="DefaultParagraphFont"/>
    <w:rsid w:val="00D57C53"/>
    <w:rPr>
      <w:color w:val="0000FF"/>
      <w:u w:val="single"/>
    </w:rPr>
  </w:style>
  <w:style w:type="character" w:styleId="CommentReference">
    <w:name w:val="annotation reference"/>
    <w:basedOn w:val="DefaultParagraphFont"/>
    <w:uiPriority w:val="99"/>
    <w:semiHidden/>
    <w:unhideWhenUsed/>
    <w:rsid w:val="008362A3"/>
    <w:rPr>
      <w:sz w:val="16"/>
      <w:szCs w:val="16"/>
    </w:rPr>
  </w:style>
  <w:style w:type="paragraph" w:styleId="CommentText">
    <w:name w:val="annotation text"/>
    <w:basedOn w:val="Normal"/>
    <w:link w:val="CommentTextChar"/>
    <w:uiPriority w:val="99"/>
    <w:semiHidden/>
    <w:unhideWhenUsed/>
    <w:rsid w:val="008362A3"/>
    <w:rPr>
      <w:sz w:val="20"/>
      <w:szCs w:val="20"/>
    </w:rPr>
  </w:style>
  <w:style w:type="character" w:customStyle="1" w:styleId="CommentTextChar">
    <w:name w:val="Comment Text Char"/>
    <w:basedOn w:val="DefaultParagraphFont"/>
    <w:link w:val="CommentText"/>
    <w:uiPriority w:val="99"/>
    <w:semiHidden/>
    <w:rsid w:val="008362A3"/>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8362A3"/>
    <w:rPr>
      <w:b/>
      <w:bCs/>
    </w:rPr>
  </w:style>
  <w:style w:type="character" w:customStyle="1" w:styleId="CommentSubjectChar">
    <w:name w:val="Comment Subject Char"/>
    <w:basedOn w:val="CommentTextChar"/>
    <w:link w:val="CommentSubject"/>
    <w:uiPriority w:val="99"/>
    <w:semiHidden/>
    <w:rsid w:val="008362A3"/>
    <w:rPr>
      <w:rFonts w:ascii="Times New Roman" w:eastAsia="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8362A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62A3"/>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upremecourt.gov.uk/decided-cases/index.html"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B251F3824E8E4BABF966FB1FF33114" ma:contentTypeVersion="4" ma:contentTypeDescription="Create a new document." ma:contentTypeScope="" ma:versionID="34e0ca7b94d4cacc273154739476b6c7">
  <xsd:schema xmlns:xsd="http://www.w3.org/2001/XMLSchema" xmlns:xs="http://www.w3.org/2001/XMLSchema" xmlns:p="http://schemas.microsoft.com/office/2006/metadata/properties" xmlns:ns2="d1912800-d0d5-4897-aa13-fa15486e9ce2" targetNamespace="http://schemas.microsoft.com/office/2006/metadata/properties" ma:root="true" ma:fieldsID="2460a5e349f4dfc73fc5b4ebdcfd4041" ns2:_="">
    <xsd:import namespace="d1912800-d0d5-4897-aa13-fa15486e9ce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12800-d0d5-4897-aa13-fa15486e9c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EACF3-C4F0-4952-BB44-92729A751D9A}">
  <ds:schemaRefs>
    <ds:schemaRef ds:uri="http://schemas.microsoft.com/office/2006/documentManagement/types"/>
    <ds:schemaRef ds:uri="http://purl.org/dc/terms/"/>
    <ds:schemaRef ds:uri="http://schemas.microsoft.com/office/2006/metadata/properties"/>
    <ds:schemaRef ds:uri="http://schemas.openxmlformats.org/package/2006/metadata/core-properties"/>
    <ds:schemaRef ds:uri="http://purl.org/dc/elements/1.1/"/>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4FC673A3-6B1B-494B-BC95-C320BC715E31}">
  <ds:schemaRefs>
    <ds:schemaRef ds:uri="http://schemas.microsoft.com/sharepoint/v3/contenttype/forms"/>
  </ds:schemaRefs>
</ds:datastoreItem>
</file>

<file path=customXml/itemProps3.xml><?xml version="1.0" encoding="utf-8"?>
<ds:datastoreItem xmlns:ds="http://schemas.openxmlformats.org/officeDocument/2006/customXml" ds:itemID="{A24F13DC-EF2B-46A5-B4C0-163B8C9CF310}"/>
</file>

<file path=customXml/itemProps4.xml><?xml version="1.0" encoding="utf-8"?>
<ds:datastoreItem xmlns:ds="http://schemas.openxmlformats.org/officeDocument/2006/customXml" ds:itemID="{DAFF8D5E-101E-4761-8F1C-2A83189D7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McDonald v National Grid Electricity Transmission Plc</vt:lpstr>
    </vt:vector>
  </TitlesOfParts>
  <Company>The Supreme Court (UKSC)</Company>
  <LinksUpToDate>false</LinksUpToDate>
  <CharactersWithSpaces>6265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McDonald v National Grid Electricity Transmission Plc</dc:title>
  <dc:subject>Press Summary handed down on 22 October 2014</dc:subject>
  <dc:creator>The Supreme Court (UKSC)</dc:creator>
  <cp:keywords>[2014] UKSC 53, [2013] EWCA Civ 1346, [2013] UKSC 0263, [2013] UKSC 0267</cp:keywords>
  <dc:description/>
  <cp:lastModifiedBy>Anita Homji</cp:lastModifiedBy>
  <cp:revision>4</cp:revision>
  <dcterms:created xsi:type="dcterms:W3CDTF">2014-10-20T12:53:00Z</dcterms:created>
  <dcterms:modified xsi:type="dcterms:W3CDTF">2014-10-20T15:39:00Z</dcterms:modified>
  <cp:category>Decided cases, Press Summary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0x010100AAB251F3824E8E4BABF966FB1FF33114</vt:lpwstr>
  </property>
  <property fmtid="{D5CDD505-2E9C-101B-9397-08002B2CF9AE}" pid="3" name="CaseName">
    <vt:lpwstr>McDonald v National Grid Electricity Transmission Plc</vt:lpwstr>
  </property>
  <property fmtid="{D5CDD505-2E9C-101B-9397-08002B2CF9AE}" pid="4" name="CaseID">
    <vt:lpwstr>[2013] UKSC 0263, 0267</vt:lpwstr>
  </property>
  <property fmtid="{D5CDD505-2E9C-101B-9397-08002B2CF9AE}" pid="5" name="NeutralCitationNo">
    <vt:lpwstr>[2014] UKSC 53</vt:lpwstr>
  </property>
  <property fmtid="{D5CDD505-2E9C-101B-9397-08002B2CF9AE}" pid="6" name="HandDownDate">
    <vt:lpwstr>22/10/2014</vt:lpwstr>
  </property>
</Properties>
</file>