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5C2" w:rsidRDefault="003971F1" w:rsidP="00ED05C2">
      <w:pPr>
        <w:jc w:val="center"/>
        <w:rPr>
          <w:rFonts w:ascii="Garamond" w:hAnsi="Garamond"/>
        </w:rPr>
      </w:pPr>
      <w:r w:rsidRPr="001C78CB">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KSC logo" style="width:84pt;height:112.5pt">
            <v:imagedata r:id="rId10" o:title=""/>
          </v:shape>
        </w:pict>
      </w:r>
    </w:p>
    <w:p w:rsidR="00A16C02" w:rsidRPr="00A97444" w:rsidRDefault="007278D8" w:rsidP="00A16C02">
      <w:pPr>
        <w:tabs>
          <w:tab w:val="left" w:pos="8285"/>
        </w:tabs>
        <w:jc w:val="right"/>
        <w:rPr>
          <w:rFonts w:ascii="Garamond" w:hAnsi="Garamond"/>
          <w:b/>
        </w:rPr>
      </w:pPr>
      <w:r>
        <w:rPr>
          <w:rFonts w:ascii="Garamond" w:hAnsi="Garamond"/>
          <w:b/>
        </w:rPr>
        <w:t>22</w:t>
      </w:r>
      <w:r w:rsidR="00162024">
        <w:rPr>
          <w:rFonts w:ascii="Garamond" w:hAnsi="Garamond"/>
          <w:b/>
        </w:rPr>
        <w:t xml:space="preserve"> </w:t>
      </w:r>
      <w:r w:rsidR="00CA6B9F">
        <w:rPr>
          <w:rFonts w:ascii="Garamond" w:hAnsi="Garamond"/>
          <w:b/>
        </w:rPr>
        <w:t xml:space="preserve">March </w:t>
      </w:r>
      <w:r w:rsidR="00162024">
        <w:rPr>
          <w:rFonts w:ascii="Garamond" w:hAnsi="Garamond"/>
          <w:b/>
        </w:rPr>
        <w:t>2017</w:t>
      </w:r>
    </w:p>
    <w:p w:rsidR="00A16C02" w:rsidRPr="00A97444" w:rsidRDefault="00A16C02" w:rsidP="00A16C02">
      <w:pPr>
        <w:tabs>
          <w:tab w:val="left" w:pos="8285"/>
        </w:tabs>
        <w:jc w:val="center"/>
        <w:rPr>
          <w:rFonts w:ascii="Garamond" w:hAnsi="Garamond"/>
          <w:b/>
        </w:rPr>
      </w:pPr>
      <w:r w:rsidRPr="00A97444">
        <w:rPr>
          <w:rFonts w:ascii="Garamond" w:hAnsi="Garamond"/>
          <w:b/>
        </w:rPr>
        <w:t>PRESS SUMMARY</w:t>
      </w:r>
    </w:p>
    <w:p w:rsidR="00A16C02" w:rsidRPr="00A97444" w:rsidRDefault="00A16C02" w:rsidP="00A16C02">
      <w:pPr>
        <w:tabs>
          <w:tab w:val="left" w:pos="8285"/>
        </w:tabs>
        <w:rPr>
          <w:rFonts w:ascii="Garamond" w:hAnsi="Garamond"/>
          <w:b/>
        </w:rPr>
      </w:pPr>
    </w:p>
    <w:p w:rsidR="00A16C02" w:rsidRPr="00A97444" w:rsidRDefault="007278D8" w:rsidP="00A16C02">
      <w:pPr>
        <w:tabs>
          <w:tab w:val="left" w:pos="8285"/>
        </w:tabs>
        <w:rPr>
          <w:rFonts w:ascii="Garamond" w:hAnsi="Garamond"/>
          <w:b/>
        </w:rPr>
      </w:pPr>
      <w:r>
        <w:rPr>
          <w:rFonts w:ascii="Garamond" w:hAnsi="Garamond"/>
          <w:b/>
        </w:rPr>
        <w:t>Gordon</w:t>
      </w:r>
      <w:r w:rsidR="00CA6B9F">
        <w:rPr>
          <w:rFonts w:ascii="Garamond" w:hAnsi="Garamond"/>
          <w:b/>
        </w:rPr>
        <w:t xml:space="preserve"> </w:t>
      </w:r>
      <w:r w:rsidR="00753A01">
        <w:rPr>
          <w:rFonts w:ascii="Garamond" w:hAnsi="Garamond"/>
          <w:b/>
        </w:rPr>
        <w:t>(</w:t>
      </w:r>
      <w:r>
        <w:rPr>
          <w:rFonts w:ascii="Garamond" w:hAnsi="Garamond"/>
          <w:b/>
        </w:rPr>
        <w:t>Appellant</w:t>
      </w:r>
      <w:r w:rsidR="00753A01">
        <w:rPr>
          <w:rFonts w:ascii="Garamond" w:hAnsi="Garamond"/>
          <w:b/>
        </w:rPr>
        <w:t xml:space="preserve">) </w:t>
      </w:r>
      <w:r w:rsidR="00A16C02" w:rsidRPr="00A97444">
        <w:rPr>
          <w:rFonts w:ascii="Garamond" w:hAnsi="Garamond"/>
          <w:b/>
        </w:rPr>
        <w:t xml:space="preserve">v </w:t>
      </w:r>
      <w:r>
        <w:rPr>
          <w:rFonts w:ascii="Garamond" w:hAnsi="Garamond"/>
          <w:b/>
        </w:rPr>
        <w:t>Scottish Criminal Cases Review Commission (Respondent) (Scotland)</w:t>
      </w:r>
      <w:r w:rsidR="00753A01">
        <w:rPr>
          <w:rFonts w:ascii="Garamond" w:hAnsi="Garamond"/>
          <w:b/>
        </w:rPr>
        <w:t xml:space="preserve"> </w:t>
      </w:r>
      <w:r w:rsidR="00CA6B9F">
        <w:rPr>
          <w:rFonts w:ascii="Garamond" w:hAnsi="Garamond"/>
          <w:b/>
        </w:rPr>
        <w:t xml:space="preserve">[2017] </w:t>
      </w:r>
      <w:r w:rsidR="00A16C02">
        <w:rPr>
          <w:rFonts w:ascii="Garamond" w:hAnsi="Garamond"/>
          <w:b/>
        </w:rPr>
        <w:t xml:space="preserve">UKSC </w:t>
      </w:r>
      <w:r>
        <w:rPr>
          <w:rFonts w:ascii="Garamond" w:hAnsi="Garamond"/>
          <w:b/>
        </w:rPr>
        <w:t>20</w:t>
      </w:r>
    </w:p>
    <w:p w:rsidR="00A16C02" w:rsidRPr="00A97444" w:rsidRDefault="001C06D4" w:rsidP="00A16C02">
      <w:pPr>
        <w:tabs>
          <w:tab w:val="left" w:pos="8285"/>
        </w:tabs>
        <w:rPr>
          <w:rFonts w:ascii="Garamond" w:hAnsi="Garamond"/>
          <w:b/>
          <w:i/>
        </w:rPr>
      </w:pPr>
      <w:r>
        <w:rPr>
          <w:rFonts w:ascii="Garamond" w:hAnsi="Garamond"/>
          <w:b/>
          <w:i/>
        </w:rPr>
        <w:t>On appeal from</w:t>
      </w:r>
      <w:r w:rsidR="007278D8">
        <w:rPr>
          <w:rFonts w:ascii="Garamond" w:hAnsi="Garamond"/>
          <w:b/>
          <w:i/>
        </w:rPr>
        <w:t xml:space="preserve"> [2013</w:t>
      </w:r>
      <w:r w:rsidR="00CA6B9F">
        <w:rPr>
          <w:rFonts w:ascii="Garamond" w:hAnsi="Garamond"/>
          <w:b/>
          <w:i/>
        </w:rPr>
        <w:t xml:space="preserve">] </w:t>
      </w:r>
      <w:r w:rsidR="007278D8">
        <w:rPr>
          <w:rFonts w:ascii="Garamond" w:hAnsi="Garamond"/>
          <w:b/>
          <w:i/>
        </w:rPr>
        <w:t>CSIH 101</w:t>
      </w:r>
    </w:p>
    <w:p w:rsidR="00A16C02" w:rsidRDefault="00A16C02" w:rsidP="00A16C02">
      <w:pPr>
        <w:tabs>
          <w:tab w:val="left" w:pos="8285"/>
        </w:tabs>
        <w:rPr>
          <w:rFonts w:ascii="Garamond" w:hAnsi="Garamond"/>
        </w:rPr>
      </w:pPr>
    </w:p>
    <w:p w:rsidR="00A16C02" w:rsidRDefault="00A16C02" w:rsidP="00A16C02">
      <w:pPr>
        <w:tabs>
          <w:tab w:val="left" w:pos="8285"/>
        </w:tabs>
        <w:rPr>
          <w:rFonts w:ascii="Garamond" w:hAnsi="Garamond"/>
        </w:rPr>
      </w:pPr>
      <w:r w:rsidRPr="00A97444">
        <w:rPr>
          <w:rFonts w:ascii="Garamond" w:hAnsi="Garamond"/>
          <w:b/>
        </w:rPr>
        <w:t>JUSTICES</w:t>
      </w:r>
      <w:r>
        <w:rPr>
          <w:rFonts w:ascii="Garamond" w:hAnsi="Garamond"/>
        </w:rPr>
        <w:t xml:space="preserve">: </w:t>
      </w:r>
      <w:r w:rsidR="00CA6B9F">
        <w:rPr>
          <w:rFonts w:ascii="Garamond" w:hAnsi="Garamond"/>
        </w:rPr>
        <w:t xml:space="preserve">Lord </w:t>
      </w:r>
      <w:r w:rsidR="005E057F">
        <w:rPr>
          <w:rFonts w:ascii="Garamond" w:hAnsi="Garamond"/>
        </w:rPr>
        <w:t xml:space="preserve">Kerr, </w:t>
      </w:r>
      <w:r w:rsidR="00CA6B9F">
        <w:rPr>
          <w:rFonts w:ascii="Garamond" w:hAnsi="Garamond"/>
        </w:rPr>
        <w:t xml:space="preserve">Lord Clarke, </w:t>
      </w:r>
      <w:r w:rsidR="005E057F">
        <w:rPr>
          <w:rFonts w:ascii="Garamond" w:hAnsi="Garamond"/>
        </w:rPr>
        <w:t xml:space="preserve">Lord </w:t>
      </w:r>
      <w:r w:rsidR="007278D8">
        <w:rPr>
          <w:rFonts w:ascii="Garamond" w:hAnsi="Garamond"/>
        </w:rPr>
        <w:t>Reed</w:t>
      </w:r>
      <w:r w:rsidR="00CA6B9F">
        <w:rPr>
          <w:rFonts w:ascii="Garamond" w:hAnsi="Garamond"/>
        </w:rPr>
        <w:t>, Lord Hughes</w:t>
      </w:r>
      <w:r w:rsidR="007278D8">
        <w:rPr>
          <w:rFonts w:ascii="Garamond" w:hAnsi="Garamond"/>
        </w:rPr>
        <w:t>, Lord Hodge</w:t>
      </w:r>
    </w:p>
    <w:p w:rsidR="00937F9E" w:rsidRDefault="00937F9E" w:rsidP="00A16C02">
      <w:pPr>
        <w:tabs>
          <w:tab w:val="left" w:pos="8285"/>
        </w:tabs>
        <w:rPr>
          <w:rFonts w:ascii="Garamond" w:hAnsi="Garamond"/>
          <w:b/>
        </w:rPr>
      </w:pPr>
    </w:p>
    <w:p w:rsidR="00A16C02" w:rsidRPr="00A97444" w:rsidRDefault="00A16C02" w:rsidP="00A16C02">
      <w:pPr>
        <w:tabs>
          <w:tab w:val="left" w:pos="8285"/>
        </w:tabs>
        <w:rPr>
          <w:rFonts w:ascii="Garamond" w:hAnsi="Garamond"/>
          <w:b/>
        </w:rPr>
      </w:pPr>
      <w:r w:rsidRPr="00A97444">
        <w:rPr>
          <w:rFonts w:ascii="Garamond" w:hAnsi="Garamond"/>
          <w:b/>
        </w:rPr>
        <w:t>BACKGROUND TO THE APPEAL</w:t>
      </w:r>
    </w:p>
    <w:p w:rsidR="00EA6CFE" w:rsidRDefault="00EA6CFE" w:rsidP="006506D7">
      <w:pPr>
        <w:outlineLvl w:val="4"/>
        <w:rPr>
          <w:b/>
          <w:bCs/>
          <w:sz w:val="20"/>
          <w:szCs w:val="20"/>
          <w:lang w:val="en"/>
        </w:rPr>
      </w:pPr>
    </w:p>
    <w:p w:rsidR="00B75BFC" w:rsidRPr="00B12528" w:rsidRDefault="007278D8" w:rsidP="00B47728">
      <w:pPr>
        <w:jc w:val="both"/>
        <w:outlineLvl w:val="4"/>
        <w:rPr>
          <w:rFonts w:ascii="Garamond" w:hAnsi="Garamond"/>
          <w:lang w:val="en"/>
        </w:rPr>
      </w:pPr>
      <w:r>
        <w:rPr>
          <w:rFonts w:ascii="Garamond" w:hAnsi="Garamond"/>
        </w:rPr>
        <w:t>The appeal arises out of an application for judicial review of a decision taken by the Scottish Criminal Cases Review Commission (“the Commission”) under s.194B(1) of the Criminal Procedure (Scotland) Act 1995</w:t>
      </w:r>
      <w:r w:rsidR="00C10282">
        <w:rPr>
          <w:rFonts w:ascii="Garamond" w:hAnsi="Garamond"/>
        </w:rPr>
        <w:t xml:space="preserve"> (“the 1995 Act”) not to refer the appellant’s rape conviction to the High Court of </w:t>
      </w:r>
      <w:proofErr w:type="spellStart"/>
      <w:r w:rsidR="00C10282">
        <w:rPr>
          <w:rFonts w:ascii="Garamond" w:hAnsi="Garamond"/>
        </w:rPr>
        <w:t>Justiciary</w:t>
      </w:r>
      <w:proofErr w:type="spellEnd"/>
      <w:r>
        <w:rPr>
          <w:rFonts w:ascii="Garamond" w:hAnsi="Garamond"/>
        </w:rPr>
        <w:t xml:space="preserve">. </w:t>
      </w:r>
    </w:p>
    <w:p w:rsidR="008C37B4" w:rsidRDefault="008C37B4" w:rsidP="00B47728">
      <w:pPr>
        <w:jc w:val="both"/>
        <w:outlineLvl w:val="4"/>
        <w:rPr>
          <w:rFonts w:ascii="Garamond" w:hAnsi="Garamond"/>
        </w:rPr>
      </w:pPr>
    </w:p>
    <w:p w:rsidR="00B47728" w:rsidRDefault="00E64333" w:rsidP="00B47728">
      <w:pPr>
        <w:jc w:val="both"/>
        <w:outlineLvl w:val="4"/>
        <w:rPr>
          <w:rFonts w:ascii="Garamond" w:hAnsi="Garamond"/>
        </w:rPr>
      </w:pPr>
      <w:r>
        <w:rPr>
          <w:rFonts w:ascii="Garamond" w:hAnsi="Garamond"/>
        </w:rPr>
        <w:t xml:space="preserve">In </w:t>
      </w:r>
      <w:r w:rsidR="00DB0197">
        <w:rPr>
          <w:rFonts w:ascii="Garamond" w:hAnsi="Garamond"/>
        </w:rPr>
        <w:t>2001</w:t>
      </w:r>
      <w:r w:rsidR="00B22437">
        <w:rPr>
          <w:rFonts w:ascii="Garamond" w:hAnsi="Garamond"/>
        </w:rPr>
        <w:t xml:space="preserve"> </w:t>
      </w:r>
      <w:r>
        <w:rPr>
          <w:rFonts w:ascii="Garamond" w:hAnsi="Garamond"/>
        </w:rPr>
        <w:t>t</w:t>
      </w:r>
      <w:r w:rsidR="00B47728">
        <w:rPr>
          <w:rFonts w:ascii="Garamond" w:hAnsi="Garamond"/>
        </w:rPr>
        <w:t>he appellant had sexual intercourse with a woman who then reported to the police that she had been raped. The appellant was interviewed by the police, and in accordance with practice and the law as it was understood at the time, he was not offered the option to consult a solicitor before the interview, and no solicitor was present during it. During the interview, he admitted having had sexual intercourse with the complainer, but maintained that it had been consensual. As</w:t>
      </w:r>
      <w:r w:rsidR="00026BDB">
        <w:rPr>
          <w:rFonts w:ascii="Garamond" w:hAnsi="Garamond"/>
        </w:rPr>
        <w:t xml:space="preserve"> a result of his admission, </w:t>
      </w:r>
      <w:r w:rsidR="00B47728">
        <w:rPr>
          <w:rFonts w:ascii="Garamond" w:hAnsi="Garamond"/>
        </w:rPr>
        <w:t>semen</w:t>
      </w:r>
      <w:r w:rsidR="00026BDB">
        <w:rPr>
          <w:rFonts w:ascii="Garamond" w:hAnsi="Garamond"/>
        </w:rPr>
        <w:t xml:space="preserve"> found on </w:t>
      </w:r>
      <w:r w:rsidR="00A000FB">
        <w:rPr>
          <w:rFonts w:ascii="Garamond" w:hAnsi="Garamond"/>
        </w:rPr>
        <w:t>vaginal swabs was</w:t>
      </w:r>
      <w:r w:rsidR="00B47728">
        <w:rPr>
          <w:rFonts w:ascii="Garamond" w:hAnsi="Garamond"/>
        </w:rPr>
        <w:t xml:space="preserve"> not subjected to DNA analysis. At trial, the appellant elected not to give evidence but relied on the interview as setting out his defence </w:t>
      </w:r>
      <w:r w:rsidR="004241C8">
        <w:rPr>
          <w:rFonts w:ascii="Garamond" w:hAnsi="Garamond"/>
        </w:rPr>
        <w:t>of consent</w:t>
      </w:r>
      <w:r w:rsidR="00B47728">
        <w:rPr>
          <w:rFonts w:ascii="Garamond" w:hAnsi="Garamond"/>
        </w:rPr>
        <w:t xml:space="preserve">. The appellant was convicted and sentenced to 5 </w:t>
      </w:r>
      <w:r w:rsidR="00C10282">
        <w:rPr>
          <w:rFonts w:ascii="Garamond" w:hAnsi="Garamond"/>
        </w:rPr>
        <w:t>years’</w:t>
      </w:r>
      <w:r w:rsidR="00B47728">
        <w:rPr>
          <w:rFonts w:ascii="Garamond" w:hAnsi="Garamond"/>
        </w:rPr>
        <w:t xml:space="preserve"> imprisonment</w:t>
      </w:r>
      <w:r w:rsidR="00DB0197">
        <w:rPr>
          <w:rFonts w:ascii="Garamond" w:hAnsi="Garamond"/>
        </w:rPr>
        <w:t xml:space="preserve">. </w:t>
      </w:r>
      <w:r>
        <w:rPr>
          <w:rFonts w:ascii="Garamond" w:hAnsi="Garamond"/>
        </w:rPr>
        <w:t xml:space="preserve"> </w:t>
      </w:r>
      <w:r w:rsidR="00B47728">
        <w:rPr>
          <w:rFonts w:ascii="Garamond" w:hAnsi="Garamond"/>
        </w:rPr>
        <w:t xml:space="preserve"> </w:t>
      </w:r>
    </w:p>
    <w:p w:rsidR="00B47728" w:rsidRPr="003971F1" w:rsidRDefault="00B47728" w:rsidP="006506D7">
      <w:pPr>
        <w:outlineLvl w:val="4"/>
        <w:rPr>
          <w:rFonts w:ascii="Garamond" w:hAnsi="Garamond"/>
        </w:rPr>
      </w:pPr>
    </w:p>
    <w:p w:rsidR="001023F9" w:rsidRPr="00120D0D" w:rsidRDefault="00B63F55" w:rsidP="004241C8">
      <w:pPr>
        <w:jc w:val="both"/>
        <w:outlineLvl w:val="4"/>
        <w:rPr>
          <w:rFonts w:ascii="Garamond" w:hAnsi="Garamond"/>
        </w:rPr>
      </w:pPr>
      <w:r>
        <w:rPr>
          <w:rFonts w:ascii="Garamond" w:hAnsi="Garamond"/>
        </w:rPr>
        <w:t xml:space="preserve">The appellant </w:t>
      </w:r>
      <w:r w:rsidR="007928DC">
        <w:rPr>
          <w:rFonts w:ascii="Garamond" w:hAnsi="Garamond"/>
        </w:rPr>
        <w:t xml:space="preserve">appealed against his conviction </w:t>
      </w:r>
      <w:r w:rsidR="00C61F4F">
        <w:rPr>
          <w:rFonts w:ascii="Garamond" w:hAnsi="Garamond"/>
        </w:rPr>
        <w:t xml:space="preserve">unsuccessfully. </w:t>
      </w:r>
      <w:r w:rsidR="00A000FB">
        <w:rPr>
          <w:rFonts w:ascii="Garamond" w:hAnsi="Garamond"/>
        </w:rPr>
        <w:t xml:space="preserve">His case was also referred by the Commission, again without success. </w:t>
      </w:r>
      <w:r w:rsidR="007928DC">
        <w:rPr>
          <w:rFonts w:ascii="Garamond" w:hAnsi="Garamond"/>
        </w:rPr>
        <w:t xml:space="preserve">The appellant </w:t>
      </w:r>
      <w:r w:rsidR="00C61F4F">
        <w:rPr>
          <w:rFonts w:ascii="Garamond" w:hAnsi="Garamond"/>
        </w:rPr>
        <w:t xml:space="preserve">then </w:t>
      </w:r>
      <w:r w:rsidR="007928DC">
        <w:rPr>
          <w:rFonts w:ascii="Garamond" w:hAnsi="Garamond"/>
        </w:rPr>
        <w:t xml:space="preserve">applied to the Commission </w:t>
      </w:r>
      <w:r w:rsidR="00664ACE">
        <w:rPr>
          <w:rFonts w:ascii="Garamond" w:hAnsi="Garamond"/>
        </w:rPr>
        <w:t xml:space="preserve">for a </w:t>
      </w:r>
      <w:r w:rsidR="00026BDB">
        <w:rPr>
          <w:rFonts w:ascii="Garamond" w:hAnsi="Garamond"/>
        </w:rPr>
        <w:t xml:space="preserve">second </w:t>
      </w:r>
      <w:r w:rsidR="00664ACE">
        <w:rPr>
          <w:rFonts w:ascii="Garamond" w:hAnsi="Garamond"/>
        </w:rPr>
        <w:t xml:space="preserve">referral of his </w:t>
      </w:r>
      <w:r w:rsidR="007928DC">
        <w:rPr>
          <w:rFonts w:ascii="Garamond" w:hAnsi="Garamond"/>
        </w:rPr>
        <w:t>case</w:t>
      </w:r>
      <w:r w:rsidR="00C61F4F">
        <w:rPr>
          <w:rFonts w:ascii="Garamond" w:hAnsi="Garamond"/>
        </w:rPr>
        <w:t>.</w:t>
      </w:r>
      <w:r w:rsidR="00112E7F">
        <w:rPr>
          <w:rFonts w:ascii="Garamond" w:hAnsi="Garamond"/>
        </w:rPr>
        <w:t xml:space="preserve"> </w:t>
      </w:r>
      <w:r w:rsidR="00A000FB">
        <w:rPr>
          <w:rFonts w:ascii="Garamond" w:hAnsi="Garamond"/>
        </w:rPr>
        <w:t>Following the decision</w:t>
      </w:r>
      <w:r w:rsidR="00257879">
        <w:rPr>
          <w:rFonts w:ascii="Garamond" w:hAnsi="Garamond"/>
        </w:rPr>
        <w:t xml:space="preserve"> of the Supreme Court in </w:t>
      </w:r>
      <w:proofErr w:type="spellStart"/>
      <w:r w:rsidR="007928DC">
        <w:rPr>
          <w:rFonts w:ascii="Garamond" w:hAnsi="Garamond"/>
          <w:i/>
        </w:rPr>
        <w:t>Cadder</w:t>
      </w:r>
      <w:proofErr w:type="spellEnd"/>
      <w:r w:rsidR="007928DC">
        <w:rPr>
          <w:rFonts w:ascii="Garamond" w:hAnsi="Garamond"/>
          <w:i/>
        </w:rPr>
        <w:t xml:space="preserve"> v HM Advocate</w:t>
      </w:r>
      <w:r w:rsidR="00257879">
        <w:rPr>
          <w:rFonts w:ascii="Garamond" w:hAnsi="Garamond"/>
        </w:rPr>
        <w:t xml:space="preserve"> –</w:t>
      </w:r>
      <w:r w:rsidR="00664ACE">
        <w:rPr>
          <w:rFonts w:ascii="Garamond" w:hAnsi="Garamond"/>
        </w:rPr>
        <w:t xml:space="preserve"> </w:t>
      </w:r>
      <w:r w:rsidR="00C10282">
        <w:rPr>
          <w:rFonts w:ascii="Garamond" w:hAnsi="Garamond"/>
        </w:rPr>
        <w:t>that</w:t>
      </w:r>
      <w:r w:rsidR="00257879">
        <w:rPr>
          <w:rFonts w:ascii="Garamond" w:hAnsi="Garamond"/>
        </w:rPr>
        <w:t xml:space="preserve"> article 6 of the European Convention on Human Rights required suspects to be permitted access to legal advice prior to and during interrogation by the police</w:t>
      </w:r>
      <w:r w:rsidR="00664ACE">
        <w:rPr>
          <w:rFonts w:ascii="Garamond" w:hAnsi="Garamond"/>
        </w:rPr>
        <w:t xml:space="preserve"> </w:t>
      </w:r>
      <w:r w:rsidR="00257879">
        <w:rPr>
          <w:rFonts w:ascii="Garamond" w:hAnsi="Garamond"/>
        </w:rPr>
        <w:t>– the appellant also sought to have his case referred on that basis.</w:t>
      </w:r>
      <w:r w:rsidR="00C61F4F">
        <w:rPr>
          <w:rFonts w:ascii="Garamond" w:hAnsi="Garamond"/>
        </w:rPr>
        <w:t xml:space="preserve"> </w:t>
      </w:r>
      <w:r w:rsidR="00A31C9D" w:rsidRPr="00120D0D">
        <w:rPr>
          <w:rFonts w:ascii="Garamond" w:hAnsi="Garamond"/>
        </w:rPr>
        <w:t xml:space="preserve">The Commission declined to make a reference on </w:t>
      </w:r>
      <w:r w:rsidR="00257879" w:rsidRPr="00120D0D">
        <w:rPr>
          <w:rFonts w:ascii="Garamond" w:hAnsi="Garamond"/>
        </w:rPr>
        <w:t xml:space="preserve">any of the grounds advanced. In relation to the </w:t>
      </w:r>
      <w:proofErr w:type="spellStart"/>
      <w:r w:rsidR="00257879" w:rsidRPr="00120D0D">
        <w:rPr>
          <w:rFonts w:ascii="Garamond" w:hAnsi="Garamond"/>
          <w:i/>
        </w:rPr>
        <w:t>Cadder</w:t>
      </w:r>
      <w:proofErr w:type="spellEnd"/>
      <w:r w:rsidR="00257879" w:rsidRPr="00120D0D">
        <w:rPr>
          <w:rFonts w:ascii="Garamond" w:hAnsi="Garamond"/>
          <w:i/>
        </w:rPr>
        <w:t xml:space="preserve"> </w:t>
      </w:r>
      <w:r w:rsidR="00257879" w:rsidRPr="00120D0D">
        <w:rPr>
          <w:rFonts w:ascii="Garamond" w:hAnsi="Garamond"/>
        </w:rPr>
        <w:t xml:space="preserve">ground, </w:t>
      </w:r>
      <w:r w:rsidR="00A31C9D" w:rsidRPr="00120D0D">
        <w:rPr>
          <w:rFonts w:ascii="Garamond" w:hAnsi="Garamond"/>
        </w:rPr>
        <w:t>the Commission considered that since the Crown had relied upon the appellant’s admission that sexual intercourse had occurred as corroboration of the complainer’s evidence in that regard, and no other correlative evidence existed, there might have been a miscarriage of justice.</w:t>
      </w:r>
      <w:r w:rsidR="00120D0D" w:rsidRPr="00120D0D">
        <w:rPr>
          <w:rFonts w:ascii="Garamond" w:hAnsi="Garamond"/>
        </w:rPr>
        <w:t xml:space="preserve"> However, the Commission did not believe it was in the interests of justice that a reference should be made</w:t>
      </w:r>
      <w:r w:rsidR="00B03E13">
        <w:rPr>
          <w:rFonts w:ascii="Garamond" w:hAnsi="Garamond"/>
        </w:rPr>
        <w:t>,</w:t>
      </w:r>
      <w:r w:rsidR="004241C8">
        <w:rPr>
          <w:rFonts w:ascii="Garamond" w:hAnsi="Garamond"/>
        </w:rPr>
        <w:t xml:space="preserve"> </w:t>
      </w:r>
      <w:r w:rsidR="00B03E13">
        <w:rPr>
          <w:rFonts w:ascii="Garamond" w:hAnsi="Garamond"/>
        </w:rPr>
        <w:t xml:space="preserve">given </w:t>
      </w:r>
      <w:r w:rsidR="004241C8">
        <w:rPr>
          <w:rFonts w:ascii="Garamond" w:hAnsi="Garamond"/>
        </w:rPr>
        <w:t>t</w:t>
      </w:r>
      <w:r w:rsidR="004241C8" w:rsidRPr="004241C8">
        <w:rPr>
          <w:rFonts w:ascii="Garamond" w:hAnsi="Garamond"/>
        </w:rPr>
        <w:t>he time that had passed since conviction</w:t>
      </w:r>
      <w:r w:rsidR="004241C8">
        <w:rPr>
          <w:rFonts w:ascii="Garamond" w:hAnsi="Garamond"/>
        </w:rPr>
        <w:t>, and t</w:t>
      </w:r>
      <w:r w:rsidR="004241C8" w:rsidRPr="004241C8">
        <w:rPr>
          <w:rFonts w:ascii="Garamond" w:hAnsi="Garamond"/>
        </w:rPr>
        <w:t>hat the a</w:t>
      </w:r>
      <w:r w:rsidR="004241C8">
        <w:rPr>
          <w:rFonts w:ascii="Garamond" w:hAnsi="Garamond"/>
        </w:rPr>
        <w:t xml:space="preserve">ppellant </w:t>
      </w:r>
      <w:r w:rsidR="00B03E13">
        <w:rPr>
          <w:rFonts w:ascii="Garamond" w:hAnsi="Garamond"/>
        </w:rPr>
        <w:t>did not dispute</w:t>
      </w:r>
      <w:r w:rsidR="004241C8">
        <w:rPr>
          <w:rFonts w:ascii="Garamond" w:hAnsi="Garamond"/>
        </w:rPr>
        <w:t xml:space="preserve"> the veracity</w:t>
      </w:r>
      <w:r w:rsidR="00E64333">
        <w:rPr>
          <w:rFonts w:ascii="Garamond" w:hAnsi="Garamond"/>
        </w:rPr>
        <w:t xml:space="preserve"> of</w:t>
      </w:r>
      <w:r w:rsidR="004241C8">
        <w:rPr>
          <w:rFonts w:ascii="Garamond" w:hAnsi="Garamond"/>
        </w:rPr>
        <w:t xml:space="preserve"> </w:t>
      </w:r>
      <w:r w:rsidR="00B03E13">
        <w:rPr>
          <w:rFonts w:ascii="Garamond" w:hAnsi="Garamond"/>
        </w:rPr>
        <w:t>the interview</w:t>
      </w:r>
      <w:r w:rsidR="00C11DD8">
        <w:rPr>
          <w:rFonts w:ascii="Garamond" w:hAnsi="Garamond"/>
        </w:rPr>
        <w:t xml:space="preserve"> or the fairness of the manner in which it had been conducted, </w:t>
      </w:r>
      <w:r w:rsidR="004241C8">
        <w:rPr>
          <w:rFonts w:ascii="Garamond" w:hAnsi="Garamond"/>
        </w:rPr>
        <w:t xml:space="preserve">and had relied on </w:t>
      </w:r>
      <w:r w:rsidR="00B03E13">
        <w:rPr>
          <w:rFonts w:ascii="Garamond" w:hAnsi="Garamond"/>
        </w:rPr>
        <w:t xml:space="preserve">it </w:t>
      </w:r>
      <w:r w:rsidR="004241C8">
        <w:rPr>
          <w:rFonts w:ascii="Garamond" w:hAnsi="Garamond"/>
        </w:rPr>
        <w:t xml:space="preserve">at trial. </w:t>
      </w:r>
      <w:r w:rsidR="00120D0D" w:rsidRPr="00120D0D">
        <w:rPr>
          <w:rFonts w:ascii="Garamond" w:hAnsi="Garamond"/>
        </w:rPr>
        <w:t xml:space="preserve">The </w:t>
      </w:r>
      <w:r w:rsidR="00C61F4F">
        <w:rPr>
          <w:rFonts w:ascii="Garamond" w:hAnsi="Garamond"/>
        </w:rPr>
        <w:t xml:space="preserve">grounds for a reference set out </w:t>
      </w:r>
      <w:r w:rsidR="00A000FB">
        <w:rPr>
          <w:rFonts w:ascii="Garamond" w:hAnsi="Garamond"/>
        </w:rPr>
        <w:t>in s.194C</w:t>
      </w:r>
      <w:r w:rsidR="00120D0D" w:rsidRPr="00120D0D">
        <w:rPr>
          <w:rFonts w:ascii="Garamond" w:hAnsi="Garamond"/>
        </w:rPr>
        <w:t xml:space="preserve">(1) </w:t>
      </w:r>
      <w:r w:rsidR="00C61F4F">
        <w:rPr>
          <w:rFonts w:ascii="Garamond" w:hAnsi="Garamond"/>
        </w:rPr>
        <w:t>were</w:t>
      </w:r>
      <w:r w:rsidR="00120D0D" w:rsidRPr="00120D0D">
        <w:rPr>
          <w:rFonts w:ascii="Garamond" w:hAnsi="Garamond"/>
        </w:rPr>
        <w:t xml:space="preserve"> therefore not met. </w:t>
      </w:r>
      <w:r w:rsidR="004241C8">
        <w:rPr>
          <w:rFonts w:ascii="Garamond" w:hAnsi="Garamond"/>
        </w:rPr>
        <w:t>The appellant</w:t>
      </w:r>
      <w:r w:rsidR="00120D0D" w:rsidRPr="00120D0D">
        <w:rPr>
          <w:rFonts w:ascii="Garamond" w:hAnsi="Garamond"/>
        </w:rPr>
        <w:t xml:space="preserve"> </w:t>
      </w:r>
      <w:r w:rsidR="004241C8">
        <w:rPr>
          <w:rFonts w:ascii="Garamond" w:hAnsi="Garamond"/>
        </w:rPr>
        <w:t xml:space="preserve">applied </w:t>
      </w:r>
      <w:r w:rsidR="00120D0D" w:rsidRPr="00120D0D">
        <w:rPr>
          <w:rFonts w:ascii="Garamond" w:hAnsi="Garamond"/>
        </w:rPr>
        <w:t>for judicial review of the Commission’s decision</w:t>
      </w:r>
      <w:r w:rsidR="00C61F4F">
        <w:rPr>
          <w:rFonts w:ascii="Garamond" w:hAnsi="Garamond"/>
        </w:rPr>
        <w:t xml:space="preserve">. </w:t>
      </w:r>
      <w:r w:rsidR="00120D0D" w:rsidRPr="00120D0D">
        <w:rPr>
          <w:rFonts w:ascii="Garamond" w:hAnsi="Garamond"/>
        </w:rPr>
        <w:t xml:space="preserve">That </w:t>
      </w:r>
      <w:r w:rsidR="001023F9" w:rsidRPr="00120D0D">
        <w:rPr>
          <w:rFonts w:ascii="Garamond" w:hAnsi="Garamond"/>
        </w:rPr>
        <w:t>application was refused by the Lord Ordinary</w:t>
      </w:r>
      <w:r w:rsidR="00E64333">
        <w:rPr>
          <w:rFonts w:ascii="Garamond" w:hAnsi="Garamond"/>
        </w:rPr>
        <w:t xml:space="preserve"> and the ruling </w:t>
      </w:r>
      <w:r w:rsidR="001023F9" w:rsidRPr="00120D0D">
        <w:rPr>
          <w:rFonts w:ascii="Garamond" w:hAnsi="Garamond"/>
        </w:rPr>
        <w:t>was upheld by the Extra Division.</w:t>
      </w:r>
      <w:r w:rsidR="00E64333">
        <w:rPr>
          <w:rFonts w:ascii="Garamond" w:hAnsi="Garamond"/>
        </w:rPr>
        <w:t xml:space="preserve"> The appellant appealed to the Supreme Court.</w:t>
      </w:r>
      <w:r w:rsidR="001023F9" w:rsidRPr="00120D0D">
        <w:rPr>
          <w:rFonts w:ascii="Garamond" w:hAnsi="Garamond"/>
        </w:rPr>
        <w:t xml:space="preserve"> </w:t>
      </w:r>
    </w:p>
    <w:p w:rsidR="00257879" w:rsidRDefault="00257879" w:rsidP="00C10282">
      <w:pPr>
        <w:jc w:val="both"/>
        <w:outlineLvl w:val="4"/>
        <w:rPr>
          <w:rFonts w:ascii="Garamond" w:hAnsi="Garamond"/>
        </w:rPr>
      </w:pPr>
    </w:p>
    <w:p w:rsidR="00BB27F3" w:rsidRDefault="00BB27F3" w:rsidP="00BB27F3">
      <w:pPr>
        <w:rPr>
          <w:rFonts w:ascii="Garamond" w:hAnsi="Garamond"/>
          <w:b/>
        </w:rPr>
      </w:pPr>
      <w:r>
        <w:rPr>
          <w:rFonts w:ascii="Garamond" w:hAnsi="Garamond"/>
          <w:b/>
        </w:rPr>
        <w:t>JUDGMENT</w:t>
      </w:r>
    </w:p>
    <w:p w:rsidR="00BB27F3" w:rsidRDefault="00BB27F3" w:rsidP="00BB27F3">
      <w:pPr>
        <w:rPr>
          <w:rFonts w:ascii="Garamond" w:hAnsi="Garamond"/>
          <w:b/>
        </w:rPr>
      </w:pPr>
    </w:p>
    <w:p w:rsidR="00E64333" w:rsidRDefault="00BB27F3" w:rsidP="00E64333">
      <w:pPr>
        <w:jc w:val="both"/>
        <w:rPr>
          <w:rFonts w:ascii="Garamond" w:hAnsi="Garamond"/>
        </w:rPr>
      </w:pPr>
      <w:r w:rsidRPr="00162024">
        <w:rPr>
          <w:rFonts w:ascii="Garamond" w:hAnsi="Garamond"/>
        </w:rPr>
        <w:t xml:space="preserve">The Supreme Court unanimously </w:t>
      </w:r>
      <w:r w:rsidR="007278D8">
        <w:rPr>
          <w:rFonts w:ascii="Garamond" w:hAnsi="Garamond"/>
        </w:rPr>
        <w:t>dismisse</w:t>
      </w:r>
      <w:r w:rsidR="00E64333">
        <w:rPr>
          <w:rFonts w:ascii="Garamond" w:hAnsi="Garamond"/>
        </w:rPr>
        <w:t>s</w:t>
      </w:r>
      <w:r w:rsidR="007278D8">
        <w:rPr>
          <w:rFonts w:ascii="Garamond" w:hAnsi="Garamond"/>
        </w:rPr>
        <w:t xml:space="preserve"> Mr Gordon’s appeal. </w:t>
      </w:r>
      <w:r w:rsidR="00CA6B9F">
        <w:rPr>
          <w:rFonts w:ascii="Garamond" w:hAnsi="Garamond"/>
        </w:rPr>
        <w:t xml:space="preserve">Lord </w:t>
      </w:r>
      <w:r w:rsidR="007278D8">
        <w:rPr>
          <w:rFonts w:ascii="Garamond" w:hAnsi="Garamond"/>
        </w:rPr>
        <w:t xml:space="preserve">Reed </w:t>
      </w:r>
      <w:r w:rsidR="00CA6B9F">
        <w:rPr>
          <w:rFonts w:ascii="Garamond" w:hAnsi="Garamond"/>
        </w:rPr>
        <w:t xml:space="preserve">gives the judgment, with which the rest of the </w:t>
      </w:r>
      <w:r w:rsidR="00C15B93">
        <w:rPr>
          <w:rFonts w:ascii="Garamond" w:hAnsi="Garamond"/>
        </w:rPr>
        <w:t>C</w:t>
      </w:r>
      <w:r w:rsidR="00CA6B9F">
        <w:rPr>
          <w:rFonts w:ascii="Garamond" w:hAnsi="Garamond"/>
        </w:rPr>
        <w:t xml:space="preserve">ourt agrees. </w:t>
      </w:r>
    </w:p>
    <w:p w:rsidR="00E64333" w:rsidRDefault="00E64333" w:rsidP="00E64333">
      <w:pPr>
        <w:jc w:val="both"/>
        <w:rPr>
          <w:rFonts w:ascii="Garamond" w:hAnsi="Garamond"/>
        </w:rPr>
      </w:pPr>
    </w:p>
    <w:p w:rsidR="00E64333" w:rsidRDefault="00E64333" w:rsidP="00E64333">
      <w:pPr>
        <w:jc w:val="both"/>
        <w:rPr>
          <w:rFonts w:ascii="Garamond" w:hAnsi="Garamond"/>
        </w:rPr>
      </w:pPr>
    </w:p>
    <w:p w:rsidR="00E64333" w:rsidRDefault="00E64333" w:rsidP="00E64333">
      <w:pPr>
        <w:jc w:val="both"/>
        <w:rPr>
          <w:rFonts w:ascii="Garamond" w:hAnsi="Garamond"/>
        </w:rPr>
      </w:pPr>
    </w:p>
    <w:p w:rsidR="00E64333" w:rsidRDefault="00E64333" w:rsidP="00E64333">
      <w:pPr>
        <w:jc w:val="both"/>
        <w:rPr>
          <w:rFonts w:ascii="Garamond" w:hAnsi="Garamond"/>
        </w:rPr>
      </w:pPr>
    </w:p>
    <w:p w:rsidR="00BB27F3" w:rsidRDefault="00BB27F3" w:rsidP="00BB27F3">
      <w:pPr>
        <w:rPr>
          <w:rFonts w:ascii="Garamond" w:hAnsi="Garamond"/>
          <w:b/>
        </w:rPr>
      </w:pPr>
      <w:r w:rsidRPr="00A30FCD">
        <w:rPr>
          <w:rFonts w:ascii="Garamond" w:hAnsi="Garamond"/>
          <w:b/>
        </w:rPr>
        <w:t>REASONS FOR THE JUDGMENT</w:t>
      </w:r>
    </w:p>
    <w:p w:rsidR="00664ACE" w:rsidRPr="003971F1" w:rsidRDefault="00664ACE" w:rsidP="00D149A6">
      <w:pPr>
        <w:jc w:val="both"/>
        <w:rPr>
          <w:rFonts w:ascii="Garamond" w:hAnsi="Garamond"/>
        </w:rPr>
      </w:pPr>
    </w:p>
    <w:p w:rsidR="00664ACE" w:rsidRPr="00CF6610" w:rsidRDefault="00C11DD8" w:rsidP="00D149A6">
      <w:pPr>
        <w:jc w:val="both"/>
        <w:rPr>
          <w:rFonts w:ascii="Garamond" w:hAnsi="Garamond"/>
        </w:rPr>
      </w:pPr>
      <w:r>
        <w:rPr>
          <w:rFonts w:ascii="Garamond" w:hAnsi="Garamond"/>
        </w:rPr>
        <w:t>The Extra Division</w:t>
      </w:r>
      <w:r w:rsidR="00664ACE" w:rsidRPr="00CF6610">
        <w:rPr>
          <w:rFonts w:ascii="Garamond" w:hAnsi="Garamond"/>
        </w:rPr>
        <w:t xml:space="preserve"> and the Lord Ordinary were correct to conclude that t</w:t>
      </w:r>
      <w:r w:rsidR="00A31C9D" w:rsidRPr="00CF6610">
        <w:rPr>
          <w:rFonts w:ascii="Garamond" w:hAnsi="Garamond"/>
        </w:rPr>
        <w:t xml:space="preserve">he </w:t>
      </w:r>
      <w:r w:rsidR="001023F9" w:rsidRPr="00CF6610">
        <w:rPr>
          <w:rFonts w:ascii="Garamond" w:hAnsi="Garamond"/>
        </w:rPr>
        <w:t>Commission</w:t>
      </w:r>
      <w:r w:rsidR="00664ACE" w:rsidRPr="00CF6610">
        <w:rPr>
          <w:rFonts w:ascii="Garamond" w:hAnsi="Garamond"/>
        </w:rPr>
        <w:t xml:space="preserve"> did not err in law in any of the ways suggested by the appellant.</w:t>
      </w:r>
    </w:p>
    <w:p w:rsidR="00664ACE" w:rsidRPr="003971F1" w:rsidRDefault="00664ACE" w:rsidP="00D149A6">
      <w:pPr>
        <w:jc w:val="both"/>
        <w:rPr>
          <w:rFonts w:ascii="Garamond" w:hAnsi="Garamond"/>
        </w:rPr>
      </w:pPr>
    </w:p>
    <w:p w:rsidR="00664ACE" w:rsidRPr="00303833" w:rsidRDefault="001847B1" w:rsidP="00D149A6">
      <w:pPr>
        <w:jc w:val="both"/>
        <w:rPr>
          <w:rFonts w:ascii="Garamond" w:hAnsi="Garamond"/>
          <w:b/>
        </w:rPr>
      </w:pPr>
      <w:r>
        <w:rPr>
          <w:rFonts w:ascii="Garamond" w:hAnsi="Garamond"/>
        </w:rPr>
        <w:t xml:space="preserve">The Commission was right to </w:t>
      </w:r>
      <w:r w:rsidR="00A000FB">
        <w:rPr>
          <w:rFonts w:ascii="Garamond" w:hAnsi="Garamond"/>
        </w:rPr>
        <w:t>take into account</w:t>
      </w:r>
      <w:r>
        <w:rPr>
          <w:rFonts w:ascii="Garamond" w:hAnsi="Garamond"/>
        </w:rPr>
        <w:t xml:space="preserve"> </w:t>
      </w:r>
      <w:r w:rsidR="00664ACE">
        <w:rPr>
          <w:rFonts w:ascii="Garamond" w:hAnsi="Garamond"/>
        </w:rPr>
        <w:t xml:space="preserve">the fact that </w:t>
      </w:r>
      <w:r>
        <w:rPr>
          <w:rFonts w:ascii="Garamond" w:hAnsi="Garamond"/>
        </w:rPr>
        <w:t xml:space="preserve">the appellant </w:t>
      </w:r>
      <w:r w:rsidR="00664ACE">
        <w:rPr>
          <w:rFonts w:ascii="Garamond" w:hAnsi="Garamond"/>
        </w:rPr>
        <w:t xml:space="preserve">had not disputed the veracity of what he had told </w:t>
      </w:r>
      <w:r w:rsidR="00C11DD8">
        <w:rPr>
          <w:rFonts w:ascii="Garamond" w:hAnsi="Garamond"/>
        </w:rPr>
        <w:t xml:space="preserve">the </w:t>
      </w:r>
      <w:r w:rsidR="00664ACE">
        <w:rPr>
          <w:rFonts w:ascii="Garamond" w:hAnsi="Garamond"/>
        </w:rPr>
        <w:t xml:space="preserve">police in </w:t>
      </w:r>
      <w:r w:rsidR="00C11DD8">
        <w:rPr>
          <w:rFonts w:ascii="Garamond" w:hAnsi="Garamond"/>
        </w:rPr>
        <w:t xml:space="preserve">the </w:t>
      </w:r>
      <w:r w:rsidR="00664ACE">
        <w:rPr>
          <w:rFonts w:ascii="Garamond" w:hAnsi="Garamond"/>
        </w:rPr>
        <w:t xml:space="preserve">interview. </w:t>
      </w:r>
      <w:r>
        <w:rPr>
          <w:rFonts w:ascii="Garamond" w:hAnsi="Garamond"/>
        </w:rPr>
        <w:t>The fact that the evidence in question was and remains undisputed is plainl</w:t>
      </w:r>
      <w:r w:rsidR="00026BDB">
        <w:rPr>
          <w:rFonts w:ascii="Garamond" w:hAnsi="Garamond"/>
        </w:rPr>
        <w:t xml:space="preserve">y relevant to </w:t>
      </w:r>
      <w:r>
        <w:rPr>
          <w:rFonts w:ascii="Garamond" w:hAnsi="Garamond"/>
        </w:rPr>
        <w:t>whether it is in the interests of justice to make a reference. It would not normally be in the interests of justice to quash a conviction merely because, under the law as now understood, there was a lack of admissible corroboration of a fact which had never been in dispute.</w:t>
      </w:r>
      <w:r w:rsidR="0056757A">
        <w:rPr>
          <w:rFonts w:ascii="Garamond" w:hAnsi="Garamond"/>
        </w:rPr>
        <w:t xml:space="preserve"> </w:t>
      </w:r>
      <w:r>
        <w:rPr>
          <w:rFonts w:ascii="Garamond" w:hAnsi="Garamond"/>
        </w:rPr>
        <w:t xml:space="preserve">While it is a relevant consideration that if the appellant had been offered the opportunity to consult a solicitor, </w:t>
      </w:r>
      <w:r w:rsidR="00C11DD8">
        <w:rPr>
          <w:rFonts w:ascii="Garamond" w:hAnsi="Garamond"/>
        </w:rPr>
        <w:t xml:space="preserve">matters might have taken a different course, and the interview might not have provided the necessary corroboration that sexual intercourse had occurred, it is also relevant that it was because of the answers given at interview, and the admissibility of those answers under the law at the time, that the </w:t>
      </w:r>
      <w:r w:rsidR="00C520DE">
        <w:rPr>
          <w:rFonts w:ascii="Garamond" w:hAnsi="Garamond"/>
        </w:rPr>
        <w:t>semen found on the swabs were not submitted to examination, so as potentially to provide other corroborative evidence. These considerations do not however detract from the relevance of the fact that the truth of what was said at interview was and remains undisputed.</w:t>
      </w:r>
      <w:r>
        <w:rPr>
          <w:rFonts w:ascii="Garamond" w:hAnsi="Garamond"/>
        </w:rPr>
        <w:t xml:space="preserve"> </w:t>
      </w:r>
      <w:r w:rsidR="00303833">
        <w:rPr>
          <w:rFonts w:ascii="Garamond" w:hAnsi="Garamond"/>
          <w:b/>
        </w:rPr>
        <w:t>[37-39]</w:t>
      </w:r>
    </w:p>
    <w:p w:rsidR="001847B1" w:rsidRDefault="001847B1" w:rsidP="001847B1">
      <w:pPr>
        <w:jc w:val="both"/>
        <w:rPr>
          <w:rFonts w:ascii="Garamond" w:hAnsi="Garamond"/>
        </w:rPr>
      </w:pPr>
    </w:p>
    <w:p w:rsidR="001847B1" w:rsidRPr="00CF6610" w:rsidRDefault="001847B1" w:rsidP="00D149A6">
      <w:pPr>
        <w:jc w:val="both"/>
        <w:rPr>
          <w:rFonts w:ascii="Garamond" w:hAnsi="Garamond"/>
          <w:b/>
        </w:rPr>
      </w:pPr>
      <w:r>
        <w:rPr>
          <w:rFonts w:ascii="Garamond" w:hAnsi="Garamond"/>
        </w:rPr>
        <w:t xml:space="preserve">The Commission was </w:t>
      </w:r>
      <w:r w:rsidR="00A000FB">
        <w:rPr>
          <w:rFonts w:ascii="Garamond" w:hAnsi="Garamond"/>
        </w:rPr>
        <w:t>also</w:t>
      </w:r>
      <w:r w:rsidR="00AF04C6">
        <w:rPr>
          <w:rFonts w:ascii="Garamond" w:hAnsi="Garamond"/>
        </w:rPr>
        <w:t xml:space="preserve"> correct to </w:t>
      </w:r>
      <w:r>
        <w:rPr>
          <w:rFonts w:ascii="Garamond" w:hAnsi="Garamond"/>
        </w:rPr>
        <w:t xml:space="preserve">take into account the fact that the </w:t>
      </w:r>
      <w:r w:rsidR="004241C8">
        <w:rPr>
          <w:rFonts w:ascii="Garamond" w:hAnsi="Garamond"/>
        </w:rPr>
        <w:t>appellant had not challenged the fairness of the</w:t>
      </w:r>
      <w:r w:rsidR="00A000FB">
        <w:rPr>
          <w:rFonts w:ascii="Garamond" w:hAnsi="Garamond"/>
        </w:rPr>
        <w:t xml:space="preserve"> </w:t>
      </w:r>
      <w:r w:rsidR="00026BDB">
        <w:rPr>
          <w:rFonts w:ascii="Garamond" w:hAnsi="Garamond"/>
        </w:rPr>
        <w:t xml:space="preserve">way in which the </w:t>
      </w:r>
      <w:r w:rsidR="00A000FB">
        <w:rPr>
          <w:rFonts w:ascii="Garamond" w:hAnsi="Garamond"/>
        </w:rPr>
        <w:t xml:space="preserve">interview </w:t>
      </w:r>
      <w:r w:rsidR="00026BDB">
        <w:rPr>
          <w:rFonts w:ascii="Garamond" w:hAnsi="Garamond"/>
        </w:rPr>
        <w:t xml:space="preserve">had been conducted </w:t>
      </w:r>
      <w:r w:rsidR="00A000FB">
        <w:rPr>
          <w:rFonts w:ascii="Garamond" w:hAnsi="Garamond"/>
        </w:rPr>
        <w:t>or its use at the</w:t>
      </w:r>
      <w:r w:rsidR="00CF6610">
        <w:rPr>
          <w:rFonts w:ascii="Garamond" w:hAnsi="Garamond"/>
        </w:rPr>
        <w:t xml:space="preserve"> trial. Prior to </w:t>
      </w:r>
      <w:proofErr w:type="spellStart"/>
      <w:r w:rsidR="00CF6610">
        <w:rPr>
          <w:rFonts w:ascii="Garamond" w:hAnsi="Garamond"/>
          <w:i/>
        </w:rPr>
        <w:t>Cadder</w:t>
      </w:r>
      <w:proofErr w:type="spellEnd"/>
      <w:r w:rsidR="00CF6610">
        <w:rPr>
          <w:rFonts w:ascii="Garamond" w:hAnsi="Garamond"/>
          <w:i/>
        </w:rPr>
        <w:t xml:space="preserve"> </w:t>
      </w:r>
      <w:r w:rsidR="00CF6610">
        <w:rPr>
          <w:rFonts w:ascii="Garamond" w:hAnsi="Garamond"/>
        </w:rPr>
        <w:t>there were well-established grounds of objection on which the appellant could have relied</w:t>
      </w:r>
      <w:r w:rsidR="00A000FB">
        <w:rPr>
          <w:rFonts w:ascii="Garamond" w:hAnsi="Garamond"/>
        </w:rPr>
        <w:t xml:space="preserve"> in the event of unfairness</w:t>
      </w:r>
      <w:r w:rsidR="00C520DE">
        <w:rPr>
          <w:rFonts w:ascii="Garamond" w:hAnsi="Garamond"/>
        </w:rPr>
        <w:t xml:space="preserve"> in the conduct of the interview or the use made of it at the trial</w:t>
      </w:r>
      <w:r w:rsidR="00CF6610">
        <w:rPr>
          <w:rFonts w:ascii="Garamond" w:hAnsi="Garamond"/>
        </w:rPr>
        <w:t xml:space="preserve">, and his failure to do so was plainly relevant to where the interests of justice lay. </w:t>
      </w:r>
      <w:r w:rsidR="00CF6610">
        <w:rPr>
          <w:rFonts w:ascii="Garamond" w:hAnsi="Garamond"/>
          <w:b/>
        </w:rPr>
        <w:t>[40]</w:t>
      </w:r>
    </w:p>
    <w:p w:rsidR="001847B1" w:rsidRDefault="001847B1" w:rsidP="00D149A6">
      <w:pPr>
        <w:jc w:val="both"/>
        <w:rPr>
          <w:rFonts w:ascii="Garamond" w:hAnsi="Garamond"/>
        </w:rPr>
      </w:pPr>
    </w:p>
    <w:p w:rsidR="00D3087B" w:rsidRPr="00AF04C6" w:rsidRDefault="00AF04C6" w:rsidP="00D149A6">
      <w:pPr>
        <w:jc w:val="both"/>
        <w:rPr>
          <w:rFonts w:ascii="Garamond" w:hAnsi="Garamond"/>
          <w:b/>
        </w:rPr>
      </w:pPr>
      <w:r>
        <w:rPr>
          <w:rFonts w:ascii="Garamond" w:hAnsi="Garamond"/>
        </w:rPr>
        <w:t>It was also a relevant consideration</w:t>
      </w:r>
      <w:r w:rsidR="001847B1">
        <w:rPr>
          <w:rFonts w:ascii="Garamond" w:hAnsi="Garamond"/>
        </w:rPr>
        <w:t xml:space="preserve"> that </w:t>
      </w:r>
      <w:r w:rsidR="004241C8">
        <w:rPr>
          <w:rFonts w:ascii="Garamond" w:hAnsi="Garamond"/>
        </w:rPr>
        <w:t xml:space="preserve">the appellant had relied on the interview </w:t>
      </w:r>
      <w:r w:rsidR="00CF6610">
        <w:rPr>
          <w:rFonts w:ascii="Garamond" w:hAnsi="Garamond"/>
        </w:rPr>
        <w:t xml:space="preserve">in order to present </w:t>
      </w:r>
      <w:r w:rsidR="004241C8">
        <w:rPr>
          <w:rFonts w:ascii="Garamond" w:hAnsi="Garamond"/>
        </w:rPr>
        <w:t>his defence</w:t>
      </w:r>
      <w:r w:rsidR="00CF6610">
        <w:rPr>
          <w:rFonts w:ascii="Garamond" w:hAnsi="Garamond"/>
        </w:rPr>
        <w:t xml:space="preserve"> to the jury</w:t>
      </w:r>
      <w:r w:rsidR="004241C8">
        <w:rPr>
          <w:rFonts w:ascii="Garamond" w:hAnsi="Garamond"/>
        </w:rPr>
        <w:t>.</w:t>
      </w:r>
      <w:r w:rsidR="00CF6610">
        <w:rPr>
          <w:rFonts w:ascii="Garamond" w:hAnsi="Garamond"/>
        </w:rPr>
        <w:t xml:space="preserve"> </w:t>
      </w:r>
      <w:r w:rsidR="0056757A">
        <w:rPr>
          <w:rFonts w:ascii="Garamond" w:hAnsi="Garamond"/>
        </w:rPr>
        <w:t xml:space="preserve">The appellant’s argument </w:t>
      </w:r>
      <w:r w:rsidR="00E64333">
        <w:rPr>
          <w:rFonts w:ascii="Garamond" w:hAnsi="Garamond"/>
        </w:rPr>
        <w:t xml:space="preserve">was </w:t>
      </w:r>
      <w:r w:rsidR="0056757A">
        <w:rPr>
          <w:rFonts w:ascii="Garamond" w:hAnsi="Garamond"/>
        </w:rPr>
        <w:t xml:space="preserve">that this course of action was forced upon </w:t>
      </w:r>
      <w:r w:rsidR="00E64333">
        <w:rPr>
          <w:rFonts w:ascii="Garamond" w:hAnsi="Garamond"/>
        </w:rPr>
        <w:t>him</w:t>
      </w:r>
      <w:r w:rsidR="0056757A">
        <w:rPr>
          <w:rFonts w:ascii="Garamond" w:hAnsi="Garamond"/>
        </w:rPr>
        <w:t xml:space="preserve">. Although the appellant’s admission that sexual intercourse had taken place was admissible under the law as it then stood, </w:t>
      </w:r>
      <w:r w:rsidR="00C520DE">
        <w:rPr>
          <w:rFonts w:ascii="Garamond" w:hAnsi="Garamond"/>
        </w:rPr>
        <w:t xml:space="preserve">he was entitled to have the whole of </w:t>
      </w:r>
      <w:r w:rsidR="0056757A">
        <w:rPr>
          <w:rFonts w:ascii="Garamond" w:hAnsi="Garamond"/>
        </w:rPr>
        <w:t xml:space="preserve">the interview </w:t>
      </w:r>
      <w:r w:rsidR="00C520DE">
        <w:rPr>
          <w:rFonts w:ascii="Garamond" w:hAnsi="Garamond"/>
        </w:rPr>
        <w:t>placed bef</w:t>
      </w:r>
      <w:r w:rsidR="0056757A">
        <w:rPr>
          <w:rFonts w:ascii="Garamond" w:hAnsi="Garamond"/>
        </w:rPr>
        <w:t xml:space="preserve">ore the jury </w:t>
      </w:r>
      <w:r w:rsidR="00C520DE">
        <w:rPr>
          <w:rFonts w:ascii="Garamond" w:hAnsi="Garamond"/>
        </w:rPr>
        <w:t>so that they were aware that</w:t>
      </w:r>
      <w:r w:rsidR="0056757A">
        <w:rPr>
          <w:rFonts w:ascii="Garamond" w:hAnsi="Garamond"/>
        </w:rPr>
        <w:t xml:space="preserve"> the admission was made in the context of his contention that the sexual intercourse had been consensual. The </w:t>
      </w:r>
      <w:r w:rsidR="00C520DE">
        <w:rPr>
          <w:rFonts w:ascii="Garamond" w:hAnsi="Garamond"/>
        </w:rPr>
        <w:t xml:space="preserve">result was that, although the </w:t>
      </w:r>
      <w:r w:rsidR="0056757A">
        <w:rPr>
          <w:rFonts w:ascii="Garamond" w:hAnsi="Garamond"/>
        </w:rPr>
        <w:t xml:space="preserve">appellant </w:t>
      </w:r>
      <w:r w:rsidR="00C520DE">
        <w:rPr>
          <w:rFonts w:ascii="Garamond" w:hAnsi="Garamond"/>
        </w:rPr>
        <w:t xml:space="preserve">was entitled to give evidence in his own defence, he </w:t>
      </w:r>
      <w:r w:rsidR="0060261E">
        <w:rPr>
          <w:rFonts w:ascii="Garamond" w:hAnsi="Garamond"/>
        </w:rPr>
        <w:t>did not have to do so</w:t>
      </w:r>
      <w:r w:rsidR="00C520DE">
        <w:rPr>
          <w:rFonts w:ascii="Garamond" w:hAnsi="Garamond"/>
        </w:rPr>
        <w:t xml:space="preserve"> in order for his defence to be placed before the jury. He could therefore avoid</w:t>
      </w:r>
      <w:r w:rsidR="0056757A">
        <w:rPr>
          <w:rFonts w:ascii="Garamond" w:hAnsi="Garamond"/>
        </w:rPr>
        <w:t xml:space="preserve"> exposing his defence to cross-examination.</w:t>
      </w:r>
      <w:r>
        <w:rPr>
          <w:rFonts w:ascii="Garamond" w:hAnsi="Garamond"/>
        </w:rPr>
        <w:t xml:space="preserve"> </w:t>
      </w:r>
      <w:r w:rsidR="00C520DE">
        <w:rPr>
          <w:rFonts w:ascii="Garamond" w:hAnsi="Garamond"/>
        </w:rPr>
        <w:t xml:space="preserve">That afforded him an opportunity which would not have existed if the interview had been inadmissible. </w:t>
      </w:r>
      <w:r w:rsidR="0060261E">
        <w:rPr>
          <w:rFonts w:ascii="Garamond" w:hAnsi="Garamond"/>
        </w:rPr>
        <w:t xml:space="preserve">In the event, he availed himself of that opportunity. </w:t>
      </w:r>
      <w:r>
        <w:rPr>
          <w:rFonts w:ascii="Garamond" w:hAnsi="Garamond"/>
          <w:b/>
        </w:rPr>
        <w:t>[41]</w:t>
      </w:r>
    </w:p>
    <w:p w:rsidR="00D3087B" w:rsidRDefault="00D3087B" w:rsidP="00D149A6">
      <w:pPr>
        <w:jc w:val="both"/>
        <w:rPr>
          <w:rFonts w:ascii="Garamond" w:hAnsi="Garamond"/>
        </w:rPr>
      </w:pPr>
    </w:p>
    <w:p w:rsidR="004241C8" w:rsidRPr="00A854EB" w:rsidRDefault="00D3087B" w:rsidP="00D149A6">
      <w:pPr>
        <w:jc w:val="both"/>
        <w:rPr>
          <w:rFonts w:ascii="Garamond" w:hAnsi="Garamond"/>
          <w:b/>
          <w:u w:val="single"/>
        </w:rPr>
      </w:pPr>
      <w:r>
        <w:rPr>
          <w:rFonts w:ascii="Garamond" w:hAnsi="Garamond"/>
        </w:rPr>
        <w:t>The Commission’s approach to the “interests of justice” test in s.1</w:t>
      </w:r>
      <w:r w:rsidR="00A000FB">
        <w:rPr>
          <w:rFonts w:ascii="Garamond" w:hAnsi="Garamond"/>
        </w:rPr>
        <w:t>94C of the Act was not inconsistent with</w:t>
      </w:r>
      <w:r>
        <w:rPr>
          <w:rFonts w:ascii="Garamond" w:hAnsi="Garamond"/>
        </w:rPr>
        <w:t xml:space="preserve"> the application in the case law of the corresponding test in s.194D</w:t>
      </w:r>
      <w:r w:rsidR="0060261E" w:rsidRPr="0060261E">
        <w:rPr>
          <w:rFonts w:ascii="Garamond" w:hAnsi="Garamond"/>
        </w:rPr>
        <w:t>A</w:t>
      </w:r>
      <w:r>
        <w:rPr>
          <w:rFonts w:ascii="Garamond" w:hAnsi="Garamond"/>
        </w:rPr>
        <w:t>, which applied to the High Court. The High Court has not treated its decision under s.194D</w:t>
      </w:r>
      <w:r w:rsidR="0060261E">
        <w:rPr>
          <w:rFonts w:ascii="Garamond" w:hAnsi="Garamond"/>
        </w:rPr>
        <w:t>A</w:t>
      </w:r>
      <w:r>
        <w:rPr>
          <w:rFonts w:ascii="Garamond" w:hAnsi="Garamond"/>
        </w:rPr>
        <w:t xml:space="preserve"> as identical to that of the Commission under s.194C; although the power to refer is couched in the same language, the role of each body is different.</w:t>
      </w:r>
      <w:r w:rsidR="0060261E">
        <w:rPr>
          <w:rFonts w:ascii="Garamond" w:hAnsi="Garamond"/>
        </w:rPr>
        <w:t xml:space="preserve"> Further, </w:t>
      </w:r>
      <w:r w:rsidR="00A854EB">
        <w:rPr>
          <w:rFonts w:ascii="Garamond" w:hAnsi="Garamond"/>
        </w:rPr>
        <w:t xml:space="preserve">the authorities relied on by the appellant </w:t>
      </w:r>
      <w:r w:rsidR="0060261E">
        <w:rPr>
          <w:rFonts w:ascii="Garamond" w:hAnsi="Garamond"/>
        </w:rPr>
        <w:t>in any event concerned different circumstances</w:t>
      </w:r>
      <w:r w:rsidR="00A854EB">
        <w:rPr>
          <w:rFonts w:ascii="Garamond" w:hAnsi="Garamond"/>
        </w:rPr>
        <w:t xml:space="preserve">. </w:t>
      </w:r>
      <w:r w:rsidR="00A854EB">
        <w:rPr>
          <w:rFonts w:ascii="Garamond" w:hAnsi="Garamond"/>
          <w:b/>
        </w:rPr>
        <w:t>[42-50]</w:t>
      </w:r>
    </w:p>
    <w:p w:rsidR="00664ACE" w:rsidRDefault="00664ACE" w:rsidP="00D149A6">
      <w:pPr>
        <w:jc w:val="both"/>
        <w:rPr>
          <w:rFonts w:ascii="Garamond" w:hAnsi="Garamond"/>
          <w:b/>
          <w:u w:val="single"/>
        </w:rPr>
      </w:pPr>
    </w:p>
    <w:p w:rsidR="009621B7" w:rsidRPr="00566BC2" w:rsidRDefault="00566BC2" w:rsidP="009621B7">
      <w:pPr>
        <w:rPr>
          <w:rFonts w:ascii="Garamond" w:hAnsi="Garamond"/>
          <w:i/>
        </w:rPr>
      </w:pPr>
      <w:r w:rsidRPr="00566BC2">
        <w:rPr>
          <w:rFonts w:ascii="Garamond" w:hAnsi="Garamond"/>
          <w:i/>
        </w:rPr>
        <w:t>References in square brackets are to paragraphs in the judgment</w:t>
      </w:r>
    </w:p>
    <w:p w:rsidR="00FA3D1D" w:rsidRDefault="00FA3D1D" w:rsidP="009621B7">
      <w:pPr>
        <w:rPr>
          <w:rFonts w:ascii="Garamond" w:hAnsi="Garamond"/>
        </w:rPr>
      </w:pPr>
    </w:p>
    <w:p w:rsidR="00A16C02" w:rsidRPr="00775EE3" w:rsidRDefault="00A16C02" w:rsidP="009621B7">
      <w:pPr>
        <w:rPr>
          <w:rFonts w:ascii="Garamond" w:hAnsi="Garamond"/>
          <w:b/>
          <w:u w:val="single"/>
        </w:rPr>
      </w:pPr>
      <w:r w:rsidRPr="00775EE3">
        <w:rPr>
          <w:rFonts w:ascii="Garamond" w:hAnsi="Garamond"/>
          <w:b/>
          <w:u w:val="single"/>
        </w:rPr>
        <w:t>NOTE</w:t>
      </w:r>
    </w:p>
    <w:p w:rsidR="00A16C02" w:rsidRPr="00775EE3" w:rsidRDefault="00A16C02" w:rsidP="00A16C02">
      <w:pPr>
        <w:rPr>
          <w:rFonts w:ascii="Garamond" w:hAnsi="Garamond"/>
          <w:b/>
        </w:rPr>
      </w:pPr>
      <w:r w:rsidRPr="00775EE3">
        <w:rPr>
          <w:rFonts w:ascii="Garamond" w:hAnsi="Garamond"/>
          <w:b/>
        </w:rPr>
        <w:t>This summary is provided to assist in understanding the Court’s decision.  It does not form part of the reasons for the decision.  The full judgment of the Court is the only</w:t>
      </w:r>
      <w:r w:rsidR="004B0054">
        <w:rPr>
          <w:rFonts w:ascii="Garamond" w:hAnsi="Garamond"/>
          <w:b/>
        </w:rPr>
        <w:t xml:space="preserve"> authoritative document.   Judg</w:t>
      </w:r>
      <w:r w:rsidRPr="00775EE3">
        <w:rPr>
          <w:rFonts w:ascii="Garamond" w:hAnsi="Garamond"/>
          <w:b/>
        </w:rPr>
        <w:t>ments are public documents and are available at:</w:t>
      </w:r>
    </w:p>
    <w:p w:rsidR="006D6D23" w:rsidRPr="006D6D23" w:rsidRDefault="00B32126" w:rsidP="004F156B">
      <w:pPr>
        <w:rPr>
          <w:rFonts w:ascii="Garamond" w:hAnsi="Garamond"/>
        </w:rPr>
      </w:pPr>
      <w:hyperlink r:id="rId11" w:history="1">
        <w:r w:rsidRPr="00B32126">
          <w:rPr>
            <w:rStyle w:val="Hyperlink"/>
            <w:rFonts w:ascii="Garamond" w:hAnsi="Garamond"/>
          </w:rPr>
          <w:t>http://supremecourt.uk/decided-cases/index.</w:t>
        </w:r>
        <w:r w:rsidRPr="001D4A16">
          <w:rPr>
            <w:rStyle w:val="Hyperlink"/>
            <w:rFonts w:ascii="Garamond" w:hAnsi="Garamond"/>
          </w:rPr>
          <w:t>html</w:t>
        </w:r>
      </w:hyperlink>
      <w:r w:rsidR="00677EF9">
        <w:rPr>
          <w:rFonts w:ascii="Garamond" w:hAnsi="Garamond"/>
        </w:rPr>
        <w:t xml:space="preserve"> </w:t>
      </w:r>
      <w:r w:rsidR="00B73D9F">
        <w:rPr>
          <w:rFonts w:ascii="Garamond" w:hAnsi="Garamond"/>
        </w:rPr>
        <w:t xml:space="preserve"> </w:t>
      </w:r>
      <w:r w:rsidR="004F156B">
        <w:rPr>
          <w:rFonts w:ascii="Garamond" w:hAnsi="Garamond"/>
        </w:rPr>
        <w:t xml:space="preserve">  </w:t>
      </w:r>
    </w:p>
    <w:sectPr w:rsidR="006D6D23" w:rsidRPr="006D6D23" w:rsidSect="00437284">
      <w:footerReference w:type="default" r:id="rId12"/>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6018" w:rsidRDefault="00BD6018">
      <w:r>
        <w:separator/>
      </w:r>
    </w:p>
  </w:endnote>
  <w:endnote w:type="continuationSeparator" w:id="0">
    <w:p w:rsidR="00BD6018" w:rsidRDefault="00BD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aker 2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333" w:rsidRDefault="00E64333" w:rsidP="00E64333">
    <w:pPr>
      <w:pStyle w:val="Footer"/>
      <w:jc w:val="center"/>
      <w:rPr>
        <w:rFonts w:ascii="Shaker 2 Regular" w:hAnsi="Shaker 2 Regular"/>
        <w:b/>
        <w:sz w:val="20"/>
      </w:rPr>
    </w:pPr>
    <w:r w:rsidRPr="00821EB9">
      <w:rPr>
        <w:rFonts w:ascii="Shaker 2 Regular" w:hAnsi="Shaker 2 Regular"/>
        <w:b/>
        <w:sz w:val="20"/>
      </w:rPr>
      <w:t>The Supreme Court of the United Kingdom</w:t>
    </w:r>
  </w:p>
  <w:p w:rsidR="00E64333" w:rsidRPr="00821EB9" w:rsidRDefault="00E64333" w:rsidP="00E64333">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rsidR="00E64333" w:rsidRDefault="00E64333">
    <w:pPr>
      <w:pStyle w:val="Footer"/>
    </w:pPr>
  </w:p>
  <w:p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6018" w:rsidRDefault="00BD6018">
      <w:r>
        <w:separator/>
      </w:r>
    </w:p>
  </w:footnote>
  <w:footnote w:type="continuationSeparator" w:id="0">
    <w:p w:rsidR="00BD6018" w:rsidRDefault="00BD6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C125A4"/>
    <w:multiLevelType w:val="hybridMultilevel"/>
    <w:tmpl w:val="D9FE97F0"/>
    <w:lvl w:ilvl="0" w:tplc="406855CC">
      <w:start w:val="22"/>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E5814"/>
    <w:multiLevelType w:val="hybridMultilevel"/>
    <w:tmpl w:val="C5C46CDC"/>
    <w:lvl w:ilvl="0" w:tplc="F9C0EF2A">
      <w:start w:val="15"/>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FB2142"/>
    <w:multiLevelType w:val="hybridMultilevel"/>
    <w:tmpl w:val="3B0A66E6"/>
    <w:lvl w:ilvl="0" w:tplc="205CF22C">
      <w:start w:val="1"/>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6C2C17"/>
    <w:multiLevelType w:val="hybridMultilevel"/>
    <w:tmpl w:val="4A7A864C"/>
    <w:lvl w:ilvl="0" w:tplc="8A7E6378">
      <w:start w:val="19"/>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4FD598A"/>
    <w:multiLevelType w:val="hybridMultilevel"/>
    <w:tmpl w:val="E408AE32"/>
    <w:lvl w:ilvl="0" w:tplc="2834CDD4">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47057162">
    <w:abstractNumId w:val="0"/>
  </w:num>
  <w:num w:numId="2" w16cid:durableId="1794522109">
    <w:abstractNumId w:val="5"/>
  </w:num>
  <w:num w:numId="3" w16cid:durableId="572086712">
    <w:abstractNumId w:val="7"/>
  </w:num>
  <w:num w:numId="4" w16cid:durableId="113680130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7653017">
    <w:abstractNumId w:val="9"/>
  </w:num>
  <w:num w:numId="6" w16cid:durableId="300769157">
    <w:abstractNumId w:val="11"/>
  </w:num>
  <w:num w:numId="7" w16cid:durableId="1215772635">
    <w:abstractNumId w:val="1"/>
  </w:num>
  <w:num w:numId="8" w16cid:durableId="237133287">
    <w:abstractNumId w:val="8"/>
  </w:num>
  <w:num w:numId="9" w16cid:durableId="628124791">
    <w:abstractNumId w:val="2"/>
  </w:num>
  <w:num w:numId="10" w16cid:durableId="1552379165">
    <w:abstractNumId w:val="3"/>
  </w:num>
  <w:num w:numId="11" w16cid:durableId="1118180304">
    <w:abstractNumId w:val="6"/>
  </w:num>
  <w:num w:numId="12" w16cid:durableId="1468552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5C2"/>
    <w:rsid w:val="000005FE"/>
    <w:rsid w:val="00004CA2"/>
    <w:rsid w:val="00006C06"/>
    <w:rsid w:val="00026BDB"/>
    <w:rsid w:val="00027162"/>
    <w:rsid w:val="00040D96"/>
    <w:rsid w:val="00054C29"/>
    <w:rsid w:val="000575DB"/>
    <w:rsid w:val="00064056"/>
    <w:rsid w:val="00065A4D"/>
    <w:rsid w:val="00074FB2"/>
    <w:rsid w:val="000754C3"/>
    <w:rsid w:val="00083261"/>
    <w:rsid w:val="00085B40"/>
    <w:rsid w:val="00086F57"/>
    <w:rsid w:val="000948B2"/>
    <w:rsid w:val="000A33DB"/>
    <w:rsid w:val="000A7081"/>
    <w:rsid w:val="000B3E81"/>
    <w:rsid w:val="000B7A7F"/>
    <w:rsid w:val="000C4834"/>
    <w:rsid w:val="000D20A0"/>
    <w:rsid w:val="000D6187"/>
    <w:rsid w:val="000D77B7"/>
    <w:rsid w:val="000F428E"/>
    <w:rsid w:val="000F4B66"/>
    <w:rsid w:val="001023F9"/>
    <w:rsid w:val="00105EAC"/>
    <w:rsid w:val="00110003"/>
    <w:rsid w:val="00112E7F"/>
    <w:rsid w:val="00120D0D"/>
    <w:rsid w:val="00125CC7"/>
    <w:rsid w:val="00134213"/>
    <w:rsid w:val="001418CE"/>
    <w:rsid w:val="00145566"/>
    <w:rsid w:val="0015103F"/>
    <w:rsid w:val="001537A0"/>
    <w:rsid w:val="001561B2"/>
    <w:rsid w:val="00162024"/>
    <w:rsid w:val="001847B1"/>
    <w:rsid w:val="001943EF"/>
    <w:rsid w:val="001974C0"/>
    <w:rsid w:val="001C06D4"/>
    <w:rsid w:val="001C1C3A"/>
    <w:rsid w:val="001C31A7"/>
    <w:rsid w:val="001C78CB"/>
    <w:rsid w:val="001D4A16"/>
    <w:rsid w:val="001D78D0"/>
    <w:rsid w:val="001D78D9"/>
    <w:rsid w:val="001E1A05"/>
    <w:rsid w:val="001E2F37"/>
    <w:rsid w:val="001E3BB1"/>
    <w:rsid w:val="001F0B07"/>
    <w:rsid w:val="001F4EF0"/>
    <w:rsid w:val="00210AAC"/>
    <w:rsid w:val="0025011D"/>
    <w:rsid w:val="00257879"/>
    <w:rsid w:val="00260E80"/>
    <w:rsid w:val="00263FE0"/>
    <w:rsid w:val="00282AF2"/>
    <w:rsid w:val="00287680"/>
    <w:rsid w:val="00293428"/>
    <w:rsid w:val="002A3036"/>
    <w:rsid w:val="002B0F59"/>
    <w:rsid w:val="002B3E29"/>
    <w:rsid w:val="002B631E"/>
    <w:rsid w:val="002C7D0E"/>
    <w:rsid w:val="002E20CD"/>
    <w:rsid w:val="002E30D8"/>
    <w:rsid w:val="002E340D"/>
    <w:rsid w:val="002F4AE5"/>
    <w:rsid w:val="002F582D"/>
    <w:rsid w:val="00300DB9"/>
    <w:rsid w:val="00303833"/>
    <w:rsid w:val="00307AC8"/>
    <w:rsid w:val="00307CE3"/>
    <w:rsid w:val="00336E27"/>
    <w:rsid w:val="00370078"/>
    <w:rsid w:val="0037345C"/>
    <w:rsid w:val="003808B5"/>
    <w:rsid w:val="0038189A"/>
    <w:rsid w:val="0039289A"/>
    <w:rsid w:val="003971F1"/>
    <w:rsid w:val="003B7C5F"/>
    <w:rsid w:val="003D7D7D"/>
    <w:rsid w:val="003D7F8A"/>
    <w:rsid w:val="003E07E2"/>
    <w:rsid w:val="003E28F8"/>
    <w:rsid w:val="003E7AC8"/>
    <w:rsid w:val="003F299C"/>
    <w:rsid w:val="003F34EC"/>
    <w:rsid w:val="003F3EEA"/>
    <w:rsid w:val="00411DF4"/>
    <w:rsid w:val="004241C8"/>
    <w:rsid w:val="00437284"/>
    <w:rsid w:val="0044315A"/>
    <w:rsid w:val="00443E3A"/>
    <w:rsid w:val="004470C3"/>
    <w:rsid w:val="004473B1"/>
    <w:rsid w:val="00457C08"/>
    <w:rsid w:val="00474AE1"/>
    <w:rsid w:val="00474DE9"/>
    <w:rsid w:val="00476C67"/>
    <w:rsid w:val="0047770B"/>
    <w:rsid w:val="00485B5F"/>
    <w:rsid w:val="00496941"/>
    <w:rsid w:val="004A325F"/>
    <w:rsid w:val="004B0054"/>
    <w:rsid w:val="004B2973"/>
    <w:rsid w:val="004B32EA"/>
    <w:rsid w:val="004B58B8"/>
    <w:rsid w:val="004E35F8"/>
    <w:rsid w:val="004F0C57"/>
    <w:rsid w:val="004F12B4"/>
    <w:rsid w:val="004F156B"/>
    <w:rsid w:val="004F2030"/>
    <w:rsid w:val="004F433A"/>
    <w:rsid w:val="004F6949"/>
    <w:rsid w:val="004F6B76"/>
    <w:rsid w:val="0050284E"/>
    <w:rsid w:val="00530BA8"/>
    <w:rsid w:val="00545619"/>
    <w:rsid w:val="005509F7"/>
    <w:rsid w:val="00566BC2"/>
    <w:rsid w:val="0056757A"/>
    <w:rsid w:val="00570219"/>
    <w:rsid w:val="00572E9D"/>
    <w:rsid w:val="00577DB7"/>
    <w:rsid w:val="00582CFA"/>
    <w:rsid w:val="00583A80"/>
    <w:rsid w:val="00587DCB"/>
    <w:rsid w:val="005914EB"/>
    <w:rsid w:val="00591F3E"/>
    <w:rsid w:val="00592945"/>
    <w:rsid w:val="005961B4"/>
    <w:rsid w:val="00596FBA"/>
    <w:rsid w:val="005B2B07"/>
    <w:rsid w:val="005B7597"/>
    <w:rsid w:val="005C4FCF"/>
    <w:rsid w:val="005E057F"/>
    <w:rsid w:val="005E1CA8"/>
    <w:rsid w:val="005E411B"/>
    <w:rsid w:val="005E483C"/>
    <w:rsid w:val="005E7F3C"/>
    <w:rsid w:val="005F4BCC"/>
    <w:rsid w:val="005F5988"/>
    <w:rsid w:val="0060261E"/>
    <w:rsid w:val="00647FCA"/>
    <w:rsid w:val="006506D7"/>
    <w:rsid w:val="00650D18"/>
    <w:rsid w:val="00651BE8"/>
    <w:rsid w:val="00655BD8"/>
    <w:rsid w:val="00655CF1"/>
    <w:rsid w:val="00664ACE"/>
    <w:rsid w:val="00664D37"/>
    <w:rsid w:val="006667A0"/>
    <w:rsid w:val="00677EAB"/>
    <w:rsid w:val="00677EF9"/>
    <w:rsid w:val="0068413A"/>
    <w:rsid w:val="006859FE"/>
    <w:rsid w:val="00685CF4"/>
    <w:rsid w:val="00686FFE"/>
    <w:rsid w:val="00692050"/>
    <w:rsid w:val="006A1730"/>
    <w:rsid w:val="006B3D61"/>
    <w:rsid w:val="006B7350"/>
    <w:rsid w:val="006D6D23"/>
    <w:rsid w:val="006E344C"/>
    <w:rsid w:val="0070274C"/>
    <w:rsid w:val="00703F0E"/>
    <w:rsid w:val="007134F6"/>
    <w:rsid w:val="00723903"/>
    <w:rsid w:val="00725A81"/>
    <w:rsid w:val="00725B27"/>
    <w:rsid w:val="007278D8"/>
    <w:rsid w:val="00753A01"/>
    <w:rsid w:val="0075710B"/>
    <w:rsid w:val="00762D19"/>
    <w:rsid w:val="00767DDC"/>
    <w:rsid w:val="00774543"/>
    <w:rsid w:val="007867E9"/>
    <w:rsid w:val="007928DC"/>
    <w:rsid w:val="00792ECB"/>
    <w:rsid w:val="00796CA9"/>
    <w:rsid w:val="007A2374"/>
    <w:rsid w:val="007B0CAF"/>
    <w:rsid w:val="007B5513"/>
    <w:rsid w:val="007C2BEB"/>
    <w:rsid w:val="007D55AD"/>
    <w:rsid w:val="007D5CD0"/>
    <w:rsid w:val="00800002"/>
    <w:rsid w:val="00802B0C"/>
    <w:rsid w:val="00825787"/>
    <w:rsid w:val="00841634"/>
    <w:rsid w:val="00843A22"/>
    <w:rsid w:val="008607AC"/>
    <w:rsid w:val="00864E04"/>
    <w:rsid w:val="00864FE0"/>
    <w:rsid w:val="008719B7"/>
    <w:rsid w:val="00874623"/>
    <w:rsid w:val="0088293B"/>
    <w:rsid w:val="00891084"/>
    <w:rsid w:val="00893579"/>
    <w:rsid w:val="008A4E38"/>
    <w:rsid w:val="008A75C9"/>
    <w:rsid w:val="008B1C53"/>
    <w:rsid w:val="008B2AA9"/>
    <w:rsid w:val="008B70AA"/>
    <w:rsid w:val="008B7F2B"/>
    <w:rsid w:val="008C21BC"/>
    <w:rsid w:val="008C37B4"/>
    <w:rsid w:val="008C484E"/>
    <w:rsid w:val="008E243C"/>
    <w:rsid w:val="008E53DF"/>
    <w:rsid w:val="008E7422"/>
    <w:rsid w:val="008F079D"/>
    <w:rsid w:val="008F398F"/>
    <w:rsid w:val="00903E5A"/>
    <w:rsid w:val="00904B67"/>
    <w:rsid w:val="0091496F"/>
    <w:rsid w:val="00916CB4"/>
    <w:rsid w:val="00931A2E"/>
    <w:rsid w:val="00937F9E"/>
    <w:rsid w:val="009406D6"/>
    <w:rsid w:val="00945E4F"/>
    <w:rsid w:val="009478FC"/>
    <w:rsid w:val="00952E49"/>
    <w:rsid w:val="009530BC"/>
    <w:rsid w:val="00954A53"/>
    <w:rsid w:val="009621B7"/>
    <w:rsid w:val="009738B3"/>
    <w:rsid w:val="009809CE"/>
    <w:rsid w:val="00991EAB"/>
    <w:rsid w:val="009A3C43"/>
    <w:rsid w:val="009B0E66"/>
    <w:rsid w:val="009B0FC3"/>
    <w:rsid w:val="009C50C3"/>
    <w:rsid w:val="009C556C"/>
    <w:rsid w:val="009C6502"/>
    <w:rsid w:val="009E0904"/>
    <w:rsid w:val="009E402E"/>
    <w:rsid w:val="009F0C75"/>
    <w:rsid w:val="009F2F2B"/>
    <w:rsid w:val="00A000FB"/>
    <w:rsid w:val="00A07CF1"/>
    <w:rsid w:val="00A11E40"/>
    <w:rsid w:val="00A13032"/>
    <w:rsid w:val="00A16C02"/>
    <w:rsid w:val="00A24542"/>
    <w:rsid w:val="00A26B40"/>
    <w:rsid w:val="00A31C9D"/>
    <w:rsid w:val="00A33577"/>
    <w:rsid w:val="00A33A7D"/>
    <w:rsid w:val="00A34A22"/>
    <w:rsid w:val="00A37225"/>
    <w:rsid w:val="00A411FC"/>
    <w:rsid w:val="00A428A6"/>
    <w:rsid w:val="00A70C5E"/>
    <w:rsid w:val="00A754A1"/>
    <w:rsid w:val="00A80EDC"/>
    <w:rsid w:val="00A82CB4"/>
    <w:rsid w:val="00A854EB"/>
    <w:rsid w:val="00A952A5"/>
    <w:rsid w:val="00AB7971"/>
    <w:rsid w:val="00AC7F69"/>
    <w:rsid w:val="00AD0CE7"/>
    <w:rsid w:val="00AE36CC"/>
    <w:rsid w:val="00AE3873"/>
    <w:rsid w:val="00AF04C6"/>
    <w:rsid w:val="00B02D0F"/>
    <w:rsid w:val="00B03E13"/>
    <w:rsid w:val="00B0698A"/>
    <w:rsid w:val="00B12528"/>
    <w:rsid w:val="00B14355"/>
    <w:rsid w:val="00B22437"/>
    <w:rsid w:val="00B22BFD"/>
    <w:rsid w:val="00B23A72"/>
    <w:rsid w:val="00B24A03"/>
    <w:rsid w:val="00B24AEA"/>
    <w:rsid w:val="00B30ABB"/>
    <w:rsid w:val="00B32126"/>
    <w:rsid w:val="00B33E4F"/>
    <w:rsid w:val="00B365B8"/>
    <w:rsid w:val="00B45FA6"/>
    <w:rsid w:val="00B47728"/>
    <w:rsid w:val="00B520AA"/>
    <w:rsid w:val="00B53123"/>
    <w:rsid w:val="00B53C2F"/>
    <w:rsid w:val="00B63F55"/>
    <w:rsid w:val="00B646D4"/>
    <w:rsid w:val="00B72E0B"/>
    <w:rsid w:val="00B73D9F"/>
    <w:rsid w:val="00B7520A"/>
    <w:rsid w:val="00B75BFC"/>
    <w:rsid w:val="00B762B3"/>
    <w:rsid w:val="00B84C9E"/>
    <w:rsid w:val="00B85714"/>
    <w:rsid w:val="00B949D8"/>
    <w:rsid w:val="00BA5ECB"/>
    <w:rsid w:val="00BB27F3"/>
    <w:rsid w:val="00BC02C7"/>
    <w:rsid w:val="00BC76E1"/>
    <w:rsid w:val="00BD55C5"/>
    <w:rsid w:val="00BD6018"/>
    <w:rsid w:val="00BE4557"/>
    <w:rsid w:val="00BF1818"/>
    <w:rsid w:val="00BF691C"/>
    <w:rsid w:val="00C0454B"/>
    <w:rsid w:val="00C06146"/>
    <w:rsid w:val="00C06846"/>
    <w:rsid w:val="00C10282"/>
    <w:rsid w:val="00C11DD8"/>
    <w:rsid w:val="00C15B93"/>
    <w:rsid w:val="00C30F06"/>
    <w:rsid w:val="00C44621"/>
    <w:rsid w:val="00C520DE"/>
    <w:rsid w:val="00C61F4F"/>
    <w:rsid w:val="00C64532"/>
    <w:rsid w:val="00C658F8"/>
    <w:rsid w:val="00C7235E"/>
    <w:rsid w:val="00C72EA6"/>
    <w:rsid w:val="00C7473F"/>
    <w:rsid w:val="00C77275"/>
    <w:rsid w:val="00C82E85"/>
    <w:rsid w:val="00C97A13"/>
    <w:rsid w:val="00C97AC1"/>
    <w:rsid w:val="00CA6B9F"/>
    <w:rsid w:val="00CB52F8"/>
    <w:rsid w:val="00CC046B"/>
    <w:rsid w:val="00CC0C46"/>
    <w:rsid w:val="00CC0E89"/>
    <w:rsid w:val="00CC357F"/>
    <w:rsid w:val="00CC4173"/>
    <w:rsid w:val="00CF6610"/>
    <w:rsid w:val="00D0050B"/>
    <w:rsid w:val="00D149A6"/>
    <w:rsid w:val="00D17ED6"/>
    <w:rsid w:val="00D223A7"/>
    <w:rsid w:val="00D248D5"/>
    <w:rsid w:val="00D26C41"/>
    <w:rsid w:val="00D3087B"/>
    <w:rsid w:val="00D45351"/>
    <w:rsid w:val="00D45AED"/>
    <w:rsid w:val="00D47405"/>
    <w:rsid w:val="00D5609B"/>
    <w:rsid w:val="00D615A8"/>
    <w:rsid w:val="00D73714"/>
    <w:rsid w:val="00D7478F"/>
    <w:rsid w:val="00D8298C"/>
    <w:rsid w:val="00D86E07"/>
    <w:rsid w:val="00DA4C36"/>
    <w:rsid w:val="00DA676E"/>
    <w:rsid w:val="00DB0197"/>
    <w:rsid w:val="00DB50BA"/>
    <w:rsid w:val="00DC0B86"/>
    <w:rsid w:val="00DC236A"/>
    <w:rsid w:val="00DD1BC9"/>
    <w:rsid w:val="00DD310C"/>
    <w:rsid w:val="00DF5C22"/>
    <w:rsid w:val="00DF633F"/>
    <w:rsid w:val="00E0183F"/>
    <w:rsid w:val="00E03CA6"/>
    <w:rsid w:val="00E2425C"/>
    <w:rsid w:val="00E313B2"/>
    <w:rsid w:val="00E3463C"/>
    <w:rsid w:val="00E53AB2"/>
    <w:rsid w:val="00E64333"/>
    <w:rsid w:val="00E74197"/>
    <w:rsid w:val="00E94590"/>
    <w:rsid w:val="00EA27CE"/>
    <w:rsid w:val="00EA463F"/>
    <w:rsid w:val="00EA693A"/>
    <w:rsid w:val="00EA6CFE"/>
    <w:rsid w:val="00EB279C"/>
    <w:rsid w:val="00EC59A7"/>
    <w:rsid w:val="00ED036D"/>
    <w:rsid w:val="00ED05C2"/>
    <w:rsid w:val="00ED3C95"/>
    <w:rsid w:val="00EE0C58"/>
    <w:rsid w:val="00EE6B74"/>
    <w:rsid w:val="00EF1192"/>
    <w:rsid w:val="00EF3015"/>
    <w:rsid w:val="00EF741B"/>
    <w:rsid w:val="00F01FFF"/>
    <w:rsid w:val="00F04ACB"/>
    <w:rsid w:val="00F145EF"/>
    <w:rsid w:val="00F15601"/>
    <w:rsid w:val="00F2144B"/>
    <w:rsid w:val="00F43A98"/>
    <w:rsid w:val="00F4541E"/>
    <w:rsid w:val="00F661C3"/>
    <w:rsid w:val="00F70DE6"/>
    <w:rsid w:val="00F75A0D"/>
    <w:rsid w:val="00F75AEE"/>
    <w:rsid w:val="00F87890"/>
    <w:rsid w:val="00F90D1C"/>
    <w:rsid w:val="00FA3D1D"/>
    <w:rsid w:val="00FB0DCF"/>
    <w:rsid w:val="00FB2923"/>
    <w:rsid w:val="00FB386A"/>
    <w:rsid w:val="00FB3AC4"/>
    <w:rsid w:val="00FE22D2"/>
    <w:rsid w:val="00FF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15:chartTrackingRefBased/>
  <w15:docId w15:val="{53A13169-0D22-4F14-8AEF-1B31D14C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05C2"/>
    <w:pPr>
      <w:tabs>
        <w:tab w:val="center" w:pos="4153"/>
        <w:tab w:val="right" w:pos="8306"/>
      </w:tabs>
    </w:pPr>
  </w:style>
  <w:style w:type="paragraph" w:styleId="Footer">
    <w:name w:val="footer"/>
    <w:basedOn w:val="Normal"/>
    <w:link w:val="FooterChar"/>
    <w:uiPriority w:val="99"/>
    <w:rsid w:val="00ED05C2"/>
    <w:pPr>
      <w:tabs>
        <w:tab w:val="center" w:pos="4153"/>
        <w:tab w:val="right" w:pos="8306"/>
      </w:tabs>
    </w:pPr>
  </w:style>
  <w:style w:type="character" w:customStyle="1" w:styleId="FooterChar">
    <w:name w:val="Footer Char"/>
    <w:link w:val="Footer"/>
    <w:uiPriority w:val="99"/>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character" w:styleId="CommentReference">
    <w:name w:val="annotation reference"/>
    <w:rsid w:val="00753A01"/>
    <w:rPr>
      <w:sz w:val="16"/>
      <w:szCs w:val="16"/>
    </w:rPr>
  </w:style>
  <w:style w:type="paragraph" w:styleId="CommentText">
    <w:name w:val="annotation text"/>
    <w:basedOn w:val="Normal"/>
    <w:link w:val="CommentTextChar"/>
    <w:rsid w:val="00753A01"/>
    <w:rPr>
      <w:sz w:val="20"/>
      <w:szCs w:val="20"/>
    </w:rPr>
  </w:style>
  <w:style w:type="character" w:customStyle="1" w:styleId="CommentTextChar">
    <w:name w:val="Comment Text Char"/>
    <w:basedOn w:val="DefaultParagraphFont"/>
    <w:link w:val="CommentText"/>
    <w:rsid w:val="00753A01"/>
  </w:style>
  <w:style w:type="paragraph" w:styleId="CommentSubject">
    <w:name w:val="annotation subject"/>
    <w:basedOn w:val="CommentText"/>
    <w:next w:val="CommentText"/>
    <w:link w:val="CommentSubjectChar"/>
    <w:rsid w:val="00753A01"/>
    <w:rPr>
      <w:b/>
      <w:bCs/>
    </w:rPr>
  </w:style>
  <w:style w:type="character" w:customStyle="1" w:styleId="CommentSubjectChar">
    <w:name w:val="Comment Subject Char"/>
    <w:link w:val="CommentSubject"/>
    <w:rsid w:val="00753A01"/>
    <w:rPr>
      <w:b/>
      <w:bCs/>
    </w:rPr>
  </w:style>
  <w:style w:type="paragraph" w:styleId="Revision">
    <w:name w:val="Revision"/>
    <w:hidden/>
    <w:uiPriority w:val="71"/>
    <w:rsid w:val="00E64333"/>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remecourt.uk/decided-cases/index.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E8F66C-DD3B-4204-8BB6-B9154B88A0C3}">
  <ds:schemaRefs>
    <ds:schemaRef ds:uri="http://schemas.microsoft.com/sharepoint/v3/contenttype/forms"/>
  </ds:schemaRefs>
</ds:datastoreItem>
</file>

<file path=customXml/itemProps2.xml><?xml version="1.0" encoding="utf-8"?>
<ds:datastoreItem xmlns:ds="http://schemas.openxmlformats.org/officeDocument/2006/customXml" ds:itemID="{9F95640F-480F-4A64-920D-A9B8E9658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A6C7D-433D-4A77-B49D-B4A91F4EEF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Gordon (Appellant) v Scottish Criminal Cases Review Commission (Respondent) (Scotland)</vt:lpstr>
    </vt:vector>
  </TitlesOfParts>
  <Company>The Supreme Court (UKSC)</Company>
  <LinksUpToDate>false</LinksUpToDate>
  <CharactersWithSpaces>6762</CharactersWithSpaces>
  <SharedDoc>false</SharedDoc>
  <HLinks>
    <vt:vector size="6" baseType="variant">
      <vt:variant>
        <vt:i4>6553701</vt:i4>
      </vt:variant>
      <vt:variant>
        <vt:i4>0</vt:i4>
      </vt:variant>
      <vt:variant>
        <vt:i4>0</vt:i4>
      </vt:variant>
      <vt:variant>
        <vt:i4>5</vt:i4>
      </vt:variant>
      <vt:variant>
        <vt:lpwstr>http://supremecourt.uk/decided-cases/index.html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(Appellant) v Scottish Criminal Cases Review Commission (Respondent) (Scotland)</dc:title>
  <dc:subject>Judgment handed down on Wednesday 22 March 2017</dc:subject>
  <dc:creator>The Supreme Court (UKSC)</dc:creator>
  <cp:keywords>[2013] CSIH 101; UKSC 2015/0125; [2017] UKSC 20</cp:keywords>
  <dc:description/>
  <cp:lastModifiedBy>Jim</cp:lastModifiedBy>
  <cp:revision>2</cp:revision>
  <cp:lastPrinted>2014-03-10T11:19:00Z</cp:lastPrinted>
  <dcterms:created xsi:type="dcterms:W3CDTF">2023-04-05T18:17:00Z</dcterms:created>
  <dcterms:modified xsi:type="dcterms:W3CDTF">2023-04-05T18:17:00Z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0x0101000B97FE93F59FD64DAE4BD735315C56DA</vt:lpwstr>
  </property>
  <property fmtid="{D5CDD505-2E9C-101B-9397-08002B2CF9AE}" pid="3" name="CaseName">
    <vt:lpwstr>Gordon (Appellant) v Scottish Criminal Cases Review Commission (Respondent) (Scotland)</vt:lpwstr>
  </property>
  <property fmtid="{D5CDD505-2E9C-101B-9397-08002B2CF9AE}" pid="4" name="HandDownDate">
    <vt:lpwstr>22 March 2017</vt:lpwstr>
  </property>
  <property fmtid="{D5CDD505-2E9C-101B-9397-08002B2CF9AE}" pid="5" name="CaseID">
    <vt:lpwstr>22 March 2017</vt:lpwstr>
  </property>
  <property fmtid="{D5CDD505-2E9C-101B-9397-08002B2CF9AE}" pid="6" name="NeutralCitationNumber">
    <vt:lpwstr>[2017] UKSC 20</vt:lpwstr>
  </property>
</Properties>
</file>