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FD731" w14:textId="77777777" w:rsidR="0063622A" w:rsidRDefault="0063622A" w:rsidP="0063622A">
      <w:pPr>
        <w:jc w:val="center"/>
        <w:rPr>
          <w:rFonts w:ascii="Garamond" w:hAnsi="Garamond"/>
        </w:rPr>
      </w:pPr>
      <w:r w:rsidRPr="001C78CB">
        <w:rPr>
          <w:rFonts w:ascii="Garamond" w:hAnsi="Garamond"/>
          <w:noProof/>
        </w:rPr>
        <w:drawing>
          <wp:inline distT="0" distB="0" distL="0" distR="0" wp14:anchorId="22E9084D" wp14:editId="48380499">
            <wp:extent cx="1066800" cy="1428750"/>
            <wp:effectExtent l="0" t="0" r="0" b="0"/>
            <wp:docPr id="1" name="Picture 1" descr="UKSC logo" title="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p>
    <w:p w14:paraId="184F1FE9" w14:textId="77777777" w:rsidR="0063622A" w:rsidRPr="00A97444" w:rsidRDefault="00A9174D" w:rsidP="0063622A">
      <w:pPr>
        <w:tabs>
          <w:tab w:val="left" w:pos="8285"/>
        </w:tabs>
        <w:jc w:val="right"/>
        <w:rPr>
          <w:rFonts w:ascii="Garamond" w:hAnsi="Garamond"/>
          <w:b/>
        </w:rPr>
      </w:pPr>
      <w:r>
        <w:rPr>
          <w:rFonts w:ascii="Garamond" w:hAnsi="Garamond"/>
          <w:b/>
        </w:rPr>
        <w:t>1 March 2017</w:t>
      </w:r>
    </w:p>
    <w:p w14:paraId="2E87EE75" w14:textId="77777777" w:rsidR="0063622A" w:rsidRPr="00A97444" w:rsidRDefault="0063622A" w:rsidP="0063622A">
      <w:pPr>
        <w:tabs>
          <w:tab w:val="left" w:pos="8285"/>
        </w:tabs>
        <w:jc w:val="center"/>
        <w:rPr>
          <w:rFonts w:ascii="Garamond" w:hAnsi="Garamond"/>
          <w:b/>
        </w:rPr>
      </w:pPr>
      <w:r w:rsidRPr="00A97444">
        <w:rPr>
          <w:rFonts w:ascii="Garamond" w:hAnsi="Garamond"/>
          <w:b/>
        </w:rPr>
        <w:t>PRESS SUMMARY</w:t>
      </w:r>
    </w:p>
    <w:p w14:paraId="2FD3DCEA" w14:textId="77777777" w:rsidR="0063622A" w:rsidRPr="00A97444" w:rsidRDefault="0063622A" w:rsidP="0063622A">
      <w:pPr>
        <w:tabs>
          <w:tab w:val="left" w:pos="8285"/>
        </w:tabs>
        <w:rPr>
          <w:rFonts w:ascii="Garamond" w:hAnsi="Garamond"/>
          <w:b/>
        </w:rPr>
      </w:pPr>
    </w:p>
    <w:p w14:paraId="6DCED1C0" w14:textId="2012F4C2" w:rsidR="0063622A" w:rsidRPr="00A97444" w:rsidRDefault="00A9174D" w:rsidP="0063622A">
      <w:pPr>
        <w:tabs>
          <w:tab w:val="left" w:pos="8285"/>
        </w:tabs>
        <w:rPr>
          <w:rFonts w:ascii="Garamond" w:hAnsi="Garamond"/>
          <w:b/>
        </w:rPr>
      </w:pPr>
      <w:r>
        <w:rPr>
          <w:rFonts w:ascii="Garamond" w:hAnsi="Garamond"/>
          <w:b/>
        </w:rPr>
        <w:t xml:space="preserve">IPCO (Nigeria) Limited </w:t>
      </w:r>
      <w:r w:rsidR="0063622A">
        <w:rPr>
          <w:rFonts w:ascii="Garamond" w:hAnsi="Garamond"/>
          <w:b/>
        </w:rPr>
        <w:t>(</w:t>
      </w:r>
      <w:r>
        <w:rPr>
          <w:rFonts w:ascii="Garamond" w:hAnsi="Garamond"/>
          <w:b/>
        </w:rPr>
        <w:t>Respondent</w:t>
      </w:r>
      <w:r w:rsidR="0063622A">
        <w:rPr>
          <w:rFonts w:ascii="Garamond" w:hAnsi="Garamond"/>
          <w:b/>
        </w:rPr>
        <w:t xml:space="preserve">) </w:t>
      </w:r>
      <w:r w:rsidR="0063622A" w:rsidRPr="00A97444">
        <w:rPr>
          <w:rFonts w:ascii="Garamond" w:hAnsi="Garamond"/>
          <w:b/>
        </w:rPr>
        <w:t xml:space="preserve">v </w:t>
      </w:r>
      <w:r>
        <w:rPr>
          <w:rFonts w:ascii="Garamond" w:hAnsi="Garamond"/>
          <w:b/>
        </w:rPr>
        <w:t>Nigeria</w:t>
      </w:r>
      <w:r w:rsidR="00082D78">
        <w:rPr>
          <w:rFonts w:ascii="Garamond" w:hAnsi="Garamond"/>
          <w:b/>
        </w:rPr>
        <w:t>n</w:t>
      </w:r>
      <w:r>
        <w:rPr>
          <w:rFonts w:ascii="Garamond" w:hAnsi="Garamond"/>
          <w:b/>
        </w:rPr>
        <w:t xml:space="preserve"> National Petroleum Corporation </w:t>
      </w:r>
      <w:r w:rsidR="0063622A">
        <w:rPr>
          <w:rFonts w:ascii="Garamond" w:hAnsi="Garamond"/>
          <w:b/>
        </w:rPr>
        <w:t>(</w:t>
      </w:r>
      <w:r>
        <w:rPr>
          <w:rFonts w:ascii="Garamond" w:hAnsi="Garamond"/>
          <w:b/>
        </w:rPr>
        <w:t>Appellant</w:t>
      </w:r>
      <w:r w:rsidR="00387C86">
        <w:rPr>
          <w:rFonts w:ascii="Garamond" w:hAnsi="Garamond"/>
          <w:b/>
        </w:rPr>
        <w:t xml:space="preserve">) </w:t>
      </w:r>
      <w:r>
        <w:rPr>
          <w:rFonts w:ascii="Garamond" w:hAnsi="Garamond"/>
          <w:b/>
        </w:rPr>
        <w:t>[2017</w:t>
      </w:r>
      <w:r w:rsidR="0063622A">
        <w:rPr>
          <w:rFonts w:ascii="Garamond" w:hAnsi="Garamond"/>
          <w:b/>
        </w:rPr>
        <w:t>] UKSC</w:t>
      </w:r>
      <w:r>
        <w:rPr>
          <w:rFonts w:ascii="Garamond" w:hAnsi="Garamond"/>
          <w:b/>
        </w:rPr>
        <w:t xml:space="preserve"> 16</w:t>
      </w:r>
      <w:r w:rsidR="0063622A">
        <w:rPr>
          <w:rFonts w:ascii="Garamond" w:hAnsi="Garamond"/>
          <w:b/>
        </w:rPr>
        <w:t xml:space="preserve"> </w:t>
      </w:r>
    </w:p>
    <w:p w14:paraId="32519D4D" w14:textId="77777777" w:rsidR="0063622A" w:rsidRPr="00A97444" w:rsidRDefault="0063622A" w:rsidP="0063622A">
      <w:pPr>
        <w:tabs>
          <w:tab w:val="left" w:pos="8285"/>
        </w:tabs>
        <w:rPr>
          <w:rFonts w:ascii="Garamond" w:hAnsi="Garamond"/>
          <w:b/>
          <w:i/>
        </w:rPr>
      </w:pPr>
      <w:r>
        <w:rPr>
          <w:rFonts w:ascii="Garamond" w:hAnsi="Garamond"/>
          <w:b/>
          <w:i/>
        </w:rPr>
        <w:t xml:space="preserve">On appeal from </w:t>
      </w:r>
      <w:r w:rsidR="00A9174D">
        <w:rPr>
          <w:rFonts w:ascii="Garamond" w:hAnsi="Garamond"/>
          <w:b/>
          <w:i/>
        </w:rPr>
        <w:t>[2015] EWCA Civ 1144 and 1145</w:t>
      </w:r>
    </w:p>
    <w:p w14:paraId="000C51D7" w14:textId="77777777" w:rsidR="0063622A" w:rsidRDefault="0063622A" w:rsidP="0063622A">
      <w:pPr>
        <w:tabs>
          <w:tab w:val="left" w:pos="8285"/>
        </w:tabs>
        <w:rPr>
          <w:rFonts w:ascii="Garamond" w:hAnsi="Garamond"/>
        </w:rPr>
      </w:pPr>
    </w:p>
    <w:p w14:paraId="73AC67CA" w14:textId="77777777" w:rsidR="0063622A" w:rsidRDefault="0063622A" w:rsidP="00A9174D">
      <w:pPr>
        <w:tabs>
          <w:tab w:val="left" w:pos="8285"/>
        </w:tabs>
        <w:jc w:val="both"/>
        <w:rPr>
          <w:rFonts w:ascii="Garamond" w:hAnsi="Garamond"/>
        </w:rPr>
      </w:pPr>
      <w:r w:rsidRPr="00A97444">
        <w:rPr>
          <w:rFonts w:ascii="Garamond" w:hAnsi="Garamond"/>
          <w:b/>
        </w:rPr>
        <w:t>JUSTICES</w:t>
      </w:r>
      <w:r>
        <w:rPr>
          <w:rFonts w:ascii="Garamond" w:hAnsi="Garamond"/>
        </w:rPr>
        <w:t xml:space="preserve">: </w:t>
      </w:r>
      <w:r w:rsidR="00A9174D">
        <w:rPr>
          <w:rFonts w:ascii="Garamond" w:hAnsi="Garamond"/>
        </w:rPr>
        <w:t>Lord Mance, Lord Clarke, Lord Sumption, Lord Hodge, Lord Toulson</w:t>
      </w:r>
    </w:p>
    <w:p w14:paraId="3816A38D" w14:textId="77777777" w:rsidR="0063622A" w:rsidRDefault="0063622A" w:rsidP="00A9174D">
      <w:pPr>
        <w:tabs>
          <w:tab w:val="left" w:pos="8285"/>
        </w:tabs>
        <w:jc w:val="both"/>
        <w:rPr>
          <w:rFonts w:ascii="Garamond" w:hAnsi="Garamond"/>
        </w:rPr>
      </w:pPr>
      <w:bookmarkStart w:id="0" w:name="_GoBack"/>
      <w:bookmarkEnd w:id="0"/>
    </w:p>
    <w:p w14:paraId="578D2061" w14:textId="77777777" w:rsidR="0063622A" w:rsidRDefault="0063622A" w:rsidP="00A9174D">
      <w:pPr>
        <w:tabs>
          <w:tab w:val="left" w:pos="8285"/>
        </w:tabs>
        <w:jc w:val="both"/>
        <w:rPr>
          <w:rFonts w:ascii="Garamond" w:hAnsi="Garamond"/>
          <w:b/>
        </w:rPr>
      </w:pPr>
      <w:r w:rsidRPr="00A97444">
        <w:rPr>
          <w:rFonts w:ascii="Garamond" w:hAnsi="Garamond"/>
          <w:b/>
        </w:rPr>
        <w:t>BACKGROUND TO THE APPEAL</w:t>
      </w:r>
    </w:p>
    <w:p w14:paraId="5C200001" w14:textId="77777777" w:rsidR="003B5389" w:rsidRDefault="003B5389" w:rsidP="00A9174D">
      <w:pPr>
        <w:tabs>
          <w:tab w:val="left" w:pos="8285"/>
        </w:tabs>
        <w:jc w:val="both"/>
        <w:rPr>
          <w:rFonts w:ascii="Garamond" w:hAnsi="Garamond"/>
          <w:b/>
        </w:rPr>
      </w:pPr>
    </w:p>
    <w:p w14:paraId="52AD0D3D" w14:textId="0740F066" w:rsidR="00387C86" w:rsidRDefault="00387C86" w:rsidP="00387C86">
      <w:pPr>
        <w:tabs>
          <w:tab w:val="left" w:pos="8285"/>
        </w:tabs>
        <w:jc w:val="both"/>
        <w:rPr>
          <w:rFonts w:ascii="Garamond" w:hAnsi="Garamond"/>
        </w:rPr>
      </w:pPr>
      <w:r>
        <w:rPr>
          <w:rFonts w:ascii="Garamond" w:hAnsi="Garamond"/>
        </w:rPr>
        <w:t xml:space="preserve">This appeal concerns the enforcement </w:t>
      </w:r>
      <w:r w:rsidR="006F068B">
        <w:rPr>
          <w:rFonts w:ascii="Garamond" w:hAnsi="Garamond"/>
        </w:rPr>
        <w:t xml:space="preserve">in England </w:t>
      </w:r>
      <w:r>
        <w:rPr>
          <w:rFonts w:ascii="Garamond" w:hAnsi="Garamond"/>
        </w:rPr>
        <w:t>of a Nigerian arbitration award dated 28 October 2004 for US</w:t>
      </w:r>
      <w:r w:rsidR="000142C6">
        <w:rPr>
          <w:rFonts w:ascii="Garamond" w:hAnsi="Garamond"/>
        </w:rPr>
        <w:t xml:space="preserve">D </w:t>
      </w:r>
      <w:r>
        <w:rPr>
          <w:rFonts w:ascii="Garamond" w:hAnsi="Garamond"/>
        </w:rPr>
        <w:t xml:space="preserve">152,195,971 plus </w:t>
      </w:r>
      <w:r w:rsidR="00C26FF2">
        <w:rPr>
          <w:rFonts w:ascii="Garamond" w:hAnsi="Garamond"/>
        </w:rPr>
        <w:t>5</w:t>
      </w:r>
      <w:r w:rsidR="000142C6">
        <w:rPr>
          <w:rFonts w:ascii="Garamond" w:hAnsi="Garamond"/>
        </w:rPr>
        <w:t xml:space="preserve">m </w:t>
      </w:r>
      <w:r w:rsidR="00C26FF2">
        <w:rPr>
          <w:rFonts w:ascii="Garamond" w:hAnsi="Garamond"/>
        </w:rPr>
        <w:t>Nigerian Naira</w:t>
      </w:r>
      <w:r>
        <w:rPr>
          <w:rFonts w:ascii="Garamond" w:hAnsi="Garamond"/>
        </w:rPr>
        <w:t xml:space="preserve"> in respect of a contract by which </w:t>
      </w:r>
      <w:r w:rsidR="004561A0">
        <w:rPr>
          <w:rFonts w:ascii="Garamond" w:hAnsi="Garamond"/>
        </w:rPr>
        <w:t xml:space="preserve">IPCO (Nigeria) Limited (“IPCO”) undertook to design and construct a petroleum export terminal for Nigerian National Petroleum Corporation (“NNPC”). </w:t>
      </w:r>
      <w:r w:rsidR="006F068B">
        <w:rPr>
          <w:rFonts w:ascii="Garamond" w:hAnsi="Garamond"/>
        </w:rPr>
        <w:t xml:space="preserve">The award is subject to still outstanding challenges by NNPC in </w:t>
      </w:r>
      <w:r w:rsidR="006F068B" w:rsidRPr="00DC43AF">
        <w:rPr>
          <w:rFonts w:ascii="Garamond" w:hAnsi="Garamond"/>
        </w:rPr>
        <w:t>Nigeria, initially for what have been called “non-fraud reasons” and</w:t>
      </w:r>
      <w:r w:rsidR="006F068B">
        <w:rPr>
          <w:rFonts w:ascii="Garamond" w:hAnsi="Garamond"/>
        </w:rPr>
        <w:t>,</w:t>
      </w:r>
      <w:r w:rsidR="006F068B" w:rsidRPr="00DC43AF">
        <w:rPr>
          <w:rFonts w:ascii="Garamond" w:hAnsi="Garamond"/>
        </w:rPr>
        <w:t xml:space="preserve"> from 27 March 2009, </w:t>
      </w:r>
      <w:r w:rsidR="006F068B">
        <w:rPr>
          <w:rFonts w:ascii="Garamond" w:hAnsi="Garamond"/>
        </w:rPr>
        <w:t xml:space="preserve">for alleged </w:t>
      </w:r>
      <w:r w:rsidR="006F068B" w:rsidRPr="00DC43AF">
        <w:rPr>
          <w:rFonts w:ascii="Garamond" w:hAnsi="Garamond"/>
        </w:rPr>
        <w:t>fraud in</w:t>
      </w:r>
      <w:r w:rsidR="006F068B">
        <w:rPr>
          <w:rFonts w:ascii="Garamond" w:hAnsi="Garamond"/>
        </w:rPr>
        <w:t xml:space="preserve"> relation to IPCO’s presentation of </w:t>
      </w:r>
      <w:r w:rsidR="006F068B" w:rsidRPr="00DC43AF">
        <w:rPr>
          <w:rFonts w:ascii="Garamond" w:hAnsi="Garamond"/>
        </w:rPr>
        <w:t xml:space="preserve">its claim. </w:t>
      </w:r>
      <w:r>
        <w:rPr>
          <w:rFonts w:ascii="Garamond" w:hAnsi="Garamond"/>
        </w:rPr>
        <w:t xml:space="preserve">The issue </w:t>
      </w:r>
      <w:r w:rsidR="006F068B">
        <w:rPr>
          <w:rFonts w:ascii="Garamond" w:hAnsi="Garamond"/>
        </w:rPr>
        <w:t xml:space="preserve">before the Court </w:t>
      </w:r>
      <w:r>
        <w:rPr>
          <w:rFonts w:ascii="Garamond" w:hAnsi="Garamond"/>
        </w:rPr>
        <w:t>is whether the appellant, NNPC, should have to put up a further US</w:t>
      </w:r>
      <w:r w:rsidR="000142C6">
        <w:rPr>
          <w:rFonts w:ascii="Garamond" w:hAnsi="Garamond"/>
        </w:rPr>
        <w:t xml:space="preserve">D </w:t>
      </w:r>
      <w:r>
        <w:rPr>
          <w:rFonts w:ascii="Garamond" w:hAnsi="Garamond"/>
        </w:rPr>
        <w:t>100</w:t>
      </w:r>
      <w:r w:rsidR="000142C6">
        <w:rPr>
          <w:rFonts w:ascii="Garamond" w:hAnsi="Garamond"/>
        </w:rPr>
        <w:t xml:space="preserve">m </w:t>
      </w:r>
      <w:r>
        <w:rPr>
          <w:rFonts w:ascii="Garamond" w:hAnsi="Garamond"/>
        </w:rPr>
        <w:t xml:space="preserve">security in </w:t>
      </w:r>
      <w:r w:rsidR="002A2A3E">
        <w:rPr>
          <w:rFonts w:ascii="Garamond" w:hAnsi="Garamond"/>
        </w:rPr>
        <w:t xml:space="preserve">the English </w:t>
      </w:r>
      <w:r>
        <w:rPr>
          <w:rFonts w:ascii="Garamond" w:hAnsi="Garamond"/>
        </w:rPr>
        <w:t>enforce</w:t>
      </w:r>
      <w:r w:rsidR="002A2A3E">
        <w:rPr>
          <w:rFonts w:ascii="Garamond" w:hAnsi="Garamond"/>
        </w:rPr>
        <w:t>ment proceedings</w:t>
      </w:r>
      <w:r>
        <w:rPr>
          <w:rFonts w:ascii="Garamond" w:hAnsi="Garamond"/>
        </w:rPr>
        <w:t xml:space="preserve">. </w:t>
      </w:r>
    </w:p>
    <w:p w14:paraId="53E1C60F" w14:textId="77777777" w:rsidR="00387C86" w:rsidRDefault="00387C86" w:rsidP="00387C86">
      <w:pPr>
        <w:tabs>
          <w:tab w:val="left" w:pos="8285"/>
        </w:tabs>
        <w:jc w:val="both"/>
        <w:rPr>
          <w:rFonts w:ascii="Garamond" w:hAnsi="Garamond"/>
        </w:rPr>
      </w:pPr>
    </w:p>
    <w:p w14:paraId="04932C7E" w14:textId="3D470B56" w:rsidR="00CB554F" w:rsidRDefault="00851A91" w:rsidP="00DC43AF">
      <w:pPr>
        <w:tabs>
          <w:tab w:val="left" w:pos="8285"/>
        </w:tabs>
        <w:jc w:val="both"/>
        <w:rPr>
          <w:rFonts w:ascii="Garamond" w:hAnsi="Garamond"/>
        </w:rPr>
      </w:pPr>
      <w:r>
        <w:rPr>
          <w:rFonts w:ascii="Garamond" w:hAnsi="Garamond"/>
        </w:rPr>
        <w:t xml:space="preserve">An ex parte order for enforcement made by Steel J on 29 November 2004 </w:t>
      </w:r>
      <w:r w:rsidR="002A2A3E">
        <w:rPr>
          <w:rFonts w:ascii="Garamond" w:hAnsi="Garamond"/>
        </w:rPr>
        <w:t xml:space="preserve">led to </w:t>
      </w:r>
      <w:r>
        <w:rPr>
          <w:rFonts w:ascii="Garamond" w:hAnsi="Garamond"/>
        </w:rPr>
        <w:t xml:space="preserve">an application by NNPC to set aside under </w:t>
      </w:r>
      <w:r w:rsidR="000142C6">
        <w:rPr>
          <w:rFonts w:ascii="Garamond" w:hAnsi="Garamond"/>
        </w:rPr>
        <w:t>ss.</w:t>
      </w:r>
      <w:r>
        <w:rPr>
          <w:rFonts w:ascii="Garamond" w:hAnsi="Garamond"/>
        </w:rPr>
        <w:t>103(2)(f) and 103(3)</w:t>
      </w:r>
      <w:r w:rsidR="00E34FD4">
        <w:rPr>
          <w:rFonts w:ascii="Garamond" w:hAnsi="Garamond"/>
        </w:rPr>
        <w:t xml:space="preserve"> or, alternatively, for enforcement to be adjourned under </w:t>
      </w:r>
      <w:r w:rsidR="000142C6">
        <w:rPr>
          <w:rFonts w:ascii="Garamond" w:hAnsi="Garamond"/>
        </w:rPr>
        <w:t>s.</w:t>
      </w:r>
      <w:r w:rsidR="00E34FD4">
        <w:rPr>
          <w:rFonts w:ascii="Garamond" w:hAnsi="Garamond"/>
        </w:rPr>
        <w:t>103(5), of the Arbitration Act 1996</w:t>
      </w:r>
      <w:r w:rsidR="000142C6">
        <w:rPr>
          <w:rFonts w:ascii="Garamond" w:hAnsi="Garamond"/>
        </w:rPr>
        <w:t xml:space="preserve"> (“the 1996 Act”)</w:t>
      </w:r>
      <w:r w:rsidR="00AD1B0D">
        <w:rPr>
          <w:rFonts w:ascii="Garamond" w:hAnsi="Garamond"/>
        </w:rPr>
        <w:t>.</w:t>
      </w:r>
      <w:r w:rsidR="00E34FD4">
        <w:rPr>
          <w:rFonts w:ascii="Garamond" w:hAnsi="Garamond"/>
        </w:rPr>
        <w:t xml:space="preserve"> On 27 April 2005, Gross J ordered that e</w:t>
      </w:r>
      <w:r w:rsidR="00F8405C" w:rsidRPr="00DC43AF">
        <w:rPr>
          <w:rFonts w:ascii="Garamond" w:hAnsi="Garamond"/>
        </w:rPr>
        <w:t xml:space="preserve">nforcement </w:t>
      </w:r>
      <w:r w:rsidR="00E34FD4">
        <w:rPr>
          <w:rFonts w:ascii="Garamond" w:hAnsi="Garamond"/>
        </w:rPr>
        <w:t xml:space="preserve">be </w:t>
      </w:r>
      <w:r w:rsidR="00F8405C" w:rsidRPr="00DC43AF">
        <w:rPr>
          <w:rFonts w:ascii="Garamond" w:hAnsi="Garamond"/>
        </w:rPr>
        <w:t xml:space="preserve">adjourned pending resolution </w:t>
      </w:r>
      <w:r w:rsidR="00E34FD4">
        <w:rPr>
          <w:rFonts w:ascii="Garamond" w:hAnsi="Garamond"/>
        </w:rPr>
        <w:t xml:space="preserve">in Nigeria </w:t>
      </w:r>
      <w:r w:rsidR="00F8405C" w:rsidRPr="00DC43AF">
        <w:rPr>
          <w:rFonts w:ascii="Garamond" w:hAnsi="Garamond"/>
        </w:rPr>
        <w:t>of the non-fraud challenges</w:t>
      </w:r>
      <w:r w:rsidR="00E34FD4">
        <w:rPr>
          <w:rFonts w:ascii="Garamond" w:hAnsi="Garamond"/>
        </w:rPr>
        <w:t>,</w:t>
      </w:r>
      <w:r w:rsidR="00F8405C" w:rsidRPr="00DC43AF">
        <w:rPr>
          <w:rFonts w:ascii="Garamond" w:hAnsi="Garamond"/>
        </w:rPr>
        <w:t xml:space="preserve"> conditional on NNPC </w:t>
      </w:r>
      <w:r w:rsidR="00E34FD4">
        <w:rPr>
          <w:rFonts w:ascii="Garamond" w:hAnsi="Garamond"/>
        </w:rPr>
        <w:t xml:space="preserve">(i) </w:t>
      </w:r>
      <w:r w:rsidR="00DC43AF" w:rsidRPr="00DC43AF">
        <w:rPr>
          <w:rFonts w:ascii="Garamond" w:hAnsi="Garamond"/>
        </w:rPr>
        <w:t>paying IPCO</w:t>
      </w:r>
      <w:r w:rsidR="00E34FD4">
        <w:rPr>
          <w:rFonts w:ascii="Garamond" w:hAnsi="Garamond"/>
        </w:rPr>
        <w:t xml:space="preserve"> </w:t>
      </w:r>
      <w:r w:rsidR="00DC43AF" w:rsidRPr="00DC43AF">
        <w:rPr>
          <w:rFonts w:ascii="Garamond" w:hAnsi="Garamond"/>
        </w:rPr>
        <w:t>US</w:t>
      </w:r>
      <w:r w:rsidR="000142C6">
        <w:rPr>
          <w:rFonts w:ascii="Garamond" w:hAnsi="Garamond"/>
        </w:rPr>
        <w:t xml:space="preserve">D </w:t>
      </w:r>
      <w:r w:rsidR="00DC43AF" w:rsidRPr="00DC43AF">
        <w:rPr>
          <w:rFonts w:ascii="Garamond" w:hAnsi="Garamond"/>
        </w:rPr>
        <w:t>13.1</w:t>
      </w:r>
      <w:r w:rsidR="000142C6">
        <w:rPr>
          <w:rFonts w:ascii="Garamond" w:hAnsi="Garamond"/>
        </w:rPr>
        <w:t xml:space="preserve">m </w:t>
      </w:r>
      <w:r w:rsidR="00DC43AF" w:rsidRPr="00DC43AF">
        <w:rPr>
          <w:rFonts w:ascii="Garamond" w:hAnsi="Garamond"/>
        </w:rPr>
        <w:t xml:space="preserve">and (ii) </w:t>
      </w:r>
      <w:r w:rsidR="00E34FD4">
        <w:rPr>
          <w:rFonts w:ascii="Garamond" w:hAnsi="Garamond"/>
        </w:rPr>
        <w:t xml:space="preserve">putting up </w:t>
      </w:r>
      <w:r w:rsidR="00F8405C" w:rsidRPr="00DC43AF">
        <w:rPr>
          <w:rFonts w:ascii="Garamond" w:hAnsi="Garamond"/>
        </w:rPr>
        <w:t>security of US</w:t>
      </w:r>
      <w:r w:rsidR="000142C6">
        <w:rPr>
          <w:rFonts w:ascii="Garamond" w:hAnsi="Garamond"/>
        </w:rPr>
        <w:t>D</w:t>
      </w:r>
      <w:r w:rsidR="00F8405C" w:rsidRPr="00DC43AF">
        <w:rPr>
          <w:rFonts w:ascii="Garamond" w:hAnsi="Garamond"/>
        </w:rPr>
        <w:t xml:space="preserve"> 50</w:t>
      </w:r>
      <w:r w:rsidR="000142C6">
        <w:rPr>
          <w:rFonts w:ascii="Garamond" w:hAnsi="Garamond"/>
        </w:rPr>
        <w:t xml:space="preserve">m </w:t>
      </w:r>
      <w:r w:rsidR="00E34FD4">
        <w:rPr>
          <w:rFonts w:ascii="Garamond" w:hAnsi="Garamond"/>
        </w:rPr>
        <w:t xml:space="preserve">under </w:t>
      </w:r>
      <w:r w:rsidR="000142C6">
        <w:rPr>
          <w:rFonts w:ascii="Garamond" w:hAnsi="Garamond"/>
        </w:rPr>
        <w:t>s.</w:t>
      </w:r>
      <w:r w:rsidR="00E34FD4">
        <w:rPr>
          <w:rFonts w:ascii="Garamond" w:hAnsi="Garamond"/>
        </w:rPr>
        <w:t>103(5)</w:t>
      </w:r>
      <w:r w:rsidR="00F8405C" w:rsidRPr="00DC43AF">
        <w:rPr>
          <w:rFonts w:ascii="Garamond" w:hAnsi="Garamond"/>
        </w:rPr>
        <w:t xml:space="preserve">. </w:t>
      </w:r>
      <w:r w:rsidR="00E86B62">
        <w:rPr>
          <w:rFonts w:ascii="Garamond" w:hAnsi="Garamond"/>
        </w:rPr>
        <w:t xml:space="preserve">Following a further application for enforcement </w:t>
      </w:r>
      <w:r w:rsidR="006F068B">
        <w:rPr>
          <w:rFonts w:ascii="Garamond" w:hAnsi="Garamond"/>
        </w:rPr>
        <w:t xml:space="preserve">based on the </w:t>
      </w:r>
      <w:r w:rsidR="00E86B62">
        <w:rPr>
          <w:rFonts w:ascii="Garamond" w:hAnsi="Garamond"/>
        </w:rPr>
        <w:t xml:space="preserve">delay in the Nigerian proceedings, and further orders including </w:t>
      </w:r>
      <w:r w:rsidR="002A2A3E">
        <w:rPr>
          <w:rFonts w:ascii="Garamond" w:hAnsi="Garamond"/>
        </w:rPr>
        <w:t xml:space="preserve">one </w:t>
      </w:r>
      <w:r w:rsidR="00CB554F">
        <w:rPr>
          <w:rFonts w:ascii="Garamond" w:hAnsi="Garamond"/>
        </w:rPr>
        <w:t xml:space="preserve">under which </w:t>
      </w:r>
      <w:r w:rsidR="00E86B62">
        <w:rPr>
          <w:rFonts w:ascii="Garamond" w:hAnsi="Garamond"/>
        </w:rPr>
        <w:t>a further US</w:t>
      </w:r>
      <w:r w:rsidR="000142C6">
        <w:rPr>
          <w:rFonts w:ascii="Garamond" w:hAnsi="Garamond"/>
        </w:rPr>
        <w:t>D</w:t>
      </w:r>
      <w:r w:rsidR="00E86B62">
        <w:rPr>
          <w:rFonts w:ascii="Garamond" w:hAnsi="Garamond"/>
        </w:rPr>
        <w:t xml:space="preserve"> 30</w:t>
      </w:r>
      <w:r w:rsidR="000142C6">
        <w:rPr>
          <w:rFonts w:ascii="Garamond" w:hAnsi="Garamond"/>
        </w:rPr>
        <w:t xml:space="preserve">m </w:t>
      </w:r>
      <w:r w:rsidR="00CB554F">
        <w:rPr>
          <w:rFonts w:ascii="Garamond" w:hAnsi="Garamond"/>
        </w:rPr>
        <w:t>was provided by way of security</w:t>
      </w:r>
      <w:r w:rsidR="00E86B62">
        <w:rPr>
          <w:rFonts w:ascii="Garamond" w:hAnsi="Garamond"/>
        </w:rPr>
        <w:t xml:space="preserve">, </w:t>
      </w:r>
      <w:r w:rsidR="00CB554F">
        <w:rPr>
          <w:rFonts w:ascii="Garamond" w:hAnsi="Garamond"/>
        </w:rPr>
        <w:t>NNPC applied in Nigeria to raise the fraud challenge</w:t>
      </w:r>
      <w:r w:rsidR="002A2A3E">
        <w:rPr>
          <w:rFonts w:ascii="Garamond" w:hAnsi="Garamond"/>
        </w:rPr>
        <w:t xml:space="preserve">. A </w:t>
      </w:r>
      <w:r w:rsidR="00CB554F">
        <w:rPr>
          <w:rFonts w:ascii="Garamond" w:hAnsi="Garamond"/>
        </w:rPr>
        <w:t xml:space="preserve">consent order dated 17 June 2009 was </w:t>
      </w:r>
      <w:r w:rsidR="002A2A3E">
        <w:rPr>
          <w:rFonts w:ascii="Garamond" w:hAnsi="Garamond"/>
        </w:rPr>
        <w:t xml:space="preserve">then </w:t>
      </w:r>
      <w:r w:rsidR="00CB554F">
        <w:rPr>
          <w:rFonts w:ascii="Garamond" w:hAnsi="Garamond"/>
        </w:rPr>
        <w:t xml:space="preserve">made in the English proceedings whereby the decision on enforcement was further adjourned under </w:t>
      </w:r>
      <w:r w:rsidR="000142C6">
        <w:rPr>
          <w:rFonts w:ascii="Garamond" w:hAnsi="Garamond"/>
        </w:rPr>
        <w:t>s.</w:t>
      </w:r>
      <w:r w:rsidR="00CB554F">
        <w:rPr>
          <w:rFonts w:ascii="Garamond" w:hAnsi="Garamond"/>
        </w:rPr>
        <w:t>103(5), upon NNPC undertaking to maintain the security of US</w:t>
      </w:r>
      <w:r w:rsidR="000142C6">
        <w:rPr>
          <w:rFonts w:ascii="Garamond" w:hAnsi="Garamond"/>
        </w:rPr>
        <w:t>D</w:t>
      </w:r>
      <w:r w:rsidR="00CB554F">
        <w:rPr>
          <w:rFonts w:ascii="Garamond" w:hAnsi="Garamond"/>
        </w:rPr>
        <w:t xml:space="preserve"> 80</w:t>
      </w:r>
      <w:r w:rsidR="000142C6">
        <w:rPr>
          <w:rFonts w:ascii="Garamond" w:hAnsi="Garamond"/>
        </w:rPr>
        <w:t xml:space="preserve">m </w:t>
      </w:r>
      <w:r w:rsidR="002A2A3E">
        <w:rPr>
          <w:rFonts w:ascii="Garamond" w:hAnsi="Garamond"/>
        </w:rPr>
        <w:t xml:space="preserve">thus </w:t>
      </w:r>
      <w:r w:rsidR="00CB554F">
        <w:rPr>
          <w:rFonts w:ascii="Garamond" w:hAnsi="Garamond"/>
        </w:rPr>
        <w:t xml:space="preserve">far provided until further order. </w:t>
      </w:r>
    </w:p>
    <w:p w14:paraId="3A57E32C" w14:textId="77777777" w:rsidR="00CB554F" w:rsidRDefault="00CB554F" w:rsidP="00DC43AF">
      <w:pPr>
        <w:tabs>
          <w:tab w:val="left" w:pos="8285"/>
        </w:tabs>
        <w:jc w:val="both"/>
        <w:rPr>
          <w:rFonts w:ascii="Garamond" w:hAnsi="Garamond"/>
        </w:rPr>
      </w:pPr>
    </w:p>
    <w:p w14:paraId="177812AE" w14:textId="58E7A55D" w:rsidR="00DC43AF" w:rsidRPr="00DC43AF" w:rsidRDefault="00CB554F" w:rsidP="00DC43AF">
      <w:pPr>
        <w:tabs>
          <w:tab w:val="left" w:pos="8285"/>
        </w:tabs>
        <w:jc w:val="both"/>
        <w:rPr>
          <w:rFonts w:ascii="Garamond" w:hAnsi="Garamond"/>
        </w:rPr>
      </w:pPr>
      <w:r>
        <w:rPr>
          <w:rFonts w:ascii="Garamond" w:hAnsi="Garamond"/>
        </w:rPr>
        <w:t xml:space="preserve">On 24 July 2012, </w:t>
      </w:r>
      <w:r w:rsidR="00DC43AF" w:rsidRPr="00DC43AF">
        <w:rPr>
          <w:rFonts w:ascii="Garamond" w:hAnsi="Garamond"/>
        </w:rPr>
        <w:t xml:space="preserve">IPCO renewed its application to enforce </w:t>
      </w:r>
      <w:r w:rsidR="006F068B">
        <w:rPr>
          <w:rFonts w:ascii="Garamond" w:hAnsi="Garamond"/>
        </w:rPr>
        <w:t>on the ground of the further delay in the Nigerian proceedings.</w:t>
      </w:r>
      <w:r w:rsidR="00DC43AF" w:rsidRPr="00DC43AF">
        <w:rPr>
          <w:rFonts w:ascii="Garamond" w:hAnsi="Garamond"/>
        </w:rPr>
        <w:t xml:space="preserve"> This application was dismissed by Field J but allowed on appeal by the Court of Appeal</w:t>
      </w:r>
      <w:r w:rsidR="00B46D03">
        <w:rPr>
          <w:rFonts w:ascii="Garamond" w:hAnsi="Garamond"/>
        </w:rPr>
        <w:t xml:space="preserve">, which </w:t>
      </w:r>
      <w:r w:rsidR="00DC43AF" w:rsidRPr="00DC43AF">
        <w:rPr>
          <w:rFonts w:ascii="Garamond" w:hAnsi="Garamond"/>
        </w:rPr>
        <w:t xml:space="preserve">decided to cut the Gordian knot caused by the “sclerotic” process of the Nigerian proceedings. </w:t>
      </w:r>
    </w:p>
    <w:p w14:paraId="74715FE5" w14:textId="77777777" w:rsidR="006E0A55" w:rsidRDefault="00DC43AF" w:rsidP="00A9174D">
      <w:pPr>
        <w:tabs>
          <w:tab w:val="left" w:pos="8285"/>
        </w:tabs>
        <w:jc w:val="both"/>
        <w:rPr>
          <w:rFonts w:ascii="Garamond" w:hAnsi="Garamond"/>
        </w:rPr>
      </w:pPr>
      <w:r>
        <w:rPr>
          <w:rFonts w:ascii="Garamond" w:hAnsi="Garamond"/>
        </w:rPr>
        <w:t xml:space="preserve"> </w:t>
      </w:r>
    </w:p>
    <w:p w14:paraId="3C78C75B" w14:textId="60C3822F" w:rsidR="0063622A" w:rsidRDefault="00DC43AF" w:rsidP="00925AA9">
      <w:pPr>
        <w:tabs>
          <w:tab w:val="left" w:pos="8285"/>
        </w:tabs>
        <w:jc w:val="both"/>
        <w:rPr>
          <w:rFonts w:ascii="Garamond" w:hAnsi="Garamond"/>
        </w:rPr>
      </w:pPr>
      <w:r>
        <w:rPr>
          <w:rFonts w:ascii="Garamond" w:hAnsi="Garamond"/>
        </w:rPr>
        <w:t>The Court of Appeal ordered that (i) the proceedings be remitted to the Commercial Court f</w:t>
      </w:r>
      <w:r w:rsidR="00CB23CD">
        <w:rPr>
          <w:rFonts w:ascii="Garamond" w:hAnsi="Garamond"/>
        </w:rPr>
        <w:t xml:space="preserve">or </w:t>
      </w:r>
      <w:r w:rsidR="002A2A3E">
        <w:rPr>
          <w:rFonts w:ascii="Garamond" w:hAnsi="Garamond"/>
        </w:rPr>
        <w:t xml:space="preserve">it to determine </w:t>
      </w:r>
      <w:r w:rsidR="00CB23CD">
        <w:rPr>
          <w:rFonts w:ascii="Garamond" w:hAnsi="Garamond"/>
        </w:rPr>
        <w:t>pursuant to s.</w:t>
      </w:r>
      <w:r>
        <w:rPr>
          <w:rFonts w:ascii="Garamond" w:hAnsi="Garamond"/>
        </w:rPr>
        <w:t>103(3) whether the award should be enforced in</w:t>
      </w:r>
      <w:r w:rsidR="004C5006">
        <w:rPr>
          <w:rFonts w:ascii="Garamond" w:hAnsi="Garamond"/>
        </w:rPr>
        <w:t xml:space="preserve"> light of the </w:t>
      </w:r>
      <w:r w:rsidR="002A2A3E">
        <w:rPr>
          <w:rFonts w:ascii="Garamond" w:hAnsi="Garamond"/>
        </w:rPr>
        <w:t xml:space="preserve">alleged </w:t>
      </w:r>
      <w:r w:rsidR="004C5006">
        <w:rPr>
          <w:rFonts w:ascii="Garamond" w:hAnsi="Garamond"/>
        </w:rPr>
        <w:t>fraud</w:t>
      </w:r>
      <w:r>
        <w:rPr>
          <w:rFonts w:ascii="Garamond" w:hAnsi="Garamond"/>
        </w:rPr>
        <w:t xml:space="preserve"> and (ii) any further enforcement of the awar</w:t>
      </w:r>
      <w:r w:rsidR="00CB23CD">
        <w:rPr>
          <w:rFonts w:ascii="Garamond" w:hAnsi="Garamond"/>
        </w:rPr>
        <w:t xml:space="preserve">d be “adjourned” </w:t>
      </w:r>
      <w:r w:rsidR="00CD3724">
        <w:rPr>
          <w:rFonts w:ascii="Garamond" w:hAnsi="Garamond"/>
        </w:rPr>
        <w:t xml:space="preserve">in the meanwhile under </w:t>
      </w:r>
      <w:r w:rsidR="00CB23CD">
        <w:rPr>
          <w:rFonts w:ascii="Garamond" w:hAnsi="Garamond"/>
        </w:rPr>
        <w:t>s.</w:t>
      </w:r>
      <w:r>
        <w:rPr>
          <w:rFonts w:ascii="Garamond" w:hAnsi="Garamond"/>
        </w:rPr>
        <w:t>103(5)</w:t>
      </w:r>
      <w:r w:rsidR="00CD3724">
        <w:rPr>
          <w:rFonts w:ascii="Garamond" w:hAnsi="Garamond"/>
        </w:rPr>
        <w:t xml:space="preserve">, such order being made </w:t>
      </w:r>
      <w:r>
        <w:rPr>
          <w:rFonts w:ascii="Garamond" w:hAnsi="Garamond"/>
        </w:rPr>
        <w:t>conditional on NNPC providing a further US</w:t>
      </w:r>
      <w:r w:rsidR="000142C6">
        <w:rPr>
          <w:rFonts w:ascii="Garamond" w:hAnsi="Garamond"/>
        </w:rPr>
        <w:t>D</w:t>
      </w:r>
      <w:r w:rsidR="00CB23CD">
        <w:rPr>
          <w:rFonts w:ascii="Garamond" w:hAnsi="Garamond"/>
        </w:rPr>
        <w:t xml:space="preserve"> 100</w:t>
      </w:r>
      <w:r w:rsidR="000142C6">
        <w:rPr>
          <w:rFonts w:ascii="Garamond" w:hAnsi="Garamond"/>
        </w:rPr>
        <w:t xml:space="preserve">m </w:t>
      </w:r>
      <w:r>
        <w:rPr>
          <w:rFonts w:ascii="Garamond" w:hAnsi="Garamond"/>
        </w:rPr>
        <w:t>security (in addition to the US</w:t>
      </w:r>
      <w:r w:rsidR="000142C6">
        <w:rPr>
          <w:rFonts w:ascii="Garamond" w:hAnsi="Garamond"/>
        </w:rPr>
        <w:t>D</w:t>
      </w:r>
      <w:r>
        <w:rPr>
          <w:rFonts w:ascii="Garamond" w:hAnsi="Garamond"/>
        </w:rPr>
        <w:t xml:space="preserve"> 80</w:t>
      </w:r>
      <w:r w:rsidR="000142C6">
        <w:rPr>
          <w:rFonts w:ascii="Garamond" w:hAnsi="Garamond"/>
        </w:rPr>
        <w:t xml:space="preserve">m </w:t>
      </w:r>
      <w:r>
        <w:rPr>
          <w:rFonts w:ascii="Garamond" w:hAnsi="Garamond"/>
        </w:rPr>
        <w:t>already provided)</w:t>
      </w:r>
      <w:r w:rsidR="00925AA9">
        <w:rPr>
          <w:rFonts w:ascii="Garamond" w:hAnsi="Garamond"/>
        </w:rPr>
        <w:t xml:space="preserve">. NNPC appeals against the order for security on the basis that it was made without jurisdiction or wrong in principle and/or was illegitimate in circumstances where both Field J and the Court of Appeal </w:t>
      </w:r>
      <w:r w:rsidR="00832FB1">
        <w:rPr>
          <w:rFonts w:ascii="Garamond" w:hAnsi="Garamond"/>
        </w:rPr>
        <w:t xml:space="preserve">had </w:t>
      </w:r>
      <w:r w:rsidR="00925AA9">
        <w:rPr>
          <w:rFonts w:ascii="Garamond" w:hAnsi="Garamond"/>
        </w:rPr>
        <w:t xml:space="preserve">concluded that NNPC had a good prima facie case of fraud entitling it to resist enforcement of the whole award. </w:t>
      </w:r>
    </w:p>
    <w:p w14:paraId="0084CEF2" w14:textId="77777777" w:rsidR="00925AA9" w:rsidRPr="0044315A" w:rsidRDefault="00925AA9" w:rsidP="00925AA9">
      <w:pPr>
        <w:tabs>
          <w:tab w:val="left" w:pos="8285"/>
        </w:tabs>
        <w:jc w:val="both"/>
        <w:rPr>
          <w:rFonts w:ascii="Garamond" w:hAnsi="Garamond"/>
        </w:rPr>
      </w:pPr>
    </w:p>
    <w:p w14:paraId="0203C813" w14:textId="77777777" w:rsidR="0063622A" w:rsidRDefault="003B5389" w:rsidP="00A9174D">
      <w:pPr>
        <w:jc w:val="both"/>
        <w:rPr>
          <w:rFonts w:ascii="Garamond" w:hAnsi="Garamond"/>
          <w:b/>
        </w:rPr>
      </w:pPr>
      <w:r>
        <w:rPr>
          <w:rFonts w:ascii="Garamond" w:hAnsi="Garamond"/>
          <w:b/>
        </w:rPr>
        <w:t>JUDGMENT</w:t>
      </w:r>
    </w:p>
    <w:p w14:paraId="661F302E" w14:textId="77777777" w:rsidR="003B5389" w:rsidRDefault="003B5389" w:rsidP="00A9174D">
      <w:pPr>
        <w:jc w:val="both"/>
        <w:rPr>
          <w:rFonts w:ascii="Garamond" w:hAnsi="Garamond"/>
          <w:b/>
        </w:rPr>
      </w:pPr>
    </w:p>
    <w:p w14:paraId="558851A7" w14:textId="71264D46" w:rsidR="00925AA9" w:rsidRDefault="0063622A" w:rsidP="00A9174D">
      <w:pPr>
        <w:jc w:val="both"/>
        <w:rPr>
          <w:rFonts w:ascii="Garamond" w:hAnsi="Garamond"/>
        </w:rPr>
      </w:pPr>
      <w:r>
        <w:rPr>
          <w:rFonts w:ascii="Garamond" w:hAnsi="Garamond"/>
        </w:rPr>
        <w:t>The Supreme Court</w:t>
      </w:r>
      <w:r w:rsidR="0009722F">
        <w:rPr>
          <w:rFonts w:ascii="Garamond" w:hAnsi="Garamond"/>
        </w:rPr>
        <w:t xml:space="preserve"> unanimously</w:t>
      </w:r>
      <w:r>
        <w:rPr>
          <w:rFonts w:ascii="Garamond" w:hAnsi="Garamond"/>
        </w:rPr>
        <w:t xml:space="preserve"> allows</w:t>
      </w:r>
      <w:r w:rsidR="00A9174D">
        <w:rPr>
          <w:rFonts w:ascii="Garamond" w:hAnsi="Garamond"/>
        </w:rPr>
        <w:t xml:space="preserve"> </w:t>
      </w:r>
      <w:r w:rsidR="0009722F">
        <w:rPr>
          <w:rFonts w:ascii="Garamond" w:hAnsi="Garamond"/>
        </w:rPr>
        <w:t>NNPC’s</w:t>
      </w:r>
      <w:r>
        <w:rPr>
          <w:rFonts w:ascii="Garamond" w:hAnsi="Garamond"/>
        </w:rPr>
        <w:t xml:space="preserve"> appeal.</w:t>
      </w:r>
      <w:r w:rsidR="00A9174D">
        <w:rPr>
          <w:rFonts w:ascii="Garamond" w:hAnsi="Garamond"/>
        </w:rPr>
        <w:t xml:space="preserve"> Lord Mance gives the lead judgment, with which all the Justices agree. </w:t>
      </w:r>
    </w:p>
    <w:p w14:paraId="69B14556" w14:textId="77777777" w:rsidR="00B46D03" w:rsidRDefault="00B46D03" w:rsidP="00A9174D">
      <w:pPr>
        <w:jc w:val="both"/>
        <w:rPr>
          <w:rFonts w:ascii="Garamond" w:hAnsi="Garamond"/>
        </w:rPr>
      </w:pPr>
    </w:p>
    <w:p w14:paraId="50BDF3FF" w14:textId="77777777" w:rsidR="0063622A" w:rsidRPr="00925AA9" w:rsidRDefault="0063622A" w:rsidP="00A9174D">
      <w:pPr>
        <w:jc w:val="both"/>
        <w:rPr>
          <w:rFonts w:ascii="Garamond" w:hAnsi="Garamond"/>
        </w:rPr>
      </w:pPr>
      <w:r w:rsidRPr="00A30FCD">
        <w:rPr>
          <w:rFonts w:ascii="Garamond" w:hAnsi="Garamond"/>
          <w:b/>
        </w:rPr>
        <w:t>REASONS FOR THE JUDGMENT</w:t>
      </w:r>
    </w:p>
    <w:p w14:paraId="22464BDD" w14:textId="77777777" w:rsidR="0063622A" w:rsidRDefault="0063622A" w:rsidP="00925AA9">
      <w:pPr>
        <w:jc w:val="both"/>
        <w:rPr>
          <w:rFonts w:ascii="Garamond" w:hAnsi="Garamond"/>
          <w:b/>
        </w:rPr>
      </w:pPr>
    </w:p>
    <w:p w14:paraId="7DD92909" w14:textId="77777777" w:rsidR="00925AA9" w:rsidRPr="00B16DA9" w:rsidRDefault="00B46D03" w:rsidP="00925AA9">
      <w:pPr>
        <w:jc w:val="both"/>
        <w:rPr>
          <w:rFonts w:ascii="Garamond" w:hAnsi="Garamond"/>
          <w:i/>
        </w:rPr>
      </w:pPr>
      <w:r w:rsidRPr="00B16DA9">
        <w:rPr>
          <w:rFonts w:ascii="Garamond" w:hAnsi="Garamond"/>
          <w:i/>
        </w:rPr>
        <w:t>Section 103(5) of the 1996 Act</w:t>
      </w:r>
    </w:p>
    <w:p w14:paraId="202053AF" w14:textId="77777777" w:rsidR="009B2512" w:rsidRDefault="009B2512" w:rsidP="00925AA9">
      <w:pPr>
        <w:jc w:val="both"/>
        <w:rPr>
          <w:rFonts w:ascii="Garamond" w:hAnsi="Garamond"/>
        </w:rPr>
      </w:pPr>
    </w:p>
    <w:p w14:paraId="0F08309D" w14:textId="2CD8D1CC" w:rsidR="0015598A" w:rsidRDefault="00615D56" w:rsidP="00925AA9">
      <w:pPr>
        <w:jc w:val="both"/>
        <w:rPr>
          <w:rFonts w:ascii="Garamond" w:hAnsi="Garamond"/>
        </w:rPr>
      </w:pPr>
      <w:r>
        <w:rPr>
          <w:rFonts w:ascii="Garamond" w:hAnsi="Garamond"/>
        </w:rPr>
        <w:t xml:space="preserve">The Court of Appeal’s order was not justified by reference to s.103(5). </w:t>
      </w:r>
      <w:r w:rsidR="003B5389">
        <w:rPr>
          <w:rFonts w:ascii="Garamond" w:hAnsi="Garamond"/>
        </w:rPr>
        <w:t xml:space="preserve">Nothing in s.103(2) or (3) (or in the underlying provisions of article V of the New York Convention) provides a power to make an enforcing court’s decision on an issue raised under these provisions conditional on an award debtor providing security in respect of the award. </w:t>
      </w:r>
      <w:r w:rsidR="004C5006">
        <w:rPr>
          <w:rFonts w:ascii="Garamond" w:hAnsi="Garamond"/>
        </w:rPr>
        <w:t xml:space="preserve">This is in marked contrast to s.103(5), which specifically provides that security may be ordered where there is an adjournment within its terms </w:t>
      </w:r>
      <w:r w:rsidR="004C5006">
        <w:rPr>
          <w:rFonts w:ascii="Garamond" w:hAnsi="Garamond"/>
          <w:b/>
        </w:rPr>
        <w:t>[24]</w:t>
      </w:r>
      <w:r w:rsidR="004C5006">
        <w:rPr>
          <w:rFonts w:ascii="Garamond" w:hAnsi="Garamond"/>
        </w:rPr>
        <w:t xml:space="preserve">. </w:t>
      </w:r>
    </w:p>
    <w:p w14:paraId="483DB1B4" w14:textId="77777777" w:rsidR="0015598A" w:rsidRDefault="0015598A" w:rsidP="00925AA9">
      <w:pPr>
        <w:jc w:val="both"/>
        <w:rPr>
          <w:rFonts w:ascii="Garamond" w:hAnsi="Garamond"/>
        </w:rPr>
      </w:pPr>
    </w:p>
    <w:p w14:paraId="01D728DA" w14:textId="47662D74" w:rsidR="00B46D03" w:rsidRPr="00055FD2" w:rsidRDefault="00560D7E" w:rsidP="00925AA9">
      <w:pPr>
        <w:jc w:val="both"/>
        <w:rPr>
          <w:rFonts w:ascii="Garamond" w:hAnsi="Garamond"/>
        </w:rPr>
      </w:pPr>
      <w:r>
        <w:rPr>
          <w:rFonts w:ascii="Garamond" w:hAnsi="Garamond"/>
        </w:rPr>
        <w:t xml:space="preserve">The Court </w:t>
      </w:r>
      <w:r w:rsidR="003B5389">
        <w:rPr>
          <w:rFonts w:ascii="Garamond" w:hAnsi="Garamond"/>
        </w:rPr>
        <w:t xml:space="preserve">also </w:t>
      </w:r>
      <w:r>
        <w:rPr>
          <w:rFonts w:ascii="Garamond" w:hAnsi="Garamond"/>
        </w:rPr>
        <w:t xml:space="preserve">erred </w:t>
      </w:r>
      <w:r w:rsidR="002A0429">
        <w:rPr>
          <w:rFonts w:ascii="Garamond" w:hAnsi="Garamond"/>
        </w:rPr>
        <w:t xml:space="preserve">in treating its order that the English Commercial Court should decide the fraud issue as involving an “adjournment” of the decision on that issue within the terms of s.103(5). </w:t>
      </w:r>
      <w:r w:rsidR="003B5389">
        <w:rPr>
          <w:rFonts w:ascii="Garamond" w:hAnsi="Garamond"/>
        </w:rPr>
        <w:t>Section</w:t>
      </w:r>
      <w:r w:rsidR="002A0429">
        <w:rPr>
          <w:rFonts w:ascii="Garamond" w:hAnsi="Garamond"/>
        </w:rPr>
        <w:t xml:space="preserve"> 103(5) concerns the situation where an enforcing court adjourns its decision on enforcement under s.103(2) or (3) while an application for setting aside or suspension of the award is pending before the court of the country in, or under the law of which, the award </w:t>
      </w:r>
      <w:r w:rsidR="00CD3724">
        <w:rPr>
          <w:rFonts w:ascii="Garamond" w:hAnsi="Garamond"/>
        </w:rPr>
        <w:t xml:space="preserve">was made. It does not extend to </w:t>
      </w:r>
      <w:r w:rsidR="00320530">
        <w:rPr>
          <w:rFonts w:ascii="Garamond" w:hAnsi="Garamond"/>
        </w:rPr>
        <w:t xml:space="preserve">delays in the decision-making process </w:t>
      </w:r>
      <w:r w:rsidR="00CD3724">
        <w:rPr>
          <w:rFonts w:ascii="Garamond" w:hAnsi="Garamond"/>
        </w:rPr>
        <w:t xml:space="preserve">occurring while </w:t>
      </w:r>
      <w:r w:rsidR="00320530">
        <w:rPr>
          <w:rFonts w:ascii="Garamond" w:hAnsi="Garamond"/>
        </w:rPr>
        <w:t xml:space="preserve">a decision of an issue under s.103(2) or (3) </w:t>
      </w:r>
      <w:r w:rsidR="00CD3724">
        <w:rPr>
          <w:rFonts w:ascii="Garamond" w:hAnsi="Garamond"/>
        </w:rPr>
        <w:t xml:space="preserve">is </w:t>
      </w:r>
      <w:r w:rsidR="00320530">
        <w:rPr>
          <w:rFonts w:ascii="Garamond" w:hAnsi="Garamond"/>
        </w:rPr>
        <w:t xml:space="preserve">made </w:t>
      </w:r>
      <w:r w:rsidR="00320530">
        <w:rPr>
          <w:rFonts w:ascii="Garamond" w:hAnsi="Garamond"/>
          <w:b/>
        </w:rPr>
        <w:t>[25-26]</w:t>
      </w:r>
      <w:r w:rsidR="00320530">
        <w:rPr>
          <w:rFonts w:ascii="Garamond" w:hAnsi="Garamond"/>
        </w:rPr>
        <w:t xml:space="preserve">. </w:t>
      </w:r>
      <w:r w:rsidR="003B5389">
        <w:rPr>
          <w:rFonts w:ascii="Garamond" w:hAnsi="Garamond"/>
        </w:rPr>
        <w:t>Further</w:t>
      </w:r>
      <w:r w:rsidR="00CC5F8F">
        <w:rPr>
          <w:rFonts w:ascii="Garamond" w:hAnsi="Garamond"/>
        </w:rPr>
        <w:t xml:space="preserve">, s.103(5) contemplates an order for security being made “on the application of the party claiming recognition or enforcement of the award”. </w:t>
      </w:r>
      <w:r w:rsidR="00EF6CCF">
        <w:rPr>
          <w:rFonts w:ascii="Garamond" w:hAnsi="Garamond"/>
        </w:rPr>
        <w:t xml:space="preserve">The reasoning in </w:t>
      </w:r>
      <w:r w:rsidR="00EF6CCF">
        <w:rPr>
          <w:rFonts w:ascii="Garamond" w:hAnsi="Garamond"/>
          <w:i/>
        </w:rPr>
        <w:t xml:space="preserve">Dardana v Yukos </w:t>
      </w:r>
      <w:r w:rsidR="003B5389">
        <w:rPr>
          <w:rFonts w:ascii="Garamond" w:hAnsi="Garamond"/>
        </w:rPr>
        <w:t xml:space="preserve">[2002] </w:t>
      </w:r>
      <w:r w:rsidR="00EF6CCF">
        <w:rPr>
          <w:rFonts w:ascii="Garamond" w:hAnsi="Garamond"/>
        </w:rPr>
        <w:t xml:space="preserve">confirms that security pending the outcome of foreign proceedings is, in effect, the price of an adjournment which an award debtor is seeking; it is not to be imposed on an award debtor who is resisting adjournment on properly arguable grounds </w:t>
      </w:r>
      <w:r w:rsidR="00EF6CCF">
        <w:rPr>
          <w:rFonts w:ascii="Garamond" w:hAnsi="Garamond"/>
          <w:b/>
        </w:rPr>
        <w:t>[27-29]</w:t>
      </w:r>
      <w:r w:rsidR="00EF6CCF">
        <w:rPr>
          <w:rFonts w:ascii="Garamond" w:hAnsi="Garamond"/>
        </w:rPr>
        <w:t xml:space="preserve">. In the present case, there was no adjournment under s.103(5) onto which to hang, as the price, a requirement of further security </w:t>
      </w:r>
      <w:r w:rsidR="00EF6CCF">
        <w:rPr>
          <w:rFonts w:ascii="Garamond" w:hAnsi="Garamond"/>
          <w:b/>
        </w:rPr>
        <w:t>[30-32]</w:t>
      </w:r>
      <w:r w:rsidR="00EF6CCF">
        <w:rPr>
          <w:rFonts w:ascii="Garamond" w:hAnsi="Garamond"/>
        </w:rPr>
        <w:t xml:space="preserve">. </w:t>
      </w:r>
      <w:r w:rsidR="00447A7E">
        <w:rPr>
          <w:rFonts w:ascii="Garamond" w:hAnsi="Garamond"/>
        </w:rPr>
        <w:t xml:space="preserve">The Court of Appeal’s further reasons for imposing the security, including as an incentive to securing finality in the context of lengthy delays, </w:t>
      </w:r>
      <w:r w:rsidR="00055FD2">
        <w:rPr>
          <w:rFonts w:ascii="Garamond" w:hAnsi="Garamond"/>
        </w:rPr>
        <w:t xml:space="preserve">do not go to the jurisdiction or power to order security under s.103 </w:t>
      </w:r>
      <w:r w:rsidR="00055FD2">
        <w:rPr>
          <w:rFonts w:ascii="Garamond" w:hAnsi="Garamond"/>
          <w:b/>
        </w:rPr>
        <w:t>[32]</w:t>
      </w:r>
      <w:r w:rsidR="00055FD2">
        <w:rPr>
          <w:rFonts w:ascii="Garamond" w:hAnsi="Garamond"/>
        </w:rPr>
        <w:t xml:space="preserve">. </w:t>
      </w:r>
    </w:p>
    <w:p w14:paraId="3646DA3C" w14:textId="77777777" w:rsidR="004C5006" w:rsidRDefault="004C5006" w:rsidP="00925AA9">
      <w:pPr>
        <w:jc w:val="both"/>
        <w:rPr>
          <w:rFonts w:ascii="Garamond" w:hAnsi="Garamond"/>
        </w:rPr>
      </w:pPr>
    </w:p>
    <w:p w14:paraId="572EFBA0" w14:textId="77777777" w:rsidR="005A26C1" w:rsidRPr="00B16DA9" w:rsidRDefault="005A26C1" w:rsidP="00925AA9">
      <w:pPr>
        <w:jc w:val="both"/>
        <w:rPr>
          <w:rFonts w:ascii="Garamond" w:hAnsi="Garamond"/>
          <w:i/>
        </w:rPr>
      </w:pPr>
      <w:r w:rsidRPr="00B16DA9">
        <w:rPr>
          <w:rFonts w:ascii="Garamond" w:hAnsi="Garamond"/>
          <w:i/>
        </w:rPr>
        <w:t>General English procedural rules</w:t>
      </w:r>
    </w:p>
    <w:p w14:paraId="4464D8BF" w14:textId="77777777" w:rsidR="009B2512" w:rsidRDefault="009B2512" w:rsidP="00502566">
      <w:pPr>
        <w:jc w:val="both"/>
        <w:rPr>
          <w:rFonts w:ascii="Garamond" w:hAnsi="Garamond"/>
        </w:rPr>
      </w:pPr>
    </w:p>
    <w:p w14:paraId="40781313" w14:textId="4E90BFBC" w:rsidR="004507C1" w:rsidRDefault="0085628D" w:rsidP="00502566">
      <w:pPr>
        <w:jc w:val="both"/>
        <w:rPr>
          <w:rFonts w:ascii="Garamond" w:hAnsi="Garamond"/>
        </w:rPr>
      </w:pPr>
      <w:r>
        <w:rPr>
          <w:rFonts w:ascii="Garamond" w:hAnsi="Garamond"/>
        </w:rPr>
        <w:t xml:space="preserve">The requirement to provide security </w:t>
      </w:r>
      <w:r w:rsidR="00701586">
        <w:rPr>
          <w:rFonts w:ascii="Garamond" w:hAnsi="Garamond"/>
        </w:rPr>
        <w:t xml:space="preserve">could not be justified by reference to general English procedural rules. </w:t>
      </w:r>
      <w:r w:rsidR="00D54083">
        <w:rPr>
          <w:rFonts w:ascii="Garamond" w:hAnsi="Garamond"/>
        </w:rPr>
        <w:t>R</w:t>
      </w:r>
      <w:r w:rsidR="00055FD2">
        <w:rPr>
          <w:rFonts w:ascii="Garamond" w:hAnsi="Garamond"/>
        </w:rPr>
        <w:t xml:space="preserve">eliance was placed on CPR 3.1(3) and, indirectly, s.70(7) of the </w:t>
      </w:r>
      <w:r w:rsidR="00613E76">
        <w:rPr>
          <w:rFonts w:ascii="Garamond" w:hAnsi="Garamond"/>
        </w:rPr>
        <w:t xml:space="preserve">1996 Act </w:t>
      </w:r>
      <w:r w:rsidR="00613E76">
        <w:rPr>
          <w:rFonts w:ascii="Garamond" w:hAnsi="Garamond"/>
          <w:b/>
        </w:rPr>
        <w:t>[16-21]</w:t>
      </w:r>
      <w:r w:rsidR="00613E76">
        <w:rPr>
          <w:rFonts w:ascii="Garamond" w:hAnsi="Garamond"/>
        </w:rPr>
        <w:t xml:space="preserve">. </w:t>
      </w:r>
      <w:r w:rsidR="00D54083">
        <w:rPr>
          <w:rFonts w:ascii="Garamond" w:hAnsi="Garamond"/>
        </w:rPr>
        <w:t>However, the</w:t>
      </w:r>
      <w:r w:rsidR="005B3FDD">
        <w:rPr>
          <w:rFonts w:ascii="Garamond" w:hAnsi="Garamond"/>
        </w:rPr>
        <w:t xml:space="preserve"> conditions for recognition and enforcement set out in articles V and VI of the New York Convention (</w:t>
      </w:r>
      <w:r w:rsidR="00CD3724">
        <w:rPr>
          <w:rFonts w:ascii="Garamond" w:hAnsi="Garamond"/>
        </w:rPr>
        <w:t xml:space="preserve">to </w:t>
      </w:r>
      <w:r w:rsidR="00C0457C">
        <w:rPr>
          <w:rFonts w:ascii="Garamond" w:hAnsi="Garamond"/>
        </w:rPr>
        <w:t>which s.103(2), (3) and (5) give effect</w:t>
      </w:r>
      <w:r w:rsidR="005B3FDD">
        <w:rPr>
          <w:rFonts w:ascii="Garamond" w:hAnsi="Garamond"/>
        </w:rPr>
        <w:t>) cons</w:t>
      </w:r>
      <w:r w:rsidR="00397A2A">
        <w:rPr>
          <w:rFonts w:ascii="Garamond" w:hAnsi="Garamond"/>
        </w:rPr>
        <w:t>titute a complete code</w:t>
      </w:r>
      <w:r w:rsidR="00EF657E">
        <w:rPr>
          <w:rFonts w:ascii="Garamond" w:hAnsi="Garamond"/>
        </w:rPr>
        <w:t xml:space="preserve"> intended to establish a common international approach. </w:t>
      </w:r>
      <w:r w:rsidR="006772AF">
        <w:rPr>
          <w:rFonts w:ascii="Garamond" w:hAnsi="Garamond"/>
        </w:rPr>
        <w:t>Had it been contemplated that the right to have a decision of a properly arguable challenge, on a ground mentioned in article V (i.e. s.103(2) and (3)</w:t>
      </w:r>
      <w:r w:rsidR="00851055">
        <w:rPr>
          <w:rFonts w:ascii="Garamond" w:hAnsi="Garamond"/>
        </w:rPr>
        <w:t>)</w:t>
      </w:r>
      <w:r w:rsidR="006772AF">
        <w:rPr>
          <w:rFonts w:ascii="Garamond" w:hAnsi="Garamond"/>
        </w:rPr>
        <w:t>, might also be made conditional on provision of security in the amount of the award, that could and would have been said. The Convention reflects a balancing of interests. Its provisions were not aimed at improving award creditors’ prospects of laying hands on assets to satisfy awards. Courts have other means of assisting award creditors which do not impinge on award debtors’ rights of challenge, such as</w:t>
      </w:r>
      <w:r w:rsidR="00B047DB">
        <w:rPr>
          <w:rFonts w:ascii="Garamond" w:hAnsi="Garamond"/>
        </w:rPr>
        <w:t xml:space="preserve"> disclosure and freezing orders </w:t>
      </w:r>
      <w:r w:rsidR="00B047DB">
        <w:rPr>
          <w:rFonts w:ascii="Garamond" w:hAnsi="Garamond"/>
          <w:b/>
        </w:rPr>
        <w:t>[41]</w:t>
      </w:r>
      <w:r w:rsidR="00B047DB">
        <w:rPr>
          <w:rFonts w:ascii="Garamond" w:hAnsi="Garamond"/>
        </w:rPr>
        <w:t xml:space="preserve">. </w:t>
      </w:r>
    </w:p>
    <w:p w14:paraId="59809399" w14:textId="77777777" w:rsidR="00851055" w:rsidRDefault="00851055" w:rsidP="00502566">
      <w:pPr>
        <w:jc w:val="both"/>
        <w:rPr>
          <w:rFonts w:ascii="Garamond" w:hAnsi="Garamond"/>
        </w:rPr>
      </w:pPr>
    </w:p>
    <w:p w14:paraId="34AB2A4D" w14:textId="77777777" w:rsidR="00851055" w:rsidRDefault="00851055" w:rsidP="00502566">
      <w:pPr>
        <w:jc w:val="both"/>
        <w:rPr>
          <w:rFonts w:ascii="Garamond" w:hAnsi="Garamond"/>
        </w:rPr>
      </w:pPr>
      <w:r>
        <w:rPr>
          <w:rFonts w:ascii="Garamond" w:hAnsi="Garamond"/>
        </w:rPr>
        <w:t xml:space="preserve">Section 70(7) provides that the court may order that any money payable under the award shall be brought into court or otherwise secured pending the determination of the application or appeal. It only applies, however, to arbitrations that (unlike the present) have their seat in England, Wales or Northern Ireland. The 1996 Act contains no equivalent in relation to Convention awards. Further, the power will only be exercised if the challenge appears flimsy or otherwise lacks substance, which cannot be said of NNPC’s fraud challenge </w:t>
      </w:r>
      <w:r>
        <w:rPr>
          <w:rFonts w:ascii="Garamond" w:hAnsi="Garamond"/>
          <w:b/>
        </w:rPr>
        <w:t>[43]</w:t>
      </w:r>
      <w:r>
        <w:rPr>
          <w:rFonts w:ascii="Garamond" w:hAnsi="Garamond"/>
        </w:rPr>
        <w:t xml:space="preserve">. Finally, CPR 3.1(3) </w:t>
      </w:r>
      <w:r w:rsidR="00104552">
        <w:rPr>
          <w:rFonts w:ascii="Garamond" w:hAnsi="Garamond"/>
        </w:rPr>
        <w:t xml:space="preserve">has no relevance on this appeal. It </w:t>
      </w:r>
      <w:r>
        <w:rPr>
          <w:rFonts w:ascii="Garamond" w:hAnsi="Garamond"/>
        </w:rPr>
        <w:t xml:space="preserve">is a power, expressed in general terms, to </w:t>
      </w:r>
      <w:r w:rsidR="00E330D2">
        <w:rPr>
          <w:rFonts w:ascii="Garamond" w:hAnsi="Garamond"/>
        </w:rPr>
        <w:t xml:space="preserve">impose conditions on orders. Its focus is </w:t>
      </w:r>
      <w:r>
        <w:rPr>
          <w:rFonts w:ascii="Garamond" w:hAnsi="Garamond"/>
        </w:rPr>
        <w:t xml:space="preserve">the imposition of a condition as the price of relief sought as a matter of discretion or concession, and not the imposition of a fetter on a person exercising its right to raise a properly arguable challenge </w:t>
      </w:r>
      <w:r w:rsidR="00104552">
        <w:rPr>
          <w:rFonts w:ascii="Garamond" w:hAnsi="Garamond"/>
        </w:rPr>
        <w:t xml:space="preserve">to recognition or </w:t>
      </w:r>
      <w:r w:rsidR="00C0457C">
        <w:rPr>
          <w:rFonts w:ascii="Garamond" w:hAnsi="Garamond"/>
        </w:rPr>
        <w:t>enforcement</w:t>
      </w:r>
      <w:r w:rsidR="00104552">
        <w:rPr>
          <w:rFonts w:ascii="Garamond" w:hAnsi="Garamond"/>
        </w:rPr>
        <w:t xml:space="preserve"> </w:t>
      </w:r>
      <w:r w:rsidR="00104552">
        <w:rPr>
          <w:rFonts w:ascii="Garamond" w:hAnsi="Garamond"/>
          <w:b/>
        </w:rPr>
        <w:t>[44]</w:t>
      </w:r>
      <w:r w:rsidR="00104552">
        <w:rPr>
          <w:rFonts w:ascii="Garamond" w:hAnsi="Garamond"/>
        </w:rPr>
        <w:t xml:space="preserve">. </w:t>
      </w:r>
    </w:p>
    <w:p w14:paraId="25829E05" w14:textId="77777777" w:rsidR="005B3FDD" w:rsidRPr="009621B7" w:rsidRDefault="005B3FDD" w:rsidP="00055FD2">
      <w:pPr>
        <w:jc w:val="both"/>
        <w:rPr>
          <w:rFonts w:ascii="Garamond" w:hAnsi="Garamond"/>
          <w:b/>
          <w:u w:val="single"/>
        </w:rPr>
      </w:pPr>
    </w:p>
    <w:p w14:paraId="1EF4FBB0" w14:textId="2105E98A" w:rsidR="0015598A" w:rsidRDefault="0063622A" w:rsidP="00A9174D">
      <w:pPr>
        <w:jc w:val="both"/>
        <w:rPr>
          <w:rFonts w:ascii="Garamond" w:hAnsi="Garamond"/>
          <w:i/>
        </w:rPr>
      </w:pPr>
      <w:r w:rsidRPr="00566BC2">
        <w:rPr>
          <w:rFonts w:ascii="Garamond" w:hAnsi="Garamond"/>
          <w:i/>
        </w:rPr>
        <w:t>References in square brackets are to paragraphs in the judgment</w:t>
      </w:r>
    </w:p>
    <w:p w14:paraId="7ADD29AC" w14:textId="77777777" w:rsidR="000142C6" w:rsidRPr="003B5389" w:rsidRDefault="000142C6" w:rsidP="00A9174D">
      <w:pPr>
        <w:jc w:val="both"/>
        <w:rPr>
          <w:rFonts w:ascii="Garamond" w:hAnsi="Garamond"/>
          <w:i/>
        </w:rPr>
      </w:pPr>
    </w:p>
    <w:p w14:paraId="3768488F" w14:textId="77777777" w:rsidR="0063622A" w:rsidRPr="00B16DA9" w:rsidRDefault="0063622A" w:rsidP="00A9174D">
      <w:pPr>
        <w:jc w:val="both"/>
        <w:rPr>
          <w:rFonts w:ascii="Garamond" w:hAnsi="Garamond"/>
          <w:b/>
          <w:sz w:val="22"/>
          <w:szCs w:val="22"/>
          <w:u w:val="single"/>
        </w:rPr>
      </w:pPr>
      <w:r w:rsidRPr="00B16DA9">
        <w:rPr>
          <w:rFonts w:ascii="Garamond" w:hAnsi="Garamond"/>
          <w:b/>
          <w:sz w:val="22"/>
          <w:szCs w:val="22"/>
          <w:u w:val="single"/>
        </w:rPr>
        <w:t>NOTE</w:t>
      </w:r>
    </w:p>
    <w:p w14:paraId="415CDF23" w14:textId="52F117A3" w:rsidR="00BD5F3D" w:rsidRPr="00B16DA9" w:rsidRDefault="0063622A" w:rsidP="00B16DA9">
      <w:pPr>
        <w:rPr>
          <w:sz w:val="22"/>
          <w:szCs w:val="22"/>
        </w:rPr>
      </w:pPr>
      <w:r w:rsidRPr="00B16DA9">
        <w:rPr>
          <w:rFonts w:ascii="Garamond" w:hAnsi="Garamond"/>
          <w:b/>
          <w:sz w:val="22"/>
          <w:szCs w:val="22"/>
        </w:rPr>
        <w:t>This summary is provided to assist in understanding the Court’s decision.  It does not form part of the reasons for the decision.  The full judgment of the Court is the only authoritative document.   Judgments are public documents and are available at:</w:t>
      </w:r>
      <w:r w:rsidR="009B2512" w:rsidRPr="00B16DA9">
        <w:rPr>
          <w:rFonts w:ascii="Garamond" w:hAnsi="Garamond"/>
          <w:sz w:val="22"/>
          <w:szCs w:val="22"/>
        </w:rPr>
        <w:t xml:space="preserve"> </w:t>
      </w:r>
      <w:hyperlink r:id="rId9" w:history="1">
        <w:r w:rsidR="00082D78" w:rsidRPr="00C94A62">
          <w:rPr>
            <w:rStyle w:val="Hyperlink"/>
            <w:rFonts w:ascii="Garamond" w:hAnsi="Garamond"/>
            <w:sz w:val="22"/>
            <w:szCs w:val="22"/>
          </w:rPr>
          <w:t>http://supremecourt.uk/decided-cases/index.html</w:t>
        </w:r>
      </w:hyperlink>
      <w:r w:rsidRPr="00B16DA9">
        <w:rPr>
          <w:rFonts w:ascii="Garamond" w:hAnsi="Garamond"/>
          <w:sz w:val="22"/>
          <w:szCs w:val="22"/>
        </w:rPr>
        <w:t xml:space="preserve">    </w:t>
      </w:r>
    </w:p>
    <w:sectPr w:rsidR="00BD5F3D" w:rsidRPr="00B16DA9" w:rsidSect="00437284">
      <w:footerReference w:type="default" r:id="rId10"/>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E4D29" w14:textId="77777777" w:rsidR="00073F90" w:rsidRDefault="00073F90">
      <w:r>
        <w:separator/>
      </w:r>
    </w:p>
  </w:endnote>
  <w:endnote w:type="continuationSeparator" w:id="0">
    <w:p w14:paraId="315BEDAE" w14:textId="77777777" w:rsidR="00073F90" w:rsidRDefault="0007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F6F4F" w14:textId="77777777" w:rsidR="00762D19" w:rsidRDefault="006159B6"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14:paraId="366E0C3B" w14:textId="77777777" w:rsidR="00762D19" w:rsidRPr="00821EB9" w:rsidRDefault="006159B6"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36D807CE" w14:textId="77777777" w:rsidR="00762D19" w:rsidRDefault="003E3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85541" w14:textId="77777777" w:rsidR="00073F90" w:rsidRDefault="00073F90">
      <w:r>
        <w:separator/>
      </w:r>
    </w:p>
  </w:footnote>
  <w:footnote w:type="continuationSeparator" w:id="0">
    <w:p w14:paraId="69F43056" w14:textId="77777777" w:rsidR="00073F90" w:rsidRDefault="00073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C319F"/>
    <w:multiLevelType w:val="hybridMultilevel"/>
    <w:tmpl w:val="CDE092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2A"/>
    <w:rsid w:val="00001E3E"/>
    <w:rsid w:val="000142C6"/>
    <w:rsid w:val="00055FD2"/>
    <w:rsid w:val="00073F90"/>
    <w:rsid w:val="00082D78"/>
    <w:rsid w:val="0009722F"/>
    <w:rsid w:val="000C3593"/>
    <w:rsid w:val="00104552"/>
    <w:rsid w:val="0015598A"/>
    <w:rsid w:val="002628A3"/>
    <w:rsid w:val="002959FB"/>
    <w:rsid w:val="002A0429"/>
    <w:rsid w:val="002A2A3E"/>
    <w:rsid w:val="002B24F0"/>
    <w:rsid w:val="002B55CE"/>
    <w:rsid w:val="003076CE"/>
    <w:rsid w:val="00320530"/>
    <w:rsid w:val="00387C86"/>
    <w:rsid w:val="00397A2A"/>
    <w:rsid w:val="003B5389"/>
    <w:rsid w:val="003D26A7"/>
    <w:rsid w:val="003E31A4"/>
    <w:rsid w:val="00447A7E"/>
    <w:rsid w:val="004507C1"/>
    <w:rsid w:val="004561A0"/>
    <w:rsid w:val="004C5006"/>
    <w:rsid w:val="00502566"/>
    <w:rsid w:val="00560D7E"/>
    <w:rsid w:val="005A26C1"/>
    <w:rsid w:val="005B3FDD"/>
    <w:rsid w:val="00613E76"/>
    <w:rsid w:val="006159B6"/>
    <w:rsid w:val="00615D56"/>
    <w:rsid w:val="0063622A"/>
    <w:rsid w:val="00645187"/>
    <w:rsid w:val="00670F04"/>
    <w:rsid w:val="006772AF"/>
    <w:rsid w:val="006E0A55"/>
    <w:rsid w:val="006F068B"/>
    <w:rsid w:val="0070004D"/>
    <w:rsid w:val="00701586"/>
    <w:rsid w:val="00832FB1"/>
    <w:rsid w:val="00851055"/>
    <w:rsid w:val="00851A91"/>
    <w:rsid w:val="0085628D"/>
    <w:rsid w:val="008B7F28"/>
    <w:rsid w:val="008D35A7"/>
    <w:rsid w:val="00904F8D"/>
    <w:rsid w:val="00925AA9"/>
    <w:rsid w:val="00940A21"/>
    <w:rsid w:val="009B2512"/>
    <w:rsid w:val="00A9174D"/>
    <w:rsid w:val="00AD1B0D"/>
    <w:rsid w:val="00B047DB"/>
    <w:rsid w:val="00B16DA9"/>
    <w:rsid w:val="00B412E7"/>
    <w:rsid w:val="00B46D03"/>
    <w:rsid w:val="00BD5F3D"/>
    <w:rsid w:val="00C0457C"/>
    <w:rsid w:val="00C11C35"/>
    <w:rsid w:val="00C15B4B"/>
    <w:rsid w:val="00C26FF2"/>
    <w:rsid w:val="00CB23CD"/>
    <w:rsid w:val="00CB554F"/>
    <w:rsid w:val="00CC5F8F"/>
    <w:rsid w:val="00CD3724"/>
    <w:rsid w:val="00CF62B8"/>
    <w:rsid w:val="00D54083"/>
    <w:rsid w:val="00DC43AF"/>
    <w:rsid w:val="00DD3519"/>
    <w:rsid w:val="00E330D2"/>
    <w:rsid w:val="00E34FD4"/>
    <w:rsid w:val="00E35842"/>
    <w:rsid w:val="00E35EA4"/>
    <w:rsid w:val="00E86B62"/>
    <w:rsid w:val="00EF50B9"/>
    <w:rsid w:val="00EF657E"/>
    <w:rsid w:val="00EF6CCF"/>
    <w:rsid w:val="00F13F84"/>
    <w:rsid w:val="00F8405C"/>
    <w:rsid w:val="00FD7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E4E9"/>
  <w15:chartTrackingRefBased/>
  <w15:docId w15:val="{3B72F295-0589-4B82-AD45-B98FD1AE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622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3622A"/>
    <w:pPr>
      <w:tabs>
        <w:tab w:val="center" w:pos="4153"/>
        <w:tab w:val="right" w:pos="8306"/>
      </w:tabs>
    </w:pPr>
  </w:style>
  <w:style w:type="character" w:customStyle="1" w:styleId="FooterChar">
    <w:name w:val="Footer Char"/>
    <w:basedOn w:val="DefaultParagraphFont"/>
    <w:link w:val="Footer"/>
    <w:rsid w:val="0063622A"/>
    <w:rPr>
      <w:rFonts w:ascii="Times New Roman" w:eastAsia="Times New Roman" w:hAnsi="Times New Roman" w:cs="Times New Roman"/>
      <w:sz w:val="24"/>
      <w:szCs w:val="24"/>
      <w:lang w:eastAsia="en-GB"/>
    </w:rPr>
  </w:style>
  <w:style w:type="character" w:styleId="Hyperlink">
    <w:name w:val="Hyperlink"/>
    <w:rsid w:val="0063622A"/>
    <w:rPr>
      <w:color w:val="0000FF"/>
      <w:u w:val="single"/>
    </w:rPr>
  </w:style>
  <w:style w:type="paragraph" w:styleId="ListParagraph">
    <w:name w:val="List Paragraph"/>
    <w:basedOn w:val="Normal"/>
    <w:uiPriority w:val="34"/>
    <w:qFormat/>
    <w:rsid w:val="006E0A55"/>
    <w:pPr>
      <w:ind w:left="720"/>
      <w:contextualSpacing/>
    </w:pPr>
  </w:style>
  <w:style w:type="paragraph" w:styleId="BalloonText">
    <w:name w:val="Balloon Text"/>
    <w:basedOn w:val="Normal"/>
    <w:link w:val="BalloonTextChar"/>
    <w:uiPriority w:val="99"/>
    <w:semiHidden/>
    <w:unhideWhenUsed/>
    <w:rsid w:val="003D26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6A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09722F"/>
    <w:rPr>
      <w:sz w:val="16"/>
      <w:szCs w:val="16"/>
    </w:rPr>
  </w:style>
  <w:style w:type="paragraph" w:styleId="CommentText">
    <w:name w:val="annotation text"/>
    <w:basedOn w:val="Normal"/>
    <w:link w:val="CommentTextChar"/>
    <w:uiPriority w:val="99"/>
    <w:semiHidden/>
    <w:unhideWhenUsed/>
    <w:rsid w:val="0009722F"/>
    <w:rPr>
      <w:sz w:val="20"/>
      <w:szCs w:val="20"/>
    </w:rPr>
  </w:style>
  <w:style w:type="character" w:customStyle="1" w:styleId="CommentTextChar">
    <w:name w:val="Comment Text Char"/>
    <w:basedOn w:val="DefaultParagraphFont"/>
    <w:link w:val="CommentText"/>
    <w:uiPriority w:val="99"/>
    <w:semiHidden/>
    <w:rsid w:val="0009722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9722F"/>
    <w:rPr>
      <w:b/>
      <w:bCs/>
    </w:rPr>
  </w:style>
  <w:style w:type="character" w:customStyle="1" w:styleId="CommentSubjectChar">
    <w:name w:val="Comment Subject Char"/>
    <w:basedOn w:val="CommentTextChar"/>
    <w:link w:val="CommentSubject"/>
    <w:uiPriority w:val="99"/>
    <w:semiHidden/>
    <w:rsid w:val="0009722F"/>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premecourt.uk/decided-cases/index.htm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074851-0418-4031-A386-294CBC3C9ADF}">
  <ds:schemaRefs>
    <ds:schemaRef ds:uri="http://schemas.openxmlformats.org/officeDocument/2006/bibliography"/>
  </ds:schemaRefs>
</ds:datastoreItem>
</file>

<file path=customXml/itemProps2.xml><?xml version="1.0" encoding="utf-8"?>
<ds:datastoreItem xmlns:ds="http://schemas.openxmlformats.org/officeDocument/2006/customXml" ds:itemID="{69BAB160-1D6E-4499-88DA-A9294CBE27E2}"/>
</file>

<file path=customXml/itemProps3.xml><?xml version="1.0" encoding="utf-8"?>
<ds:datastoreItem xmlns:ds="http://schemas.openxmlformats.org/officeDocument/2006/customXml" ds:itemID="{444BE47D-3A69-4DDE-8C38-C41470F18CD9}"/>
</file>

<file path=customXml/itemProps4.xml><?xml version="1.0" encoding="utf-8"?>
<ds:datastoreItem xmlns:ds="http://schemas.openxmlformats.org/officeDocument/2006/customXml" ds:itemID="{7775956C-9CC9-40D9-8A92-832B06AAA97C}"/>
</file>

<file path=docProps/app.xml><?xml version="1.0" encoding="utf-8"?>
<Properties xmlns="http://schemas.openxmlformats.org/officeDocument/2006/extended-properties" xmlns:vt="http://schemas.openxmlformats.org/officeDocument/2006/docPropsVTypes">
  <Template>Normal</Template>
  <TotalTime>4</TotalTime>
  <Pages>2</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IPCO (Nigeria) Limited (Respondent) v Nigerian National Petroleum Corporation (Appellant)</vt:lpstr>
    </vt:vector>
  </TitlesOfParts>
  <Company>The Supreme Court (UKSC)</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IPCO (Nigeria) Limited (Respondent) v Nigerian National Petroleum Corporation (Appellant)</dc:title>
  <dc:subject>Judgment handed down on 1 March 2017</dc:subject>
  <dc:creator>The Supreme Court (UKSC)</dc:creator>
  <cp:keywords>[2015] EWCA Civ 1144; [2015] EWCA Civ 1145; UKSC 2015/0247; [2017] UKSC 16</cp:keywords>
  <dc:description/>
  <cp:lastModifiedBy>Anita Homji</cp:lastModifiedBy>
  <cp:revision>3</cp:revision>
  <cp:lastPrinted>2017-02-28T12:42:00Z</cp:lastPrinted>
  <dcterms:created xsi:type="dcterms:W3CDTF">2017-02-28T13:42:00Z</dcterms:created>
  <dcterms:modified xsi:type="dcterms:W3CDTF">2017-02-28T13:45:00Z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Name">
    <vt:lpwstr>IPCO (Nigeria) Limited (Respondent) v Nigerian National Petroleum Corporation (Appellant)</vt:lpwstr>
  </property>
  <property fmtid="{D5CDD505-2E9C-101B-9397-08002B2CF9AE}" pid="3" name="HandDownDate">
    <vt:lpwstr>1 March 2017</vt:lpwstr>
  </property>
  <property fmtid="{D5CDD505-2E9C-101B-9397-08002B2CF9AE}" pid="4" name="CaseID">
    <vt:lpwstr>UKSC 2015/0247</vt:lpwstr>
  </property>
  <property fmtid="{D5CDD505-2E9C-101B-9397-08002B2CF9AE}" pid="5" name="NeutralCitationNumber">
    <vt:lpwstr>[2017] UKSC 16</vt:lpwstr>
  </property>
  <property fmtid="{D5CDD505-2E9C-101B-9397-08002B2CF9AE}" pid="6" name="ContentTypeId">
    <vt:lpwstr>0x010100AAB251F3824E8E4BABF966FB1FF33114</vt:lpwstr>
  </property>
</Properties>
</file>