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5C2" w:rsidRPr="00D11202" w:rsidRDefault="00986C18" w:rsidP="00ED05C2">
      <w:pPr>
        <w:jc w:val="center"/>
        <w:rPr>
          <w:rFonts w:ascii="Garamond" w:hAnsi="Garamond"/>
        </w:rPr>
      </w:pPr>
      <w:r w:rsidRPr="00D11202">
        <w:rPr>
          <w:rFonts w:ascii="Garamond" w:hAnsi="Garamond"/>
          <w:noProof/>
        </w:rPr>
        <w:drawing>
          <wp:inline distT="0" distB="0" distL="0" distR="0">
            <wp:extent cx="1067435" cy="1426845"/>
            <wp:effectExtent l="0" t="0" r="0" b="0"/>
            <wp:docPr id="1" name="Picture 1" descr="UKS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SC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7435" cy="1426845"/>
                    </a:xfrm>
                    <a:prstGeom prst="rect">
                      <a:avLst/>
                    </a:prstGeom>
                    <a:noFill/>
                    <a:ln>
                      <a:noFill/>
                    </a:ln>
                  </pic:spPr>
                </pic:pic>
              </a:graphicData>
            </a:graphic>
          </wp:inline>
        </w:drawing>
      </w:r>
      <w:bookmarkStart w:id="0" w:name="_GoBack"/>
      <w:bookmarkEnd w:id="0"/>
    </w:p>
    <w:p w:rsidR="00A16C02" w:rsidRPr="00D11202" w:rsidRDefault="00E10B3A" w:rsidP="00E515C6">
      <w:pPr>
        <w:tabs>
          <w:tab w:val="left" w:pos="8285"/>
        </w:tabs>
        <w:jc w:val="right"/>
        <w:rPr>
          <w:rFonts w:ascii="Garamond" w:hAnsi="Garamond"/>
          <w:b/>
        </w:rPr>
      </w:pPr>
      <w:r w:rsidRPr="00D11202">
        <w:rPr>
          <w:rFonts w:ascii="Garamond" w:hAnsi="Garamond"/>
          <w:b/>
        </w:rPr>
        <w:t>13 July 2016</w:t>
      </w:r>
    </w:p>
    <w:p w:rsidR="00A16C02" w:rsidRPr="00D11202" w:rsidRDefault="00A16C02" w:rsidP="00A16C02">
      <w:pPr>
        <w:tabs>
          <w:tab w:val="left" w:pos="8285"/>
        </w:tabs>
        <w:jc w:val="center"/>
        <w:rPr>
          <w:rFonts w:ascii="Garamond" w:hAnsi="Garamond"/>
          <w:b/>
        </w:rPr>
      </w:pPr>
      <w:r w:rsidRPr="00D11202">
        <w:rPr>
          <w:rFonts w:ascii="Garamond" w:hAnsi="Garamond"/>
          <w:b/>
        </w:rPr>
        <w:t>PRESS SUMMARY</w:t>
      </w:r>
    </w:p>
    <w:p w:rsidR="00A16C02" w:rsidRPr="00D11202" w:rsidRDefault="00A16C02" w:rsidP="00A16C02">
      <w:pPr>
        <w:tabs>
          <w:tab w:val="left" w:pos="8285"/>
        </w:tabs>
        <w:rPr>
          <w:rFonts w:ascii="Garamond" w:hAnsi="Garamond"/>
          <w:b/>
        </w:rPr>
      </w:pPr>
    </w:p>
    <w:p w:rsidR="00E515C6" w:rsidRPr="00D11202" w:rsidRDefault="00770340" w:rsidP="00A16C02">
      <w:pPr>
        <w:tabs>
          <w:tab w:val="left" w:pos="8285"/>
        </w:tabs>
        <w:rPr>
          <w:rFonts w:ascii="Garamond" w:hAnsi="Garamond"/>
          <w:b/>
        </w:rPr>
      </w:pPr>
      <w:r w:rsidRPr="00D11202">
        <w:rPr>
          <w:rFonts w:ascii="Garamond" w:hAnsi="Garamond"/>
          <w:b/>
        </w:rPr>
        <w:t xml:space="preserve">Edwards </w:t>
      </w:r>
      <w:r w:rsidR="005919BE" w:rsidRPr="00D11202">
        <w:rPr>
          <w:rFonts w:ascii="Garamond" w:hAnsi="Garamond"/>
          <w:b/>
        </w:rPr>
        <w:t xml:space="preserve">(Respondent) </w:t>
      </w:r>
      <w:r w:rsidR="00986C18">
        <w:rPr>
          <w:rFonts w:ascii="Garamond" w:hAnsi="Garamond"/>
          <w:b/>
        </w:rPr>
        <w:t xml:space="preserve">v </w:t>
      </w:r>
      <w:proofErr w:type="spellStart"/>
      <w:r w:rsidR="00986C18">
        <w:rPr>
          <w:rFonts w:ascii="Garamond" w:hAnsi="Garamond"/>
          <w:b/>
        </w:rPr>
        <w:t>Kumarasamy</w:t>
      </w:r>
      <w:proofErr w:type="spellEnd"/>
      <w:r w:rsidR="00986C18">
        <w:rPr>
          <w:rFonts w:ascii="Garamond" w:hAnsi="Garamond"/>
          <w:b/>
        </w:rPr>
        <w:t xml:space="preserve"> (Appellant) </w:t>
      </w:r>
      <w:r w:rsidR="005919BE" w:rsidRPr="00D11202">
        <w:rPr>
          <w:rFonts w:ascii="Garamond" w:hAnsi="Garamond"/>
          <w:b/>
        </w:rPr>
        <w:t xml:space="preserve">[2016] UKSC </w:t>
      </w:r>
      <w:r w:rsidR="00986C18">
        <w:rPr>
          <w:rFonts w:ascii="Garamond" w:hAnsi="Garamond"/>
          <w:b/>
        </w:rPr>
        <w:t>40</w:t>
      </w:r>
    </w:p>
    <w:p w:rsidR="002E340D" w:rsidRPr="00D11202" w:rsidRDefault="00E515C6" w:rsidP="00A16C02">
      <w:pPr>
        <w:tabs>
          <w:tab w:val="left" w:pos="8285"/>
        </w:tabs>
        <w:rPr>
          <w:rFonts w:ascii="Garamond" w:hAnsi="Garamond"/>
          <w:b/>
          <w:i/>
        </w:rPr>
      </w:pPr>
      <w:r w:rsidRPr="00D11202">
        <w:rPr>
          <w:rFonts w:ascii="Garamond" w:hAnsi="Garamond"/>
          <w:b/>
          <w:i/>
        </w:rPr>
        <w:t xml:space="preserve">On appeal from: </w:t>
      </w:r>
      <w:r w:rsidR="004D059A" w:rsidRPr="00D11202">
        <w:rPr>
          <w:rFonts w:ascii="Garamond" w:hAnsi="Garamond"/>
          <w:b/>
          <w:i/>
        </w:rPr>
        <w:t xml:space="preserve">[2015] EWCA </w:t>
      </w:r>
      <w:proofErr w:type="spellStart"/>
      <w:r w:rsidR="004D059A" w:rsidRPr="00D11202">
        <w:rPr>
          <w:rFonts w:ascii="Garamond" w:hAnsi="Garamond"/>
          <w:b/>
          <w:i/>
        </w:rPr>
        <w:t>Civ</w:t>
      </w:r>
      <w:proofErr w:type="spellEnd"/>
      <w:r w:rsidR="004D059A" w:rsidRPr="00D11202">
        <w:rPr>
          <w:rFonts w:ascii="Garamond" w:hAnsi="Garamond"/>
          <w:b/>
          <w:i/>
        </w:rPr>
        <w:t xml:space="preserve"> 20</w:t>
      </w:r>
    </w:p>
    <w:p w:rsidR="00E515C6" w:rsidRPr="00D11202" w:rsidRDefault="00E515C6" w:rsidP="00A16C02">
      <w:pPr>
        <w:tabs>
          <w:tab w:val="left" w:pos="8285"/>
        </w:tabs>
        <w:rPr>
          <w:rFonts w:ascii="Garamond" w:hAnsi="Garamond"/>
        </w:rPr>
      </w:pPr>
    </w:p>
    <w:p w:rsidR="00A16C02" w:rsidRPr="00D11202" w:rsidRDefault="00A16C02" w:rsidP="00E515C6">
      <w:pPr>
        <w:tabs>
          <w:tab w:val="left" w:pos="8285"/>
        </w:tabs>
        <w:rPr>
          <w:rFonts w:ascii="Garamond" w:hAnsi="Garamond"/>
        </w:rPr>
      </w:pPr>
      <w:r w:rsidRPr="00D11202">
        <w:rPr>
          <w:rFonts w:ascii="Garamond" w:hAnsi="Garamond"/>
          <w:b/>
        </w:rPr>
        <w:t>JUSTICES</w:t>
      </w:r>
      <w:r w:rsidRPr="00D11202">
        <w:rPr>
          <w:rFonts w:ascii="Garamond" w:hAnsi="Garamond"/>
        </w:rPr>
        <w:t xml:space="preserve">: </w:t>
      </w:r>
      <w:r w:rsidR="005A6442" w:rsidRPr="00D11202">
        <w:rPr>
          <w:rFonts w:ascii="Garamond" w:hAnsi="Garamond"/>
        </w:rPr>
        <w:t xml:space="preserve">Lord Neuberger (President), </w:t>
      </w:r>
      <w:r w:rsidR="00770340" w:rsidRPr="00D11202">
        <w:rPr>
          <w:rFonts w:ascii="Garamond" w:hAnsi="Garamond"/>
        </w:rPr>
        <w:t>Lord Wilson, Lord Sumption, Lord Reed, Lord Carnwath</w:t>
      </w:r>
    </w:p>
    <w:p w:rsidR="00937F9E" w:rsidRPr="00D11202" w:rsidRDefault="00937F9E" w:rsidP="00A16C02">
      <w:pPr>
        <w:tabs>
          <w:tab w:val="left" w:pos="8285"/>
        </w:tabs>
        <w:rPr>
          <w:rFonts w:ascii="Garamond" w:hAnsi="Garamond"/>
          <w:b/>
        </w:rPr>
      </w:pPr>
    </w:p>
    <w:p w:rsidR="00A16C02" w:rsidRPr="00D11202" w:rsidRDefault="00A16C02" w:rsidP="003465D5">
      <w:pPr>
        <w:tabs>
          <w:tab w:val="left" w:pos="8285"/>
        </w:tabs>
        <w:rPr>
          <w:rFonts w:ascii="Garamond" w:hAnsi="Garamond"/>
          <w:b/>
        </w:rPr>
      </w:pPr>
      <w:r w:rsidRPr="00D11202">
        <w:rPr>
          <w:rFonts w:ascii="Garamond" w:hAnsi="Garamond"/>
          <w:b/>
        </w:rPr>
        <w:t>BACKGROUND TO THE APPEAL</w:t>
      </w:r>
    </w:p>
    <w:p w:rsidR="00A16C02" w:rsidRPr="00D11202" w:rsidRDefault="00A16C02" w:rsidP="00A16C02">
      <w:pPr>
        <w:tabs>
          <w:tab w:val="left" w:pos="8285"/>
        </w:tabs>
        <w:rPr>
          <w:rFonts w:ascii="Garamond" w:hAnsi="Garamond"/>
        </w:rPr>
      </w:pPr>
    </w:p>
    <w:p w:rsidR="00770340" w:rsidRPr="00D11202" w:rsidRDefault="00770340" w:rsidP="00986C18">
      <w:pPr>
        <w:jc w:val="both"/>
        <w:rPr>
          <w:rFonts w:ascii="Garamond" w:hAnsi="Garamond"/>
        </w:rPr>
      </w:pPr>
      <w:r w:rsidRPr="00D11202">
        <w:rPr>
          <w:rFonts w:ascii="Garamond" w:hAnsi="Garamond"/>
        </w:rPr>
        <w:t xml:space="preserve">By a lease dated 28 April 2006, the freeholder of a block of flats </w:t>
      </w:r>
      <w:r w:rsidR="000F00FB" w:rsidRPr="00D11202">
        <w:rPr>
          <w:rFonts w:ascii="Garamond" w:hAnsi="Garamond"/>
        </w:rPr>
        <w:t>in</w:t>
      </w:r>
      <w:r w:rsidR="00D11202" w:rsidRPr="00D11202">
        <w:rPr>
          <w:rFonts w:ascii="Garamond" w:hAnsi="Garamond"/>
        </w:rPr>
        <w:t xml:space="preserve"> </w:t>
      </w:r>
      <w:r w:rsidRPr="00D11202">
        <w:rPr>
          <w:rFonts w:ascii="Garamond" w:hAnsi="Garamond"/>
        </w:rPr>
        <w:t xml:space="preserve">Runcorn (“the Building”) let Flat 10 in the building for a term of 199 years from 1 January 2006 to Mr </w:t>
      </w:r>
      <w:proofErr w:type="spellStart"/>
      <w:r w:rsidRPr="00D11202">
        <w:rPr>
          <w:rFonts w:ascii="Garamond" w:hAnsi="Garamond"/>
        </w:rPr>
        <w:t>Kumarasamy</w:t>
      </w:r>
      <w:proofErr w:type="spellEnd"/>
      <w:r w:rsidR="00986C18">
        <w:rPr>
          <w:rFonts w:ascii="Garamond" w:hAnsi="Garamond"/>
        </w:rPr>
        <w:t xml:space="preserve"> </w:t>
      </w:r>
      <w:r w:rsidR="00460A4A" w:rsidRPr="00D11202">
        <w:rPr>
          <w:rFonts w:ascii="Garamond" w:hAnsi="Garamond"/>
        </w:rPr>
        <w:t xml:space="preserve">(“the </w:t>
      </w:r>
      <w:proofErr w:type="spellStart"/>
      <w:r w:rsidR="00460A4A" w:rsidRPr="00D11202">
        <w:rPr>
          <w:rFonts w:ascii="Garamond" w:hAnsi="Garamond"/>
        </w:rPr>
        <w:t>Headlease</w:t>
      </w:r>
      <w:proofErr w:type="spellEnd"/>
      <w:r w:rsidR="00460A4A" w:rsidRPr="00D11202">
        <w:rPr>
          <w:rFonts w:ascii="Garamond" w:hAnsi="Garamond"/>
        </w:rPr>
        <w:t>”)</w:t>
      </w:r>
      <w:r w:rsidRPr="00D11202">
        <w:rPr>
          <w:rFonts w:ascii="Garamond" w:hAnsi="Garamond"/>
        </w:rPr>
        <w:t xml:space="preserve">. </w:t>
      </w:r>
      <w:r w:rsidR="00D27DF6" w:rsidRPr="00D11202">
        <w:rPr>
          <w:rFonts w:ascii="Garamond" w:hAnsi="Garamond"/>
        </w:rPr>
        <w:t>The Building</w:t>
      </w:r>
      <w:r w:rsidR="000F00FB" w:rsidRPr="00D11202">
        <w:rPr>
          <w:rFonts w:ascii="Garamond" w:hAnsi="Garamond"/>
        </w:rPr>
        <w:t xml:space="preserve"> is accessed by a paved pathway (“the paved area”) which leads to the</w:t>
      </w:r>
      <w:r w:rsidR="00D27DF6" w:rsidRPr="00D11202">
        <w:rPr>
          <w:rFonts w:ascii="Garamond" w:hAnsi="Garamond"/>
        </w:rPr>
        <w:t xml:space="preserve"> main entrance door which </w:t>
      </w:r>
      <w:r w:rsidR="000F00FB" w:rsidRPr="00D11202">
        <w:rPr>
          <w:rFonts w:ascii="Garamond" w:hAnsi="Garamond"/>
        </w:rPr>
        <w:t>opens ont</w:t>
      </w:r>
      <w:r w:rsidR="00D11202" w:rsidRPr="00D11202">
        <w:rPr>
          <w:rFonts w:ascii="Garamond" w:hAnsi="Garamond"/>
        </w:rPr>
        <w:t xml:space="preserve">o </w:t>
      </w:r>
      <w:r w:rsidR="00D27DF6" w:rsidRPr="00D11202">
        <w:rPr>
          <w:rFonts w:ascii="Garamond" w:hAnsi="Garamond"/>
        </w:rPr>
        <w:t>a front hallway (“the front hallway”).</w:t>
      </w:r>
    </w:p>
    <w:p w:rsidR="00D27DF6" w:rsidRPr="00D11202" w:rsidRDefault="00D27DF6" w:rsidP="00986C18">
      <w:pPr>
        <w:jc w:val="both"/>
        <w:rPr>
          <w:rFonts w:ascii="Garamond" w:hAnsi="Garamond"/>
        </w:rPr>
      </w:pPr>
    </w:p>
    <w:p w:rsidR="002F4749" w:rsidRPr="00D11202" w:rsidRDefault="000F00FB" w:rsidP="00986C18">
      <w:pPr>
        <w:jc w:val="both"/>
        <w:rPr>
          <w:rFonts w:ascii="Garamond" w:hAnsi="Garamond"/>
        </w:rPr>
      </w:pPr>
      <w:r w:rsidRPr="00D11202">
        <w:rPr>
          <w:rFonts w:ascii="Garamond" w:hAnsi="Garamond"/>
        </w:rPr>
        <w:t xml:space="preserve">On </w:t>
      </w:r>
      <w:r w:rsidR="00770340" w:rsidRPr="00D11202">
        <w:rPr>
          <w:rFonts w:ascii="Garamond" w:hAnsi="Garamond"/>
        </w:rPr>
        <w:t xml:space="preserve">2 April 2009, Mr Kumarasamy granted Mr Edwards a </w:t>
      </w:r>
      <w:r w:rsidRPr="00D11202">
        <w:rPr>
          <w:rFonts w:ascii="Garamond" w:hAnsi="Garamond"/>
        </w:rPr>
        <w:t>sub</w:t>
      </w:r>
      <w:r w:rsidR="00770340" w:rsidRPr="00D11202">
        <w:rPr>
          <w:rFonts w:ascii="Garamond" w:hAnsi="Garamond"/>
        </w:rPr>
        <w:t>tenancy of the Flat for a term expiring on 5 October 2009</w:t>
      </w:r>
      <w:r w:rsidR="00460A4A" w:rsidRPr="00D11202">
        <w:rPr>
          <w:rFonts w:ascii="Garamond" w:hAnsi="Garamond"/>
        </w:rPr>
        <w:t xml:space="preserve"> (“the Subtenancy”)</w:t>
      </w:r>
      <w:r w:rsidR="00770340" w:rsidRPr="00D11202">
        <w:rPr>
          <w:rFonts w:ascii="Garamond" w:hAnsi="Garamond"/>
        </w:rPr>
        <w:t xml:space="preserve">. The </w:t>
      </w:r>
      <w:r w:rsidR="00460A4A" w:rsidRPr="00D11202">
        <w:rPr>
          <w:rFonts w:ascii="Garamond" w:hAnsi="Garamond"/>
        </w:rPr>
        <w:t>S</w:t>
      </w:r>
      <w:r w:rsidR="00770340" w:rsidRPr="00D11202">
        <w:rPr>
          <w:rFonts w:ascii="Garamond" w:hAnsi="Garamond"/>
        </w:rPr>
        <w:t>ubtenancy included a grant of “the right to use, in common with others, any shared rights of access, stairways, communal parts, paths and drives”</w:t>
      </w:r>
      <w:r w:rsidR="00460A4A" w:rsidRPr="00D11202">
        <w:rPr>
          <w:rFonts w:ascii="Garamond" w:hAnsi="Garamond"/>
        </w:rPr>
        <w:t xml:space="preserve"> of the Building. Under the Subtenancy, Mr Edwards was under an obligation to repair the Flat</w:t>
      </w:r>
      <w:r w:rsidR="00760A57" w:rsidRPr="00D11202">
        <w:rPr>
          <w:rFonts w:ascii="Garamond" w:hAnsi="Garamond"/>
        </w:rPr>
        <w:t>,</w:t>
      </w:r>
      <w:r w:rsidR="00460A4A" w:rsidRPr="00D11202">
        <w:rPr>
          <w:rFonts w:ascii="Garamond" w:hAnsi="Garamond"/>
        </w:rPr>
        <w:t xml:space="preserve"> </w:t>
      </w:r>
      <w:r w:rsidR="00760A57" w:rsidRPr="00D11202">
        <w:rPr>
          <w:rFonts w:ascii="Garamond" w:hAnsi="Garamond"/>
        </w:rPr>
        <w:t xml:space="preserve">excepting </w:t>
      </w:r>
      <w:r w:rsidR="00460A4A" w:rsidRPr="00D11202">
        <w:rPr>
          <w:rFonts w:ascii="Garamond" w:hAnsi="Garamond"/>
        </w:rPr>
        <w:t>items which Mr Kumarasamy was responsible to maintain.</w:t>
      </w:r>
    </w:p>
    <w:p w:rsidR="00460A4A" w:rsidRPr="00D11202" w:rsidRDefault="00460A4A" w:rsidP="00986C18">
      <w:pPr>
        <w:jc w:val="both"/>
        <w:rPr>
          <w:rFonts w:ascii="Garamond" w:hAnsi="Garamond"/>
        </w:rPr>
      </w:pPr>
    </w:p>
    <w:p w:rsidR="00460A4A" w:rsidRPr="00D11202" w:rsidRDefault="00460A4A" w:rsidP="00986C18">
      <w:pPr>
        <w:jc w:val="both"/>
        <w:rPr>
          <w:rFonts w:ascii="Garamond" w:hAnsi="Garamond"/>
        </w:rPr>
      </w:pPr>
      <w:r w:rsidRPr="00D11202">
        <w:rPr>
          <w:rFonts w:ascii="Garamond" w:hAnsi="Garamond"/>
        </w:rPr>
        <w:t>On 1 July 2010, Mr Edwards was taking rubbish from the Flat to the communal dustbins, when he tripped over an uneven paving stone on the paved area. He suffered injuries as a result and issued proceedings against Mr Kumarasamy contending that his injury was caused by Mr Kumarasamy’s failure to keep the paved area in repair, in breach of covenants implied into the Subtenancy by section 11(1)(a) and 11(1</w:t>
      </w:r>
      <w:proofErr w:type="gramStart"/>
      <w:r w:rsidRPr="00D11202">
        <w:rPr>
          <w:rFonts w:ascii="Garamond" w:hAnsi="Garamond"/>
        </w:rPr>
        <w:t>A)(</w:t>
      </w:r>
      <w:proofErr w:type="gramEnd"/>
      <w:r w:rsidRPr="00D11202">
        <w:rPr>
          <w:rFonts w:ascii="Garamond" w:hAnsi="Garamond"/>
        </w:rPr>
        <w:t xml:space="preserve">a) of the </w:t>
      </w:r>
      <w:r w:rsidR="00D27DF6" w:rsidRPr="00D11202">
        <w:rPr>
          <w:rFonts w:ascii="Garamond" w:hAnsi="Garamond"/>
        </w:rPr>
        <w:t xml:space="preserve">Landlord and Tenant </w:t>
      </w:r>
      <w:r w:rsidRPr="00D11202">
        <w:rPr>
          <w:rFonts w:ascii="Garamond" w:hAnsi="Garamond"/>
        </w:rPr>
        <w:t>Act 1985 (“the 1985 Act”).</w:t>
      </w:r>
    </w:p>
    <w:p w:rsidR="00770340" w:rsidRPr="00D11202" w:rsidRDefault="00770340" w:rsidP="00986C18">
      <w:pPr>
        <w:jc w:val="both"/>
        <w:rPr>
          <w:rFonts w:ascii="Garamond" w:hAnsi="Garamond"/>
        </w:rPr>
      </w:pPr>
    </w:p>
    <w:p w:rsidR="00236CD3" w:rsidRPr="00D11202" w:rsidRDefault="005A6442" w:rsidP="00986C18">
      <w:pPr>
        <w:jc w:val="both"/>
        <w:rPr>
          <w:rFonts w:ascii="Garamond" w:hAnsi="Garamond"/>
        </w:rPr>
      </w:pPr>
      <w:r w:rsidRPr="00D11202">
        <w:rPr>
          <w:rFonts w:ascii="Garamond" w:hAnsi="Garamond"/>
        </w:rPr>
        <w:t>At first instance</w:t>
      </w:r>
      <w:r w:rsidR="00460A4A" w:rsidRPr="00D11202">
        <w:rPr>
          <w:rFonts w:ascii="Garamond" w:hAnsi="Garamond"/>
        </w:rPr>
        <w:t xml:space="preserve"> Deputy District Judge Gilman accepted Mr Edwards case and awarded him £3,750 in damages. Her Honour Judge May QC allowed Mr Kumarasamy’s appeal on two grounds: (i) the paved area was not within the ambit of the section 11 covenant; and (ii) even if it had been, Mr Kumarasamy could not have been liable as he had no notice of the disrepair. The Court of Appeal allowed Mr Edwards’ appeal, disagreeing with Judge May on both grounds. Mr Kumarasamy </w:t>
      </w:r>
      <w:r w:rsidR="003F35D7" w:rsidRPr="00D11202">
        <w:rPr>
          <w:rFonts w:ascii="Garamond" w:hAnsi="Garamond"/>
        </w:rPr>
        <w:t>now appeal</w:t>
      </w:r>
      <w:r w:rsidRPr="00D11202">
        <w:rPr>
          <w:rFonts w:ascii="Garamond" w:hAnsi="Garamond"/>
        </w:rPr>
        <w:t>s</w:t>
      </w:r>
      <w:r w:rsidR="003F35D7" w:rsidRPr="00D11202">
        <w:rPr>
          <w:rFonts w:ascii="Garamond" w:hAnsi="Garamond"/>
        </w:rPr>
        <w:t xml:space="preserve"> to the Supreme Court.</w:t>
      </w:r>
    </w:p>
    <w:p w:rsidR="002F4749" w:rsidRPr="00D11202" w:rsidRDefault="002F4749" w:rsidP="00986C18">
      <w:pPr>
        <w:jc w:val="both"/>
        <w:rPr>
          <w:rFonts w:ascii="Garamond" w:hAnsi="Garamond"/>
        </w:rPr>
      </w:pPr>
    </w:p>
    <w:p w:rsidR="00A16C02" w:rsidRPr="00D11202" w:rsidRDefault="00A16C02" w:rsidP="00986C18">
      <w:pPr>
        <w:jc w:val="both"/>
        <w:rPr>
          <w:rFonts w:ascii="Garamond" w:hAnsi="Garamond"/>
          <w:b/>
        </w:rPr>
      </w:pPr>
      <w:r w:rsidRPr="00D11202">
        <w:rPr>
          <w:rFonts w:ascii="Garamond" w:hAnsi="Garamond"/>
          <w:b/>
        </w:rPr>
        <w:t>JUDGMENT</w:t>
      </w:r>
    </w:p>
    <w:p w:rsidR="00A16C02" w:rsidRPr="00D11202" w:rsidRDefault="00A16C02" w:rsidP="00986C18">
      <w:pPr>
        <w:jc w:val="both"/>
        <w:rPr>
          <w:rFonts w:ascii="Garamond" w:hAnsi="Garamond"/>
          <w:b/>
        </w:rPr>
      </w:pPr>
    </w:p>
    <w:p w:rsidR="003D7D7D" w:rsidRPr="00D11202" w:rsidRDefault="00A33577" w:rsidP="00986C18">
      <w:pPr>
        <w:jc w:val="both"/>
        <w:rPr>
          <w:rFonts w:ascii="Garamond" w:hAnsi="Garamond"/>
        </w:rPr>
      </w:pPr>
      <w:r w:rsidRPr="00D11202">
        <w:rPr>
          <w:rFonts w:ascii="Garamond" w:hAnsi="Garamond"/>
        </w:rPr>
        <w:t xml:space="preserve">The Supreme Court </w:t>
      </w:r>
      <w:r w:rsidR="00EE53D0" w:rsidRPr="00D11202">
        <w:rPr>
          <w:rFonts w:ascii="Garamond" w:hAnsi="Garamond"/>
        </w:rPr>
        <w:t xml:space="preserve">unanimously </w:t>
      </w:r>
      <w:r w:rsidR="00460A4A" w:rsidRPr="00D11202">
        <w:rPr>
          <w:rFonts w:ascii="Garamond" w:hAnsi="Garamond"/>
        </w:rPr>
        <w:t xml:space="preserve">allows Mr Kumarasamy’s </w:t>
      </w:r>
      <w:r w:rsidR="00937F9E" w:rsidRPr="00D11202">
        <w:rPr>
          <w:rFonts w:ascii="Garamond" w:hAnsi="Garamond"/>
        </w:rPr>
        <w:t>appeal</w:t>
      </w:r>
      <w:r w:rsidR="0025011D" w:rsidRPr="00D11202">
        <w:rPr>
          <w:rFonts w:ascii="Garamond" w:hAnsi="Garamond"/>
        </w:rPr>
        <w:t>.</w:t>
      </w:r>
      <w:r w:rsidR="00EE53D0" w:rsidRPr="00D11202">
        <w:rPr>
          <w:rFonts w:ascii="Garamond" w:hAnsi="Garamond"/>
        </w:rPr>
        <w:t xml:space="preserve"> Lord Neuberger </w:t>
      </w:r>
      <w:r w:rsidR="00C20ED3" w:rsidRPr="00D11202">
        <w:rPr>
          <w:rFonts w:ascii="Garamond" w:hAnsi="Garamond"/>
        </w:rPr>
        <w:t xml:space="preserve">gives the </w:t>
      </w:r>
      <w:r w:rsidR="000F7BDD" w:rsidRPr="00D11202">
        <w:rPr>
          <w:rFonts w:ascii="Garamond" w:hAnsi="Garamond"/>
        </w:rPr>
        <w:t xml:space="preserve">leading </w:t>
      </w:r>
      <w:r w:rsidR="00EE53D0" w:rsidRPr="00D11202">
        <w:rPr>
          <w:rFonts w:ascii="Garamond" w:hAnsi="Garamond"/>
        </w:rPr>
        <w:t>judgment, with which the other Justices agree.</w:t>
      </w:r>
      <w:r w:rsidR="000F7BDD" w:rsidRPr="00D11202">
        <w:rPr>
          <w:rFonts w:ascii="Garamond" w:hAnsi="Garamond"/>
        </w:rPr>
        <w:t xml:space="preserve"> Lord Carnwath </w:t>
      </w:r>
      <w:r w:rsidR="000D6494" w:rsidRPr="00D11202">
        <w:rPr>
          <w:rFonts w:ascii="Garamond" w:hAnsi="Garamond"/>
        </w:rPr>
        <w:t xml:space="preserve">also </w:t>
      </w:r>
      <w:r w:rsidR="000F7BDD" w:rsidRPr="00D11202">
        <w:rPr>
          <w:rFonts w:ascii="Garamond" w:hAnsi="Garamond"/>
        </w:rPr>
        <w:t>gives a short judgment.</w:t>
      </w:r>
    </w:p>
    <w:p w:rsidR="006A0888" w:rsidRPr="00D11202" w:rsidRDefault="006A0888" w:rsidP="00986C18">
      <w:pPr>
        <w:jc w:val="both"/>
        <w:rPr>
          <w:rFonts w:ascii="Garamond" w:hAnsi="Garamond"/>
          <w:b/>
        </w:rPr>
      </w:pPr>
    </w:p>
    <w:p w:rsidR="00A16C02" w:rsidRPr="00D11202" w:rsidRDefault="00A16C02" w:rsidP="00986C18">
      <w:pPr>
        <w:jc w:val="both"/>
        <w:rPr>
          <w:rFonts w:ascii="Garamond" w:hAnsi="Garamond"/>
          <w:b/>
        </w:rPr>
      </w:pPr>
      <w:r w:rsidRPr="00D11202">
        <w:rPr>
          <w:rFonts w:ascii="Garamond" w:hAnsi="Garamond"/>
          <w:b/>
        </w:rPr>
        <w:t>REASONS FOR THE JUDGMENT</w:t>
      </w:r>
    </w:p>
    <w:p w:rsidR="00A16C02" w:rsidRPr="00D11202" w:rsidRDefault="00A16C02" w:rsidP="00986C18">
      <w:pPr>
        <w:jc w:val="both"/>
        <w:rPr>
          <w:rFonts w:ascii="Garamond" w:hAnsi="Garamond"/>
          <w:b/>
        </w:rPr>
      </w:pPr>
    </w:p>
    <w:p w:rsidR="009B3059" w:rsidRDefault="009B3059" w:rsidP="00986C18">
      <w:pPr>
        <w:jc w:val="both"/>
        <w:rPr>
          <w:rFonts w:ascii="Garamond" w:hAnsi="Garamond"/>
        </w:rPr>
      </w:pPr>
      <w:r w:rsidRPr="00D11202">
        <w:rPr>
          <w:rFonts w:ascii="Garamond" w:hAnsi="Garamond"/>
        </w:rPr>
        <w:t>This appeal raises three questions</w:t>
      </w:r>
      <w:r w:rsidR="00277EAF" w:rsidRPr="00D11202">
        <w:rPr>
          <w:rFonts w:ascii="Garamond" w:hAnsi="Garamond"/>
        </w:rPr>
        <w:t>, all of which must be answered in the affirmative for Mr Edwards to succeed on the appeal</w:t>
      </w:r>
      <w:r w:rsidR="006A0888" w:rsidRPr="00D11202">
        <w:rPr>
          <w:rFonts w:ascii="Garamond" w:hAnsi="Garamond"/>
        </w:rPr>
        <w:t xml:space="preserve"> </w:t>
      </w:r>
      <w:r w:rsidR="006A0888" w:rsidRPr="00D11202">
        <w:rPr>
          <w:rFonts w:ascii="Garamond" w:hAnsi="Garamond"/>
          <w:b/>
        </w:rPr>
        <w:t>[14-16]</w:t>
      </w:r>
      <w:r w:rsidRPr="00D11202">
        <w:rPr>
          <w:rFonts w:ascii="Garamond" w:hAnsi="Garamond"/>
        </w:rPr>
        <w:t>:</w:t>
      </w:r>
    </w:p>
    <w:p w:rsidR="00986C18" w:rsidRPr="00D11202" w:rsidRDefault="00986C18" w:rsidP="00986C18">
      <w:pPr>
        <w:jc w:val="both"/>
        <w:rPr>
          <w:rFonts w:ascii="Garamond" w:hAnsi="Garamond"/>
        </w:rPr>
      </w:pPr>
    </w:p>
    <w:p w:rsidR="009B3059" w:rsidRPr="00D11202" w:rsidRDefault="009B3059" w:rsidP="00986C18">
      <w:pPr>
        <w:numPr>
          <w:ilvl w:val="0"/>
          <w:numId w:val="16"/>
        </w:numPr>
        <w:jc w:val="both"/>
        <w:rPr>
          <w:rFonts w:ascii="Garamond" w:hAnsi="Garamond"/>
        </w:rPr>
      </w:pPr>
      <w:r w:rsidRPr="00D11202">
        <w:rPr>
          <w:rFonts w:ascii="Garamond" w:hAnsi="Garamond"/>
        </w:rPr>
        <w:t>Whether</w:t>
      </w:r>
      <w:r w:rsidR="000F00FB" w:rsidRPr="00D11202">
        <w:rPr>
          <w:rFonts w:ascii="Garamond" w:hAnsi="Garamond"/>
        </w:rPr>
        <w:t>, in the light of the wording of sections 11(1)(a) and 11(1</w:t>
      </w:r>
      <w:proofErr w:type="gramStart"/>
      <w:r w:rsidR="000F00FB" w:rsidRPr="00D11202">
        <w:rPr>
          <w:rFonts w:ascii="Garamond" w:hAnsi="Garamond"/>
        </w:rPr>
        <w:t>A)(</w:t>
      </w:r>
      <w:proofErr w:type="gramEnd"/>
      <w:r w:rsidR="000F00FB" w:rsidRPr="00D11202">
        <w:rPr>
          <w:rFonts w:ascii="Garamond" w:hAnsi="Garamond"/>
        </w:rPr>
        <w:t>a)</w:t>
      </w:r>
      <w:r w:rsidR="00D11202" w:rsidRPr="00D11202">
        <w:rPr>
          <w:rFonts w:ascii="Garamond" w:hAnsi="Garamond"/>
        </w:rPr>
        <w:t xml:space="preserve"> of the 1985 Act</w:t>
      </w:r>
      <w:r w:rsidR="000F00FB" w:rsidRPr="00D11202">
        <w:rPr>
          <w:rFonts w:ascii="Garamond" w:hAnsi="Garamond"/>
        </w:rPr>
        <w:t>,</w:t>
      </w:r>
      <w:r w:rsidRPr="00D11202">
        <w:rPr>
          <w:rFonts w:ascii="Garamond" w:hAnsi="Garamond"/>
        </w:rPr>
        <w:t xml:space="preserve"> the paved area can be described as part of the exterior of the front hall;</w:t>
      </w:r>
    </w:p>
    <w:p w:rsidR="009B3059" w:rsidRPr="00D11202" w:rsidRDefault="009B3059" w:rsidP="00986C18">
      <w:pPr>
        <w:numPr>
          <w:ilvl w:val="0"/>
          <w:numId w:val="16"/>
        </w:numPr>
        <w:jc w:val="both"/>
        <w:rPr>
          <w:rFonts w:ascii="Garamond" w:hAnsi="Garamond"/>
        </w:rPr>
      </w:pPr>
      <w:r w:rsidRPr="00D11202">
        <w:rPr>
          <w:rFonts w:ascii="Garamond" w:hAnsi="Garamond"/>
        </w:rPr>
        <w:t>Whether Mr Kumarasamy had an “estate or interest” in the front hall for the</w:t>
      </w:r>
      <w:r w:rsidR="00986C18">
        <w:rPr>
          <w:rFonts w:ascii="Garamond" w:hAnsi="Garamond"/>
        </w:rPr>
        <w:t xml:space="preserve"> purposes of section 11(1</w:t>
      </w:r>
      <w:proofErr w:type="gramStart"/>
      <w:r w:rsidR="00986C18">
        <w:rPr>
          <w:rFonts w:ascii="Garamond" w:hAnsi="Garamond"/>
        </w:rPr>
        <w:t>A)(</w:t>
      </w:r>
      <w:proofErr w:type="gramEnd"/>
      <w:r w:rsidR="00986C18">
        <w:rPr>
          <w:rFonts w:ascii="Garamond" w:hAnsi="Garamond"/>
        </w:rPr>
        <w:t>a);</w:t>
      </w:r>
    </w:p>
    <w:p w:rsidR="009B3059" w:rsidRPr="00D11202" w:rsidRDefault="009B3059" w:rsidP="00986C18">
      <w:pPr>
        <w:numPr>
          <w:ilvl w:val="0"/>
          <w:numId w:val="16"/>
        </w:numPr>
        <w:jc w:val="both"/>
        <w:rPr>
          <w:rFonts w:ascii="Garamond" w:hAnsi="Garamond"/>
        </w:rPr>
      </w:pPr>
      <w:r w:rsidRPr="00D11202">
        <w:rPr>
          <w:rFonts w:ascii="Garamond" w:hAnsi="Garamond"/>
        </w:rPr>
        <w:lastRenderedPageBreak/>
        <w:t>Whether Mr Kumarasamy could be liable to Mr Edwards for the disrepair in question notwithstanding that he had had no notice of the disrepair in the paved area before Mr Edwards’ accident.</w:t>
      </w:r>
    </w:p>
    <w:p w:rsidR="009B3059" w:rsidRPr="00D11202" w:rsidRDefault="009B3059" w:rsidP="00986C18">
      <w:pPr>
        <w:jc w:val="both"/>
        <w:rPr>
          <w:rFonts w:ascii="Garamond" w:hAnsi="Garamond"/>
          <w:b/>
        </w:rPr>
      </w:pPr>
    </w:p>
    <w:p w:rsidR="006A0888" w:rsidRPr="00D11202" w:rsidRDefault="00D27DF6" w:rsidP="00986C18">
      <w:pPr>
        <w:jc w:val="both"/>
        <w:rPr>
          <w:rFonts w:ascii="Garamond" w:hAnsi="Garamond"/>
        </w:rPr>
      </w:pPr>
      <w:r w:rsidRPr="00D11202">
        <w:rPr>
          <w:rFonts w:ascii="Garamond" w:hAnsi="Garamond"/>
        </w:rPr>
        <w:t>Section 11(1) of the 1985 Act</w:t>
      </w:r>
      <w:r w:rsidR="000F00FB" w:rsidRPr="00D11202">
        <w:rPr>
          <w:rFonts w:ascii="Garamond" w:hAnsi="Garamond"/>
        </w:rPr>
        <w:t>, which</w:t>
      </w:r>
      <w:r w:rsidRPr="00D11202">
        <w:rPr>
          <w:rFonts w:ascii="Garamond" w:hAnsi="Garamond"/>
        </w:rPr>
        <w:t xml:space="preserve"> implies into </w:t>
      </w:r>
      <w:r w:rsidR="00E04D9E" w:rsidRPr="00D11202">
        <w:rPr>
          <w:rFonts w:ascii="Garamond" w:hAnsi="Garamond"/>
        </w:rPr>
        <w:t xml:space="preserve">certain leases </w:t>
      </w:r>
      <w:r w:rsidR="00A244D8" w:rsidRPr="00D11202">
        <w:rPr>
          <w:rFonts w:ascii="Garamond" w:hAnsi="Garamond"/>
        </w:rPr>
        <w:t xml:space="preserve">of dwelling-houses </w:t>
      </w:r>
      <w:r w:rsidR="00E04D9E" w:rsidRPr="00D11202">
        <w:rPr>
          <w:rFonts w:ascii="Garamond" w:hAnsi="Garamond"/>
        </w:rPr>
        <w:t>a covenant by the landlord to keep in repair the structure and exterior of the dwelling-house</w:t>
      </w:r>
      <w:r w:rsidR="000F00FB" w:rsidRPr="00D11202">
        <w:rPr>
          <w:rFonts w:ascii="Garamond" w:hAnsi="Garamond"/>
        </w:rPr>
        <w:t>, applies to the Subtenancy</w:t>
      </w:r>
      <w:r w:rsidR="00A244D8" w:rsidRPr="00D11202">
        <w:rPr>
          <w:rFonts w:ascii="Garamond" w:hAnsi="Garamond"/>
        </w:rPr>
        <w:t xml:space="preserve">. Where the dwelling-house only forms part of a building, section 11(1A) provides that the covenant has effect in relation to any part of the building in which the lessor has an estate or interest </w:t>
      </w:r>
      <w:r w:rsidR="00A244D8" w:rsidRPr="00D11202">
        <w:rPr>
          <w:rFonts w:ascii="Garamond" w:hAnsi="Garamond"/>
          <w:b/>
        </w:rPr>
        <w:t>[6]</w:t>
      </w:r>
      <w:r w:rsidR="00E04D9E" w:rsidRPr="00D11202">
        <w:rPr>
          <w:rFonts w:ascii="Garamond" w:hAnsi="Garamond"/>
        </w:rPr>
        <w:t xml:space="preserve">. </w:t>
      </w:r>
      <w:r w:rsidR="00A244D8" w:rsidRPr="00D11202">
        <w:rPr>
          <w:rFonts w:ascii="Garamond" w:hAnsi="Garamond"/>
        </w:rPr>
        <w:t>I</w:t>
      </w:r>
      <w:r w:rsidR="00277EAF" w:rsidRPr="00D11202">
        <w:rPr>
          <w:rFonts w:ascii="Garamond" w:hAnsi="Garamond"/>
        </w:rPr>
        <w:t>t is not possible, as a matter of ordinary language, to describe a path leading from a car park to the entrance door of a building as part of the exterior of the front hall</w:t>
      </w:r>
      <w:r w:rsidR="000F00FB" w:rsidRPr="00D11202">
        <w:rPr>
          <w:rFonts w:ascii="Garamond" w:hAnsi="Garamond"/>
        </w:rPr>
        <w:t xml:space="preserve"> of that building</w:t>
      </w:r>
      <w:r w:rsidR="00277EAF" w:rsidRPr="00D11202">
        <w:rPr>
          <w:rFonts w:ascii="Garamond" w:hAnsi="Garamond"/>
        </w:rPr>
        <w:t xml:space="preserve"> </w:t>
      </w:r>
      <w:r w:rsidR="00277EAF" w:rsidRPr="00D11202">
        <w:rPr>
          <w:rFonts w:ascii="Garamond" w:hAnsi="Garamond"/>
          <w:b/>
        </w:rPr>
        <w:t>[17]</w:t>
      </w:r>
      <w:r w:rsidR="00277EAF" w:rsidRPr="00D11202">
        <w:rPr>
          <w:rFonts w:ascii="Garamond" w:hAnsi="Garamond"/>
        </w:rPr>
        <w:t xml:space="preserve">. </w:t>
      </w:r>
      <w:r w:rsidR="00F72253" w:rsidRPr="00D11202">
        <w:rPr>
          <w:rFonts w:ascii="Garamond" w:hAnsi="Garamond"/>
        </w:rPr>
        <w:t>Such a</w:t>
      </w:r>
      <w:r w:rsidR="00277EAF" w:rsidRPr="00D11202">
        <w:rPr>
          <w:rFonts w:ascii="Garamond" w:hAnsi="Garamond"/>
        </w:rPr>
        <w:t xml:space="preserve"> wide reading would be difficult to reconcile with the wording of </w:t>
      </w:r>
      <w:r w:rsidR="00F72253" w:rsidRPr="00D11202">
        <w:rPr>
          <w:rFonts w:ascii="Garamond" w:hAnsi="Garamond"/>
        </w:rPr>
        <w:t>section 11(1</w:t>
      </w:r>
      <w:proofErr w:type="gramStart"/>
      <w:r w:rsidR="00F72253" w:rsidRPr="00D11202">
        <w:rPr>
          <w:rFonts w:ascii="Garamond" w:hAnsi="Garamond"/>
        </w:rPr>
        <w:t>A)(</w:t>
      </w:r>
      <w:proofErr w:type="gramEnd"/>
      <w:r w:rsidR="00F72253" w:rsidRPr="00D11202">
        <w:rPr>
          <w:rFonts w:ascii="Garamond" w:hAnsi="Garamond"/>
        </w:rPr>
        <w:t>a)</w:t>
      </w:r>
      <w:r w:rsidR="00277EAF" w:rsidRPr="00D11202">
        <w:rPr>
          <w:rFonts w:ascii="Garamond" w:hAnsi="Garamond"/>
        </w:rPr>
        <w:t>, particularly the limitation to “the building”</w:t>
      </w:r>
      <w:r w:rsidR="00F72253" w:rsidRPr="00D11202">
        <w:rPr>
          <w:rFonts w:ascii="Garamond" w:hAnsi="Garamond"/>
        </w:rPr>
        <w:t>,</w:t>
      </w:r>
      <w:r w:rsidR="00277EAF" w:rsidRPr="00D11202">
        <w:rPr>
          <w:rFonts w:ascii="Garamond" w:hAnsi="Garamond"/>
        </w:rPr>
        <w:t xml:space="preserve"> and the specific extension to cover “drains, gutters and external pipes”</w:t>
      </w:r>
      <w:r w:rsidR="00F72253" w:rsidRPr="00D11202">
        <w:rPr>
          <w:rFonts w:ascii="Garamond" w:hAnsi="Garamond"/>
        </w:rPr>
        <w:t>,</w:t>
      </w:r>
      <w:r w:rsidR="00277EAF" w:rsidRPr="00D11202">
        <w:rPr>
          <w:rFonts w:ascii="Garamond" w:hAnsi="Garamond"/>
        </w:rPr>
        <w:t xml:space="preserve"> which supports a natural reading of the term “exterior” </w:t>
      </w:r>
      <w:r w:rsidR="00277EAF" w:rsidRPr="00D11202">
        <w:rPr>
          <w:rFonts w:ascii="Garamond" w:hAnsi="Garamond"/>
          <w:b/>
        </w:rPr>
        <w:t>[18]</w:t>
      </w:r>
      <w:r w:rsidR="00277EAF" w:rsidRPr="00D11202">
        <w:rPr>
          <w:rFonts w:ascii="Garamond" w:hAnsi="Garamond"/>
        </w:rPr>
        <w:t>.</w:t>
      </w:r>
      <w:r w:rsidR="00F72253" w:rsidRPr="00D11202">
        <w:rPr>
          <w:rFonts w:ascii="Garamond" w:hAnsi="Garamond"/>
        </w:rPr>
        <w:t xml:space="preserve"> </w:t>
      </w:r>
    </w:p>
    <w:p w:rsidR="009B3059" w:rsidRPr="00D11202" w:rsidRDefault="009B3059" w:rsidP="00986C18">
      <w:pPr>
        <w:jc w:val="both"/>
        <w:rPr>
          <w:rFonts w:ascii="Garamond" w:hAnsi="Garamond"/>
          <w:b/>
        </w:rPr>
      </w:pPr>
    </w:p>
    <w:p w:rsidR="00E126CE" w:rsidRPr="00D11202" w:rsidRDefault="00E126CE" w:rsidP="00986C18">
      <w:pPr>
        <w:jc w:val="both"/>
        <w:rPr>
          <w:rFonts w:ascii="Garamond" w:hAnsi="Garamond"/>
        </w:rPr>
      </w:pPr>
      <w:r w:rsidRPr="00D11202">
        <w:rPr>
          <w:rFonts w:ascii="Garamond" w:hAnsi="Garamond"/>
        </w:rPr>
        <w:t xml:space="preserve">As to the second question, Mr Kumarasamy was granted a right of way over the front hall and, as a matter of property law, a right of way over land constitutes an interest in that land </w:t>
      </w:r>
      <w:r w:rsidRPr="00D11202">
        <w:rPr>
          <w:rFonts w:ascii="Garamond" w:hAnsi="Garamond"/>
          <w:b/>
        </w:rPr>
        <w:t>[23]</w:t>
      </w:r>
      <w:r w:rsidRPr="00D11202">
        <w:rPr>
          <w:rFonts w:ascii="Garamond" w:hAnsi="Garamond"/>
        </w:rPr>
        <w:t xml:space="preserve">. The argument that Mr Kumarasamy cannot be said to have interest in the front hall since the Subtenancy had effectively deprived Mr Kumarasamy of any practical benefit in the easement so long as it continued is rejected </w:t>
      </w:r>
      <w:r w:rsidRPr="00D11202">
        <w:rPr>
          <w:rFonts w:ascii="Garamond" w:hAnsi="Garamond"/>
          <w:b/>
        </w:rPr>
        <w:t>[24-25]</w:t>
      </w:r>
      <w:r w:rsidRPr="00D11202">
        <w:rPr>
          <w:rFonts w:ascii="Garamond" w:hAnsi="Garamond"/>
        </w:rPr>
        <w:t xml:space="preserve">. </w:t>
      </w:r>
    </w:p>
    <w:p w:rsidR="00E126CE" w:rsidRPr="00D11202" w:rsidRDefault="00E126CE" w:rsidP="00986C18">
      <w:pPr>
        <w:jc w:val="both"/>
        <w:rPr>
          <w:rFonts w:ascii="Garamond" w:hAnsi="Garamond"/>
        </w:rPr>
      </w:pPr>
    </w:p>
    <w:p w:rsidR="00E126CE" w:rsidRPr="00D11202" w:rsidRDefault="00E126CE" w:rsidP="00986C18">
      <w:pPr>
        <w:jc w:val="both"/>
        <w:rPr>
          <w:rFonts w:ascii="Garamond" w:hAnsi="Garamond"/>
        </w:rPr>
      </w:pPr>
      <w:r w:rsidRPr="00D11202">
        <w:rPr>
          <w:rFonts w:ascii="Garamond" w:hAnsi="Garamond"/>
        </w:rPr>
        <w:t>As to the third question</w:t>
      </w:r>
      <w:r w:rsidR="005C5549" w:rsidRPr="00D11202">
        <w:rPr>
          <w:rFonts w:ascii="Garamond" w:hAnsi="Garamond"/>
        </w:rPr>
        <w:t xml:space="preserve">, </w:t>
      </w:r>
      <w:r w:rsidR="000F00FB" w:rsidRPr="00D11202">
        <w:rPr>
          <w:rFonts w:ascii="Garamond" w:hAnsi="Garamond"/>
        </w:rPr>
        <w:t xml:space="preserve">there is an established rule that </w:t>
      </w:r>
      <w:r w:rsidR="005C5549" w:rsidRPr="00D11202">
        <w:rPr>
          <w:rFonts w:ascii="Garamond" w:hAnsi="Garamond"/>
        </w:rPr>
        <w:t>a landlord is not liable to repair premises which are in the possession of the tenant and not of the landlord, unless and until the landlord has notice of the disrepair</w:t>
      </w:r>
      <w:r w:rsidR="00961462" w:rsidRPr="00D11202">
        <w:rPr>
          <w:rFonts w:ascii="Garamond" w:hAnsi="Garamond"/>
        </w:rPr>
        <w:t xml:space="preserve"> (“the rule”)</w:t>
      </w:r>
      <w:r w:rsidR="005C5549" w:rsidRPr="00D11202">
        <w:rPr>
          <w:rFonts w:ascii="Garamond" w:hAnsi="Garamond"/>
        </w:rPr>
        <w:t xml:space="preserve"> </w:t>
      </w:r>
      <w:r w:rsidR="005C5549" w:rsidRPr="00D11202">
        <w:rPr>
          <w:rFonts w:ascii="Garamond" w:hAnsi="Garamond"/>
          <w:b/>
        </w:rPr>
        <w:t>[30]</w:t>
      </w:r>
      <w:r w:rsidR="005C5549" w:rsidRPr="00D11202">
        <w:rPr>
          <w:rFonts w:ascii="Garamond" w:hAnsi="Garamond"/>
        </w:rPr>
        <w:t>.</w:t>
      </w:r>
      <w:r w:rsidR="00870D62" w:rsidRPr="00D11202">
        <w:rPr>
          <w:rFonts w:ascii="Garamond" w:hAnsi="Garamond"/>
        </w:rPr>
        <w:t xml:space="preserve"> </w:t>
      </w:r>
      <w:r w:rsidR="000F00FB" w:rsidRPr="00D11202">
        <w:rPr>
          <w:rFonts w:ascii="Garamond" w:hAnsi="Garamond"/>
        </w:rPr>
        <w:t xml:space="preserve">Where </w:t>
      </w:r>
      <w:r w:rsidR="00870D62" w:rsidRPr="00D11202">
        <w:rPr>
          <w:rFonts w:ascii="Garamond" w:hAnsi="Garamond"/>
        </w:rPr>
        <w:t xml:space="preserve">a landlord agrees to repair the structure and exterior of a flat, the rule would apply but only to the extent that the structure is included in the demise and the tenant is accordingly in possession of that part of the structure </w:t>
      </w:r>
      <w:r w:rsidR="00870D62" w:rsidRPr="00D11202">
        <w:rPr>
          <w:rFonts w:ascii="Garamond" w:hAnsi="Garamond"/>
          <w:b/>
        </w:rPr>
        <w:t>[39</w:t>
      </w:r>
      <w:r w:rsidR="007E6D50" w:rsidRPr="00D11202">
        <w:rPr>
          <w:rFonts w:ascii="Garamond" w:hAnsi="Garamond"/>
          <w:b/>
        </w:rPr>
        <w:t>-40</w:t>
      </w:r>
      <w:r w:rsidR="00870D62" w:rsidRPr="00D11202">
        <w:rPr>
          <w:rFonts w:ascii="Garamond" w:hAnsi="Garamond"/>
          <w:b/>
        </w:rPr>
        <w:t>]</w:t>
      </w:r>
      <w:r w:rsidR="00870D62" w:rsidRPr="00D11202">
        <w:rPr>
          <w:rFonts w:ascii="Garamond" w:hAnsi="Garamond"/>
        </w:rPr>
        <w:t>.</w:t>
      </w:r>
      <w:r w:rsidR="007E6D50" w:rsidRPr="00D11202">
        <w:rPr>
          <w:rFonts w:ascii="Garamond" w:hAnsi="Garamond"/>
        </w:rPr>
        <w:t xml:space="preserve"> </w:t>
      </w:r>
    </w:p>
    <w:p w:rsidR="005E4481" w:rsidRPr="00D11202" w:rsidRDefault="005E4481" w:rsidP="00986C18">
      <w:pPr>
        <w:jc w:val="both"/>
        <w:rPr>
          <w:rFonts w:ascii="Garamond" w:hAnsi="Garamond"/>
        </w:rPr>
      </w:pPr>
    </w:p>
    <w:p w:rsidR="00BF6D09" w:rsidRPr="00D11202" w:rsidRDefault="005E4481" w:rsidP="00986C18">
      <w:pPr>
        <w:jc w:val="both"/>
        <w:rPr>
          <w:rFonts w:ascii="Garamond" w:hAnsi="Garamond"/>
        </w:rPr>
      </w:pPr>
      <w:r w:rsidRPr="00D11202">
        <w:rPr>
          <w:rFonts w:ascii="Garamond" w:hAnsi="Garamond"/>
        </w:rPr>
        <w:t xml:space="preserve">The subsequent question is whether </w:t>
      </w:r>
      <w:r w:rsidR="00D14D41" w:rsidRPr="00D11202">
        <w:rPr>
          <w:rFonts w:ascii="Garamond" w:hAnsi="Garamond"/>
        </w:rPr>
        <w:t xml:space="preserve">the rule can be invoked when </w:t>
      </w:r>
      <w:r w:rsidRPr="00D11202">
        <w:rPr>
          <w:rFonts w:ascii="Garamond" w:hAnsi="Garamond"/>
        </w:rPr>
        <w:t xml:space="preserve">a landlord has covenanted with </w:t>
      </w:r>
      <w:r w:rsidR="00BF6D09" w:rsidRPr="00D11202">
        <w:rPr>
          <w:rFonts w:ascii="Garamond" w:hAnsi="Garamond"/>
        </w:rPr>
        <w:t>a</w:t>
      </w:r>
      <w:r w:rsidRPr="00D11202">
        <w:rPr>
          <w:rFonts w:ascii="Garamond" w:hAnsi="Garamond"/>
        </w:rPr>
        <w:t xml:space="preserve"> tenant to repair </w:t>
      </w:r>
      <w:r w:rsidR="006A30B6" w:rsidRPr="00D11202">
        <w:rPr>
          <w:rFonts w:ascii="Garamond" w:hAnsi="Garamond"/>
        </w:rPr>
        <w:t xml:space="preserve">the structure but </w:t>
      </w:r>
      <w:r w:rsidR="00BF6D09" w:rsidRPr="00D11202">
        <w:rPr>
          <w:rFonts w:ascii="Garamond" w:hAnsi="Garamond"/>
        </w:rPr>
        <w:t>is not in possession of the structure, for example because he has let it to another tenant</w:t>
      </w:r>
      <w:r w:rsidR="00D14D41" w:rsidRPr="00D11202">
        <w:rPr>
          <w:rFonts w:ascii="Garamond" w:hAnsi="Garamond"/>
        </w:rPr>
        <w:t xml:space="preserve"> </w:t>
      </w:r>
      <w:r w:rsidR="006A30B6" w:rsidRPr="00D11202">
        <w:rPr>
          <w:rFonts w:ascii="Garamond" w:hAnsi="Garamond"/>
          <w:b/>
        </w:rPr>
        <w:t>[41]</w:t>
      </w:r>
      <w:r w:rsidR="006A30B6" w:rsidRPr="00D11202">
        <w:rPr>
          <w:rFonts w:ascii="Garamond" w:hAnsi="Garamond"/>
        </w:rPr>
        <w:t xml:space="preserve">. </w:t>
      </w:r>
      <w:r w:rsidR="00D13D33" w:rsidRPr="00D11202">
        <w:rPr>
          <w:rFonts w:ascii="Garamond" w:hAnsi="Garamond"/>
        </w:rPr>
        <w:t xml:space="preserve">In such a case, </w:t>
      </w:r>
      <w:r w:rsidR="00BF6D09" w:rsidRPr="00D11202">
        <w:rPr>
          <w:rFonts w:ascii="Garamond" w:hAnsi="Garamond"/>
        </w:rPr>
        <w:t xml:space="preserve">the landlord is not normally entitled to notice in such circumstances </w:t>
      </w:r>
      <w:r w:rsidR="00BF6D09" w:rsidRPr="00D11202">
        <w:rPr>
          <w:rFonts w:ascii="Garamond" w:hAnsi="Garamond"/>
          <w:b/>
        </w:rPr>
        <w:t>[42-42]</w:t>
      </w:r>
      <w:r w:rsidR="00BF6D09" w:rsidRPr="00D11202">
        <w:rPr>
          <w:rFonts w:ascii="Garamond" w:hAnsi="Garamond"/>
        </w:rPr>
        <w:t xml:space="preserve">. The rule only applies to property in the possession of the tenant </w:t>
      </w:r>
      <w:r w:rsidR="00BF6D09" w:rsidRPr="00D11202">
        <w:rPr>
          <w:rFonts w:ascii="Garamond" w:hAnsi="Garamond"/>
          <w:b/>
        </w:rPr>
        <w:t>[43]</w:t>
      </w:r>
      <w:r w:rsidR="00BF6D09" w:rsidRPr="00D11202">
        <w:rPr>
          <w:rFonts w:ascii="Garamond" w:hAnsi="Garamond"/>
        </w:rPr>
        <w:t xml:space="preserve">. </w:t>
      </w:r>
    </w:p>
    <w:p w:rsidR="00CA3FA7" w:rsidRPr="00D11202" w:rsidRDefault="00CA3FA7" w:rsidP="00986C18">
      <w:pPr>
        <w:jc w:val="both"/>
        <w:rPr>
          <w:rFonts w:ascii="Garamond" w:hAnsi="Garamond"/>
        </w:rPr>
      </w:pPr>
    </w:p>
    <w:p w:rsidR="00CA3FA7" w:rsidRPr="00D11202" w:rsidRDefault="00BF6D09" w:rsidP="00986C18">
      <w:pPr>
        <w:jc w:val="both"/>
        <w:rPr>
          <w:rFonts w:ascii="Garamond" w:hAnsi="Garamond"/>
        </w:rPr>
      </w:pPr>
      <w:r w:rsidRPr="00D11202">
        <w:rPr>
          <w:rFonts w:ascii="Garamond" w:hAnsi="Garamond"/>
        </w:rPr>
        <w:t xml:space="preserve">In view of this analysis, </w:t>
      </w:r>
      <w:r w:rsidR="00CA3FA7" w:rsidRPr="00D11202">
        <w:rPr>
          <w:rFonts w:ascii="Garamond" w:hAnsi="Garamond"/>
        </w:rPr>
        <w:t>Mr Kumarasamy</w:t>
      </w:r>
      <w:r w:rsidRPr="00D11202">
        <w:rPr>
          <w:rFonts w:ascii="Garamond" w:hAnsi="Garamond"/>
        </w:rPr>
        <w:t xml:space="preserve">’s submission </w:t>
      </w:r>
      <w:r w:rsidR="00CA3FA7" w:rsidRPr="00D11202">
        <w:rPr>
          <w:rFonts w:ascii="Garamond" w:hAnsi="Garamond"/>
        </w:rPr>
        <w:t xml:space="preserve">that, in every case where a tenant relies on a covenant implied by section 11, a landlord </w:t>
      </w:r>
      <w:r w:rsidR="00FB0EB7" w:rsidRPr="00D11202">
        <w:rPr>
          <w:rFonts w:ascii="Garamond" w:hAnsi="Garamond"/>
        </w:rPr>
        <w:t xml:space="preserve">could not be liable until they had </w:t>
      </w:r>
      <w:r w:rsidR="00D14D41" w:rsidRPr="00D11202">
        <w:rPr>
          <w:rFonts w:ascii="Garamond" w:hAnsi="Garamond"/>
        </w:rPr>
        <w:t>notice</w:t>
      </w:r>
      <w:r w:rsidR="00FB0EB7" w:rsidRPr="00D11202">
        <w:rPr>
          <w:rFonts w:ascii="Garamond" w:hAnsi="Garamond"/>
        </w:rPr>
        <w:t xml:space="preserve"> of the disrepair</w:t>
      </w:r>
      <w:r w:rsidRPr="00D11202">
        <w:rPr>
          <w:rFonts w:ascii="Garamond" w:hAnsi="Garamond"/>
        </w:rPr>
        <w:t>, even where the landlord is undoubtedly in possession of the property,</w:t>
      </w:r>
      <w:r w:rsidR="00CA3FA7" w:rsidRPr="00D11202">
        <w:rPr>
          <w:rFonts w:ascii="Garamond" w:hAnsi="Garamond"/>
        </w:rPr>
        <w:t xml:space="preserve"> </w:t>
      </w:r>
      <w:r w:rsidR="00447025" w:rsidRPr="00D11202">
        <w:rPr>
          <w:rFonts w:ascii="Garamond" w:hAnsi="Garamond"/>
        </w:rPr>
        <w:t xml:space="preserve">is rejected </w:t>
      </w:r>
      <w:r w:rsidR="00447025" w:rsidRPr="00D11202">
        <w:rPr>
          <w:rFonts w:ascii="Garamond" w:hAnsi="Garamond"/>
          <w:b/>
        </w:rPr>
        <w:t>[</w:t>
      </w:r>
      <w:r w:rsidRPr="00D11202">
        <w:rPr>
          <w:rFonts w:ascii="Garamond" w:hAnsi="Garamond"/>
          <w:b/>
        </w:rPr>
        <w:t>44-</w:t>
      </w:r>
      <w:r w:rsidR="00447025" w:rsidRPr="00D11202">
        <w:rPr>
          <w:rFonts w:ascii="Garamond" w:hAnsi="Garamond"/>
          <w:b/>
        </w:rPr>
        <w:t>46]</w:t>
      </w:r>
      <w:r w:rsidR="00447025" w:rsidRPr="00D11202">
        <w:rPr>
          <w:rFonts w:ascii="Garamond" w:hAnsi="Garamond"/>
        </w:rPr>
        <w:t xml:space="preserve">. </w:t>
      </w:r>
    </w:p>
    <w:p w:rsidR="00BF6D09" w:rsidRPr="00D11202" w:rsidRDefault="00BF6D09" w:rsidP="00986C18">
      <w:pPr>
        <w:jc w:val="both"/>
        <w:rPr>
          <w:rFonts w:ascii="Garamond" w:hAnsi="Garamond"/>
        </w:rPr>
      </w:pPr>
    </w:p>
    <w:p w:rsidR="00A60A61" w:rsidRPr="00D11202" w:rsidRDefault="00BF6D09" w:rsidP="00986C18">
      <w:pPr>
        <w:jc w:val="both"/>
        <w:rPr>
          <w:rFonts w:ascii="Garamond" w:hAnsi="Garamond"/>
        </w:rPr>
      </w:pPr>
      <w:r w:rsidRPr="00D11202">
        <w:rPr>
          <w:rFonts w:ascii="Garamond" w:hAnsi="Garamond"/>
        </w:rPr>
        <w:t xml:space="preserve">The present case is concerned with the application of a landlord’s repairing covenant to property which is not in the possession of either the landlord or the tenant. </w:t>
      </w:r>
      <w:r w:rsidR="00A60A61" w:rsidRPr="00D11202">
        <w:rPr>
          <w:rFonts w:ascii="Garamond" w:hAnsi="Garamond"/>
        </w:rPr>
        <w:t>The application of the reasoning upon which the rule is based justifies the conclusion that</w:t>
      </w:r>
      <w:r w:rsidR="00D13D33" w:rsidRPr="00D11202">
        <w:rPr>
          <w:rFonts w:ascii="Garamond" w:hAnsi="Garamond"/>
        </w:rPr>
        <w:t xml:space="preserve"> </w:t>
      </w:r>
      <w:r w:rsidR="00A60A61" w:rsidRPr="00D11202">
        <w:rPr>
          <w:rFonts w:ascii="Garamond" w:hAnsi="Garamond"/>
        </w:rPr>
        <w:t xml:space="preserve">the landlord’s obligation to repair the paved area is only triggered once he has notice of any disrepair for which the tenant would seek to make him liable </w:t>
      </w:r>
      <w:r w:rsidR="00A60A61" w:rsidRPr="00D11202">
        <w:rPr>
          <w:rFonts w:ascii="Garamond" w:hAnsi="Garamond"/>
          <w:b/>
        </w:rPr>
        <w:t>[</w:t>
      </w:r>
      <w:r w:rsidR="000D6494" w:rsidRPr="00D11202">
        <w:rPr>
          <w:rFonts w:ascii="Garamond" w:hAnsi="Garamond"/>
          <w:b/>
        </w:rPr>
        <w:t>49</w:t>
      </w:r>
      <w:r w:rsidR="00A60A61" w:rsidRPr="00D11202">
        <w:rPr>
          <w:rFonts w:ascii="Garamond" w:hAnsi="Garamond"/>
          <w:b/>
        </w:rPr>
        <w:t>]</w:t>
      </w:r>
      <w:r w:rsidR="00FC7884" w:rsidRPr="00D11202">
        <w:rPr>
          <w:rFonts w:ascii="Garamond" w:hAnsi="Garamond"/>
        </w:rPr>
        <w:t>. While it is true that Mr Kumarasamy has the right to use the common parts as against the freeholder, he has effectively lost that right for the duration of the Subtenancy to the tenant</w:t>
      </w:r>
      <w:r w:rsidR="00CF735B" w:rsidRPr="00D11202">
        <w:rPr>
          <w:rFonts w:ascii="Garamond" w:hAnsi="Garamond"/>
        </w:rPr>
        <w:t>, Mr Edwards</w:t>
      </w:r>
      <w:r w:rsidR="000D6494" w:rsidRPr="00D11202">
        <w:rPr>
          <w:rFonts w:ascii="Garamond" w:hAnsi="Garamond"/>
        </w:rPr>
        <w:t xml:space="preserve"> </w:t>
      </w:r>
      <w:r w:rsidR="000D6494" w:rsidRPr="00D11202">
        <w:rPr>
          <w:rFonts w:ascii="Garamond" w:hAnsi="Garamond"/>
          <w:b/>
        </w:rPr>
        <w:t>[50]</w:t>
      </w:r>
      <w:r w:rsidR="000D6494" w:rsidRPr="00D11202">
        <w:rPr>
          <w:rFonts w:ascii="Garamond" w:hAnsi="Garamond"/>
        </w:rPr>
        <w:t xml:space="preserve">. </w:t>
      </w:r>
      <w:r w:rsidRPr="00D11202">
        <w:rPr>
          <w:rFonts w:ascii="Garamond" w:hAnsi="Garamond"/>
        </w:rPr>
        <w:t xml:space="preserve">It is true that the tenant does not enjoy exclusive possession of the common parts, but he is present on them every time he comes to or leaves the flat </w:t>
      </w:r>
      <w:r w:rsidRPr="00D11202">
        <w:rPr>
          <w:rFonts w:ascii="Garamond" w:hAnsi="Garamond"/>
          <w:b/>
        </w:rPr>
        <w:t>[50]</w:t>
      </w:r>
      <w:r w:rsidRPr="00D11202">
        <w:rPr>
          <w:rFonts w:ascii="Garamond" w:hAnsi="Garamond"/>
        </w:rPr>
        <w:t xml:space="preserve"> and </w:t>
      </w:r>
      <w:r w:rsidR="000D6494" w:rsidRPr="00D11202">
        <w:rPr>
          <w:rFonts w:ascii="Garamond" w:hAnsi="Garamond"/>
        </w:rPr>
        <w:t xml:space="preserve">has the best means of knowing of any want of repair in </w:t>
      </w:r>
      <w:r w:rsidR="00E10B3A" w:rsidRPr="00D11202">
        <w:rPr>
          <w:rFonts w:ascii="Garamond" w:hAnsi="Garamond"/>
        </w:rPr>
        <w:t>them</w:t>
      </w:r>
      <w:r w:rsidR="000D6494" w:rsidRPr="00D11202">
        <w:rPr>
          <w:rFonts w:ascii="Garamond" w:hAnsi="Garamond"/>
        </w:rPr>
        <w:t xml:space="preserve"> </w:t>
      </w:r>
      <w:r w:rsidR="000D6494" w:rsidRPr="00D11202">
        <w:rPr>
          <w:rFonts w:ascii="Garamond" w:hAnsi="Garamond"/>
          <w:b/>
        </w:rPr>
        <w:t>[52]</w:t>
      </w:r>
      <w:r w:rsidR="000D6494" w:rsidRPr="00D11202">
        <w:rPr>
          <w:rFonts w:ascii="Garamond" w:hAnsi="Garamond"/>
        </w:rPr>
        <w:t>.</w:t>
      </w:r>
    </w:p>
    <w:p w:rsidR="00BF6D09" w:rsidRPr="00D11202" w:rsidRDefault="00BF6D09" w:rsidP="00986C18">
      <w:pPr>
        <w:jc w:val="both"/>
        <w:rPr>
          <w:rFonts w:ascii="Garamond" w:hAnsi="Garamond"/>
        </w:rPr>
      </w:pPr>
    </w:p>
    <w:p w:rsidR="009621B7" w:rsidRPr="00D11202" w:rsidRDefault="00566BC2" w:rsidP="009621B7">
      <w:pPr>
        <w:rPr>
          <w:rFonts w:ascii="Garamond" w:hAnsi="Garamond"/>
          <w:i/>
        </w:rPr>
      </w:pPr>
      <w:r w:rsidRPr="00D11202">
        <w:rPr>
          <w:rFonts w:ascii="Garamond" w:hAnsi="Garamond"/>
          <w:i/>
        </w:rPr>
        <w:t>References in square brackets are to paragraphs in the judgment</w:t>
      </w:r>
    </w:p>
    <w:p w:rsidR="00A16C02" w:rsidRPr="00D11202" w:rsidRDefault="002E69B4" w:rsidP="009621B7">
      <w:pPr>
        <w:rPr>
          <w:rFonts w:ascii="Garamond" w:hAnsi="Garamond"/>
          <w:b/>
          <w:sz w:val="22"/>
          <w:szCs w:val="22"/>
          <w:u w:val="single"/>
        </w:rPr>
      </w:pPr>
      <w:r w:rsidRPr="00D11202">
        <w:rPr>
          <w:rFonts w:ascii="Garamond" w:hAnsi="Garamond"/>
          <w:sz w:val="22"/>
          <w:szCs w:val="22"/>
        </w:rPr>
        <w:br/>
      </w:r>
      <w:r w:rsidR="00A16C02" w:rsidRPr="00D11202">
        <w:rPr>
          <w:rFonts w:ascii="Garamond" w:hAnsi="Garamond"/>
          <w:b/>
          <w:sz w:val="22"/>
          <w:szCs w:val="22"/>
          <w:u w:val="single"/>
        </w:rPr>
        <w:t>NOTE</w:t>
      </w:r>
    </w:p>
    <w:p w:rsidR="00A16C02" w:rsidRPr="00D11202" w:rsidRDefault="00A16C02" w:rsidP="00986C18">
      <w:pPr>
        <w:jc w:val="both"/>
        <w:rPr>
          <w:rFonts w:ascii="Garamond" w:hAnsi="Garamond"/>
          <w:b/>
          <w:sz w:val="22"/>
          <w:szCs w:val="22"/>
        </w:rPr>
      </w:pPr>
      <w:r w:rsidRPr="00D11202">
        <w:rPr>
          <w:rFonts w:ascii="Garamond" w:hAnsi="Garamond"/>
          <w:b/>
          <w:sz w:val="22"/>
          <w:szCs w:val="22"/>
        </w:rPr>
        <w:t>This summary is provided to assist in understanding the Court’s decision.  It does not form part of the reasons for the decision.  The full judgment of the Court is the only</w:t>
      </w:r>
      <w:r w:rsidR="004B0054" w:rsidRPr="00D11202">
        <w:rPr>
          <w:rFonts w:ascii="Garamond" w:hAnsi="Garamond"/>
          <w:b/>
          <w:sz w:val="22"/>
          <w:szCs w:val="22"/>
        </w:rPr>
        <w:t xml:space="preserve"> authoritative document.   Judg</w:t>
      </w:r>
      <w:r w:rsidRPr="00D11202">
        <w:rPr>
          <w:rFonts w:ascii="Garamond" w:hAnsi="Garamond"/>
          <w:b/>
          <w:sz w:val="22"/>
          <w:szCs w:val="22"/>
        </w:rPr>
        <w:t>ments are public documents and are available at:</w:t>
      </w:r>
    </w:p>
    <w:p w:rsidR="006D6D23" w:rsidRPr="00D11202" w:rsidRDefault="00677EF9" w:rsidP="004F156B">
      <w:pPr>
        <w:rPr>
          <w:rFonts w:ascii="Garamond" w:hAnsi="Garamond"/>
          <w:sz w:val="22"/>
          <w:szCs w:val="22"/>
        </w:rPr>
      </w:pPr>
      <w:hyperlink r:id="rId11" w:history="1">
        <w:r w:rsidR="007C72DE" w:rsidRPr="00D11202">
          <w:rPr>
            <w:rStyle w:val="Hyperlink"/>
            <w:rFonts w:ascii="Garamond" w:hAnsi="Garamond"/>
            <w:color w:val="auto"/>
            <w:sz w:val="22"/>
            <w:szCs w:val="22"/>
          </w:rPr>
          <w:t>http://supremecourt.uk/decided-cases</w:t>
        </w:r>
        <w:r w:rsidR="007C72DE" w:rsidRPr="00D11202">
          <w:rPr>
            <w:rStyle w:val="Hyperlink"/>
            <w:rFonts w:ascii="Garamond" w:hAnsi="Garamond"/>
            <w:color w:val="auto"/>
            <w:sz w:val="22"/>
            <w:szCs w:val="22"/>
          </w:rPr>
          <w:t>/</w:t>
        </w:r>
        <w:r w:rsidR="007C72DE" w:rsidRPr="00D11202">
          <w:rPr>
            <w:rStyle w:val="Hyperlink"/>
            <w:rFonts w:ascii="Garamond" w:hAnsi="Garamond"/>
            <w:color w:val="auto"/>
            <w:sz w:val="22"/>
            <w:szCs w:val="22"/>
          </w:rPr>
          <w:t>index.html</w:t>
        </w:r>
      </w:hyperlink>
      <w:r w:rsidRPr="00D11202">
        <w:rPr>
          <w:rFonts w:ascii="Garamond" w:hAnsi="Garamond"/>
          <w:sz w:val="22"/>
          <w:szCs w:val="22"/>
        </w:rPr>
        <w:t xml:space="preserve"> </w:t>
      </w:r>
      <w:r w:rsidR="00B73D9F" w:rsidRPr="00D11202">
        <w:rPr>
          <w:rFonts w:ascii="Garamond" w:hAnsi="Garamond"/>
          <w:sz w:val="22"/>
          <w:szCs w:val="22"/>
        </w:rPr>
        <w:t xml:space="preserve"> </w:t>
      </w:r>
      <w:r w:rsidR="004F156B" w:rsidRPr="00D11202">
        <w:rPr>
          <w:rFonts w:ascii="Garamond" w:hAnsi="Garamond"/>
          <w:sz w:val="22"/>
          <w:szCs w:val="22"/>
        </w:rPr>
        <w:t xml:space="preserve">  </w:t>
      </w:r>
    </w:p>
    <w:sectPr w:rsidR="006D6D23" w:rsidRPr="00D11202" w:rsidSect="00437284">
      <w:footerReference w:type="default" r:id="rId12"/>
      <w:pgSz w:w="11906" w:h="16838" w:code="9"/>
      <w:pgMar w:top="567" w:right="964" w:bottom="964" w:left="232" w:header="0" w:footer="0"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A51" w:rsidRDefault="003F5A51">
      <w:r>
        <w:separator/>
      </w:r>
    </w:p>
  </w:endnote>
  <w:endnote w:type="continuationSeparator" w:id="0">
    <w:p w:rsidR="003F5A51" w:rsidRDefault="003F5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haker 2 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D19" w:rsidRDefault="00762D19" w:rsidP="00ED05C2">
    <w:pPr>
      <w:pStyle w:val="Footer"/>
      <w:jc w:val="center"/>
      <w:rPr>
        <w:rFonts w:ascii="Shaker 2 Regular" w:hAnsi="Shaker 2 Regular"/>
        <w:b/>
        <w:sz w:val="20"/>
      </w:rPr>
    </w:pPr>
    <w:r w:rsidRPr="00821EB9">
      <w:rPr>
        <w:rFonts w:ascii="Shaker 2 Regular" w:hAnsi="Shaker 2 Regular"/>
        <w:b/>
        <w:sz w:val="20"/>
      </w:rPr>
      <w:t>The Supreme Court of the United Kingdom</w:t>
    </w:r>
  </w:p>
  <w:p w:rsidR="00762D19" w:rsidRPr="00821EB9" w:rsidRDefault="00762D19" w:rsidP="00ED05C2">
    <w:pPr>
      <w:pStyle w:val="Footer"/>
      <w:jc w:val="center"/>
      <w:rPr>
        <w:rFonts w:ascii="Shaker 2 Regular" w:hAnsi="Shaker 2 Regular"/>
        <w:sz w:val="20"/>
      </w:rPr>
    </w:pPr>
    <w:r w:rsidRPr="00821EB9">
      <w:rPr>
        <w:rFonts w:ascii="Shaker 2 Regular" w:hAnsi="Shaker 2 Regular"/>
        <w:b/>
        <w:sz w:val="20"/>
      </w:rPr>
      <w:t xml:space="preserve"> </w:t>
    </w:r>
    <w:r w:rsidRPr="00821EB9">
      <w:rPr>
        <w:rFonts w:ascii="Shaker 2 Regular" w:hAnsi="Shaker 2 Regular"/>
        <w:sz w:val="20"/>
      </w:rPr>
      <w:t xml:space="preserve">Parliament Square London SW1P 3BD </w:t>
    </w:r>
    <w:r w:rsidRPr="00821EB9">
      <w:rPr>
        <w:rFonts w:ascii="Shaker 2 Regular" w:hAnsi="Shaker 2 Regular"/>
        <w:b/>
        <w:sz w:val="20"/>
      </w:rPr>
      <w:t xml:space="preserve">T: </w:t>
    </w:r>
    <w:r>
      <w:rPr>
        <w:rFonts w:ascii="Shaker 2 Regular" w:hAnsi="Shaker 2 Regular"/>
        <w:sz w:val="20"/>
      </w:rPr>
      <w:t>020 7960 1886/1887</w:t>
    </w:r>
    <w:r w:rsidRPr="00821EB9">
      <w:rPr>
        <w:rFonts w:ascii="Shaker 2 Regular" w:hAnsi="Shaker 2 Regular"/>
        <w:sz w:val="20"/>
      </w:rPr>
      <w:t xml:space="preserve"> </w:t>
    </w:r>
    <w:r w:rsidRPr="00821EB9">
      <w:rPr>
        <w:rFonts w:ascii="Shaker 2 Regular" w:hAnsi="Shaker 2 Regular"/>
        <w:b/>
        <w:sz w:val="20"/>
      </w:rPr>
      <w:t xml:space="preserve">F: </w:t>
    </w:r>
    <w:r w:rsidRPr="00821EB9">
      <w:rPr>
        <w:rFonts w:ascii="Shaker 2 Regular" w:hAnsi="Shaker 2 Regular"/>
        <w:sz w:val="20"/>
      </w:rPr>
      <w:t xml:space="preserve">020 7960 1901 </w:t>
    </w:r>
    <w:r w:rsidRPr="00821EB9">
      <w:rPr>
        <w:rFonts w:ascii="Shaker 2 Regular" w:hAnsi="Shaker 2 Regular"/>
        <w:b/>
        <w:sz w:val="20"/>
      </w:rPr>
      <w:t>www.supremecourt.uk</w:t>
    </w:r>
  </w:p>
  <w:p w:rsidR="00762D19" w:rsidRDefault="00762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A51" w:rsidRDefault="003F5A51">
      <w:r>
        <w:separator/>
      </w:r>
    </w:p>
  </w:footnote>
  <w:footnote w:type="continuationSeparator" w:id="0">
    <w:p w:rsidR="003F5A51" w:rsidRDefault="003F5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950EA"/>
    <w:multiLevelType w:val="hybridMultilevel"/>
    <w:tmpl w:val="989033E6"/>
    <w:lvl w:ilvl="0" w:tplc="EB3AB2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3324F"/>
    <w:multiLevelType w:val="hybridMultilevel"/>
    <w:tmpl w:val="504ABB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57263"/>
    <w:multiLevelType w:val="hybridMultilevel"/>
    <w:tmpl w:val="3F5641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3679FA"/>
    <w:multiLevelType w:val="hybridMultilevel"/>
    <w:tmpl w:val="70DE84F6"/>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1FF07A9D"/>
    <w:multiLevelType w:val="hybridMultilevel"/>
    <w:tmpl w:val="55AE5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7B1BE8"/>
    <w:multiLevelType w:val="hybridMultilevel"/>
    <w:tmpl w:val="8CEA5E3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15:restartNumberingAfterBreak="0">
    <w:nsid w:val="34C23FAA"/>
    <w:multiLevelType w:val="hybridMultilevel"/>
    <w:tmpl w:val="2BBAFA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3D3A63"/>
    <w:multiLevelType w:val="hybridMultilevel"/>
    <w:tmpl w:val="5AE2FE50"/>
    <w:lvl w:ilvl="0" w:tplc="B9403CCA">
      <w:start w:val="3"/>
      <w:numFmt w:val="bullet"/>
      <w:lvlText w:val="-"/>
      <w:lvlJc w:val="left"/>
      <w:pPr>
        <w:ind w:left="720" w:hanging="360"/>
      </w:pPr>
      <w:rPr>
        <w:rFonts w:ascii="Garamond" w:eastAsia="Times New Roman"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3702D4"/>
    <w:multiLevelType w:val="hybridMultilevel"/>
    <w:tmpl w:val="2C8AF2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3E2374"/>
    <w:multiLevelType w:val="hybridMultilevel"/>
    <w:tmpl w:val="68526848"/>
    <w:lvl w:ilvl="0" w:tplc="1DAEE4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AC45B4"/>
    <w:multiLevelType w:val="hybridMultilevel"/>
    <w:tmpl w:val="A63CF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246ACF"/>
    <w:multiLevelType w:val="hybridMultilevel"/>
    <w:tmpl w:val="9ACE78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6F788E"/>
    <w:multiLevelType w:val="hybridMultilevel"/>
    <w:tmpl w:val="6ED0AD20"/>
    <w:lvl w:ilvl="0" w:tplc="B9403CCA">
      <w:start w:val="3"/>
      <w:numFmt w:val="bullet"/>
      <w:lvlText w:val="-"/>
      <w:lvlJc w:val="left"/>
      <w:pPr>
        <w:ind w:left="720" w:hanging="360"/>
      </w:pPr>
      <w:rPr>
        <w:rFonts w:ascii="Garamond" w:eastAsia="Times New Roman" w:hAnsi="Garamond"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F75009"/>
    <w:multiLevelType w:val="hybridMultilevel"/>
    <w:tmpl w:val="DF1CBBD0"/>
    <w:lvl w:ilvl="0" w:tplc="DB060E3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FB07351"/>
    <w:multiLevelType w:val="hybridMultilevel"/>
    <w:tmpl w:val="41ACCCC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9911539"/>
    <w:multiLevelType w:val="hybridMultilevel"/>
    <w:tmpl w:val="CEDEA2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11"/>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5"/>
  </w:num>
  <w:num w:numId="7">
    <w:abstractNumId w:val="2"/>
  </w:num>
  <w:num w:numId="8">
    <w:abstractNumId w:val="4"/>
  </w:num>
  <w:num w:numId="9">
    <w:abstractNumId w:val="3"/>
  </w:num>
  <w:num w:numId="10">
    <w:abstractNumId w:val="6"/>
  </w:num>
  <w:num w:numId="11">
    <w:abstractNumId w:val="9"/>
  </w:num>
  <w:num w:numId="12">
    <w:abstractNumId w:val="10"/>
  </w:num>
  <w:num w:numId="13">
    <w:abstractNumId w:val="7"/>
  </w:num>
  <w:num w:numId="14">
    <w:abstractNumId w:val="12"/>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5C2"/>
    <w:rsid w:val="000005FE"/>
    <w:rsid w:val="00027162"/>
    <w:rsid w:val="000429E3"/>
    <w:rsid w:val="000575DB"/>
    <w:rsid w:val="00064056"/>
    <w:rsid w:val="00086F57"/>
    <w:rsid w:val="000948B2"/>
    <w:rsid w:val="000A366A"/>
    <w:rsid w:val="000B3767"/>
    <w:rsid w:val="000B3E81"/>
    <w:rsid w:val="000B7A7F"/>
    <w:rsid w:val="000C193A"/>
    <w:rsid w:val="000D20A0"/>
    <w:rsid w:val="000D217F"/>
    <w:rsid w:val="000D6187"/>
    <w:rsid w:val="000D6494"/>
    <w:rsid w:val="000F00FB"/>
    <w:rsid w:val="000F495A"/>
    <w:rsid w:val="000F4B66"/>
    <w:rsid w:val="000F7BDD"/>
    <w:rsid w:val="00105EAC"/>
    <w:rsid w:val="00120B5E"/>
    <w:rsid w:val="00125CC7"/>
    <w:rsid w:val="00134213"/>
    <w:rsid w:val="00140E2B"/>
    <w:rsid w:val="0014111B"/>
    <w:rsid w:val="001418CE"/>
    <w:rsid w:val="0015103F"/>
    <w:rsid w:val="001561B2"/>
    <w:rsid w:val="00164C34"/>
    <w:rsid w:val="001974C0"/>
    <w:rsid w:val="001C06D4"/>
    <w:rsid w:val="001C54E3"/>
    <w:rsid w:val="001C78CB"/>
    <w:rsid w:val="001E5EE4"/>
    <w:rsid w:val="001F4EF0"/>
    <w:rsid w:val="00210AAC"/>
    <w:rsid w:val="00236CD3"/>
    <w:rsid w:val="0025011D"/>
    <w:rsid w:val="00277EAF"/>
    <w:rsid w:val="00282AF2"/>
    <w:rsid w:val="0028496F"/>
    <w:rsid w:val="00295665"/>
    <w:rsid w:val="002B0F59"/>
    <w:rsid w:val="002B3E29"/>
    <w:rsid w:val="002B631E"/>
    <w:rsid w:val="002C3CF8"/>
    <w:rsid w:val="002D0454"/>
    <w:rsid w:val="002E30D8"/>
    <w:rsid w:val="002E340D"/>
    <w:rsid w:val="002E45F5"/>
    <w:rsid w:val="002E69B4"/>
    <w:rsid w:val="002F4749"/>
    <w:rsid w:val="002F582D"/>
    <w:rsid w:val="00307AC8"/>
    <w:rsid w:val="003238ED"/>
    <w:rsid w:val="00344DC3"/>
    <w:rsid w:val="003465D5"/>
    <w:rsid w:val="00363FB3"/>
    <w:rsid w:val="00371FDB"/>
    <w:rsid w:val="0037345C"/>
    <w:rsid w:val="003808B5"/>
    <w:rsid w:val="0038189A"/>
    <w:rsid w:val="00385496"/>
    <w:rsid w:val="003875A2"/>
    <w:rsid w:val="00394012"/>
    <w:rsid w:val="003B7C5F"/>
    <w:rsid w:val="003D1DFD"/>
    <w:rsid w:val="003D7955"/>
    <w:rsid w:val="003D7D7D"/>
    <w:rsid w:val="003E07E2"/>
    <w:rsid w:val="003E7AC8"/>
    <w:rsid w:val="003F35D7"/>
    <w:rsid w:val="003F5A51"/>
    <w:rsid w:val="0040264D"/>
    <w:rsid w:val="00411835"/>
    <w:rsid w:val="00421272"/>
    <w:rsid w:val="00424CF4"/>
    <w:rsid w:val="00437284"/>
    <w:rsid w:val="0044315A"/>
    <w:rsid w:val="00443E3A"/>
    <w:rsid w:val="0044413C"/>
    <w:rsid w:val="00447025"/>
    <w:rsid w:val="004470C3"/>
    <w:rsid w:val="00460A4A"/>
    <w:rsid w:val="00474DE9"/>
    <w:rsid w:val="0047770B"/>
    <w:rsid w:val="0048308A"/>
    <w:rsid w:val="00483AD6"/>
    <w:rsid w:val="004851EB"/>
    <w:rsid w:val="00485CD7"/>
    <w:rsid w:val="00490A71"/>
    <w:rsid w:val="00496941"/>
    <w:rsid w:val="00497379"/>
    <w:rsid w:val="004A0812"/>
    <w:rsid w:val="004A325F"/>
    <w:rsid w:val="004B0054"/>
    <w:rsid w:val="004B2973"/>
    <w:rsid w:val="004B58B8"/>
    <w:rsid w:val="004C0A60"/>
    <w:rsid w:val="004D059A"/>
    <w:rsid w:val="004E2F12"/>
    <w:rsid w:val="004F0C57"/>
    <w:rsid w:val="004F12B4"/>
    <w:rsid w:val="004F156B"/>
    <w:rsid w:val="004F2030"/>
    <w:rsid w:val="004F433A"/>
    <w:rsid w:val="00500275"/>
    <w:rsid w:val="00507AE0"/>
    <w:rsid w:val="00520F19"/>
    <w:rsid w:val="00521BA8"/>
    <w:rsid w:val="0053440B"/>
    <w:rsid w:val="00566BC2"/>
    <w:rsid w:val="00570219"/>
    <w:rsid w:val="00572E9D"/>
    <w:rsid w:val="00582CFA"/>
    <w:rsid w:val="00583A80"/>
    <w:rsid w:val="00587DCB"/>
    <w:rsid w:val="005919BE"/>
    <w:rsid w:val="00591F3E"/>
    <w:rsid w:val="005961E3"/>
    <w:rsid w:val="005A6442"/>
    <w:rsid w:val="005A75F9"/>
    <w:rsid w:val="005C5549"/>
    <w:rsid w:val="005E4481"/>
    <w:rsid w:val="005F0A17"/>
    <w:rsid w:val="00647FCA"/>
    <w:rsid w:val="00655BD8"/>
    <w:rsid w:val="006667A0"/>
    <w:rsid w:val="00677EAB"/>
    <w:rsid w:val="00677EF9"/>
    <w:rsid w:val="0068413A"/>
    <w:rsid w:val="006859FE"/>
    <w:rsid w:val="00686FFE"/>
    <w:rsid w:val="00692050"/>
    <w:rsid w:val="006A0888"/>
    <w:rsid w:val="006A30B6"/>
    <w:rsid w:val="006D067E"/>
    <w:rsid w:val="006D6D23"/>
    <w:rsid w:val="0070274C"/>
    <w:rsid w:val="00714CD5"/>
    <w:rsid w:val="00723903"/>
    <w:rsid w:val="00725B27"/>
    <w:rsid w:val="00734865"/>
    <w:rsid w:val="00746A9C"/>
    <w:rsid w:val="00755309"/>
    <w:rsid w:val="0075710B"/>
    <w:rsid w:val="00760A57"/>
    <w:rsid w:val="00762D19"/>
    <w:rsid w:val="00767DDC"/>
    <w:rsid w:val="00770340"/>
    <w:rsid w:val="00796CA9"/>
    <w:rsid w:val="007A539B"/>
    <w:rsid w:val="007B5513"/>
    <w:rsid w:val="007C2BEB"/>
    <w:rsid w:val="007C72DE"/>
    <w:rsid w:val="007D5CD0"/>
    <w:rsid w:val="007E6D50"/>
    <w:rsid w:val="007F18B5"/>
    <w:rsid w:val="007F7F90"/>
    <w:rsid w:val="00800002"/>
    <w:rsid w:val="008136BE"/>
    <w:rsid w:val="008607AC"/>
    <w:rsid w:val="00864E04"/>
    <w:rsid w:val="00864FE0"/>
    <w:rsid w:val="00870D62"/>
    <w:rsid w:val="00871997"/>
    <w:rsid w:val="0088293B"/>
    <w:rsid w:val="008833B1"/>
    <w:rsid w:val="008C21BC"/>
    <w:rsid w:val="008C484E"/>
    <w:rsid w:val="008C66CC"/>
    <w:rsid w:val="008D685C"/>
    <w:rsid w:val="008E243C"/>
    <w:rsid w:val="008E7422"/>
    <w:rsid w:val="008F0ECD"/>
    <w:rsid w:val="008F398F"/>
    <w:rsid w:val="00903E5A"/>
    <w:rsid w:val="00904B67"/>
    <w:rsid w:val="0091496F"/>
    <w:rsid w:val="00915923"/>
    <w:rsid w:val="00933FF5"/>
    <w:rsid w:val="00937F9E"/>
    <w:rsid w:val="009478FC"/>
    <w:rsid w:val="00961462"/>
    <w:rsid w:val="009621B7"/>
    <w:rsid w:val="00986C18"/>
    <w:rsid w:val="00991EAB"/>
    <w:rsid w:val="00996FFE"/>
    <w:rsid w:val="009B0FC3"/>
    <w:rsid w:val="009B3059"/>
    <w:rsid w:val="009E0904"/>
    <w:rsid w:val="009F0C75"/>
    <w:rsid w:val="00A13032"/>
    <w:rsid w:val="00A16C02"/>
    <w:rsid w:val="00A244D8"/>
    <w:rsid w:val="00A24542"/>
    <w:rsid w:val="00A33577"/>
    <w:rsid w:val="00A33A7D"/>
    <w:rsid w:val="00A34A22"/>
    <w:rsid w:val="00A37225"/>
    <w:rsid w:val="00A411FC"/>
    <w:rsid w:val="00A428A6"/>
    <w:rsid w:val="00A60A61"/>
    <w:rsid w:val="00A70C5E"/>
    <w:rsid w:val="00A754A1"/>
    <w:rsid w:val="00A80EDC"/>
    <w:rsid w:val="00A82CB4"/>
    <w:rsid w:val="00AB7971"/>
    <w:rsid w:val="00AC7F69"/>
    <w:rsid w:val="00AD504C"/>
    <w:rsid w:val="00AE0D5C"/>
    <w:rsid w:val="00AE31E8"/>
    <w:rsid w:val="00AE3873"/>
    <w:rsid w:val="00B14355"/>
    <w:rsid w:val="00B24A03"/>
    <w:rsid w:val="00B30ABB"/>
    <w:rsid w:val="00B33E4F"/>
    <w:rsid w:val="00B434BE"/>
    <w:rsid w:val="00B45FA6"/>
    <w:rsid w:val="00B520AA"/>
    <w:rsid w:val="00B646D4"/>
    <w:rsid w:val="00B72E0B"/>
    <w:rsid w:val="00B73D9F"/>
    <w:rsid w:val="00B85EEA"/>
    <w:rsid w:val="00BA77DD"/>
    <w:rsid w:val="00BC02C7"/>
    <w:rsid w:val="00BE4557"/>
    <w:rsid w:val="00BF1818"/>
    <w:rsid w:val="00BF691C"/>
    <w:rsid w:val="00BF6D09"/>
    <w:rsid w:val="00C0454B"/>
    <w:rsid w:val="00C20ED3"/>
    <w:rsid w:val="00C42D34"/>
    <w:rsid w:val="00C607BC"/>
    <w:rsid w:val="00C7235E"/>
    <w:rsid w:val="00C82E85"/>
    <w:rsid w:val="00C92166"/>
    <w:rsid w:val="00C97A13"/>
    <w:rsid w:val="00CA3FA7"/>
    <w:rsid w:val="00CC0C46"/>
    <w:rsid w:val="00CC0E89"/>
    <w:rsid w:val="00CD51CF"/>
    <w:rsid w:val="00CF3268"/>
    <w:rsid w:val="00CF735B"/>
    <w:rsid w:val="00D01657"/>
    <w:rsid w:val="00D0206A"/>
    <w:rsid w:val="00D11202"/>
    <w:rsid w:val="00D13D33"/>
    <w:rsid w:val="00D14D41"/>
    <w:rsid w:val="00D248D5"/>
    <w:rsid w:val="00D26C41"/>
    <w:rsid w:val="00D27DF6"/>
    <w:rsid w:val="00D4308F"/>
    <w:rsid w:val="00D46E70"/>
    <w:rsid w:val="00D615A8"/>
    <w:rsid w:val="00D72BB7"/>
    <w:rsid w:val="00D7478F"/>
    <w:rsid w:val="00D8298C"/>
    <w:rsid w:val="00D96977"/>
    <w:rsid w:val="00DA4C36"/>
    <w:rsid w:val="00DA676E"/>
    <w:rsid w:val="00DA73EE"/>
    <w:rsid w:val="00DB08BC"/>
    <w:rsid w:val="00DB50BA"/>
    <w:rsid w:val="00DC0B86"/>
    <w:rsid w:val="00DC236A"/>
    <w:rsid w:val="00DD1BC9"/>
    <w:rsid w:val="00DF5C22"/>
    <w:rsid w:val="00E0183F"/>
    <w:rsid w:val="00E04D9E"/>
    <w:rsid w:val="00E10B3A"/>
    <w:rsid w:val="00E126CE"/>
    <w:rsid w:val="00E161D8"/>
    <w:rsid w:val="00E33432"/>
    <w:rsid w:val="00E515C6"/>
    <w:rsid w:val="00E77093"/>
    <w:rsid w:val="00EA463F"/>
    <w:rsid w:val="00EA693A"/>
    <w:rsid w:val="00EB279C"/>
    <w:rsid w:val="00EC59A7"/>
    <w:rsid w:val="00EC7A70"/>
    <w:rsid w:val="00ED036D"/>
    <w:rsid w:val="00ED05C2"/>
    <w:rsid w:val="00ED3C95"/>
    <w:rsid w:val="00EE53D0"/>
    <w:rsid w:val="00EE6B74"/>
    <w:rsid w:val="00EF1192"/>
    <w:rsid w:val="00EF6200"/>
    <w:rsid w:val="00EF7E2B"/>
    <w:rsid w:val="00F01FFF"/>
    <w:rsid w:val="00F042E7"/>
    <w:rsid w:val="00F1137C"/>
    <w:rsid w:val="00F15588"/>
    <w:rsid w:val="00F3798A"/>
    <w:rsid w:val="00F4541E"/>
    <w:rsid w:val="00F51320"/>
    <w:rsid w:val="00F72253"/>
    <w:rsid w:val="00F72411"/>
    <w:rsid w:val="00F75AEE"/>
    <w:rsid w:val="00F76CFB"/>
    <w:rsid w:val="00F90D1C"/>
    <w:rsid w:val="00FA3D1D"/>
    <w:rsid w:val="00FA5B68"/>
    <w:rsid w:val="00FB0DCF"/>
    <w:rsid w:val="00FB0EB7"/>
    <w:rsid w:val="00FB28C3"/>
    <w:rsid w:val="00FB2923"/>
    <w:rsid w:val="00FC36F8"/>
    <w:rsid w:val="00FC7884"/>
    <w:rsid w:val="00FE22D2"/>
    <w:rsid w:val="00FF3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3E4960E"/>
  <w14:defaultImageDpi w14:val="300"/>
  <w15:chartTrackingRefBased/>
  <w15:docId w15:val="{E35E2BC6-C2AA-42DF-8A06-D3FC6448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D05C2"/>
    <w:pPr>
      <w:tabs>
        <w:tab w:val="center" w:pos="4153"/>
        <w:tab w:val="right" w:pos="8306"/>
      </w:tabs>
    </w:pPr>
  </w:style>
  <w:style w:type="paragraph" w:styleId="Footer">
    <w:name w:val="footer"/>
    <w:basedOn w:val="Normal"/>
    <w:link w:val="FooterChar"/>
    <w:rsid w:val="00ED05C2"/>
    <w:pPr>
      <w:tabs>
        <w:tab w:val="center" w:pos="4153"/>
        <w:tab w:val="right" w:pos="8306"/>
      </w:tabs>
    </w:pPr>
  </w:style>
  <w:style w:type="character" w:customStyle="1" w:styleId="FooterChar">
    <w:name w:val="Footer Char"/>
    <w:link w:val="Footer"/>
    <w:rsid w:val="00ED05C2"/>
    <w:rPr>
      <w:sz w:val="24"/>
      <w:szCs w:val="24"/>
      <w:lang w:val="en-GB" w:eastAsia="en-GB" w:bidi="ar-SA"/>
    </w:rPr>
  </w:style>
  <w:style w:type="paragraph" w:styleId="BalloonText">
    <w:name w:val="Balloon Text"/>
    <w:basedOn w:val="Normal"/>
    <w:semiHidden/>
    <w:rsid w:val="00ED036D"/>
    <w:rPr>
      <w:rFonts w:ascii="Tahoma" w:hAnsi="Tahoma" w:cs="Tahoma"/>
      <w:sz w:val="16"/>
      <w:szCs w:val="16"/>
    </w:rPr>
  </w:style>
  <w:style w:type="character" w:styleId="Strong">
    <w:name w:val="Strong"/>
    <w:qFormat/>
    <w:rsid w:val="000F4B66"/>
    <w:rPr>
      <w:b/>
      <w:bCs/>
    </w:rPr>
  </w:style>
  <w:style w:type="character" w:styleId="Hyperlink">
    <w:name w:val="Hyperlink"/>
    <w:rsid w:val="00A16C02"/>
    <w:rPr>
      <w:color w:val="0000FF"/>
      <w:u w:val="single"/>
    </w:rPr>
  </w:style>
  <w:style w:type="character" w:styleId="FollowedHyperlink">
    <w:name w:val="FollowedHyperlink"/>
    <w:rsid w:val="007C72DE"/>
    <w:rPr>
      <w:color w:val="954F72"/>
      <w:u w:val="single"/>
    </w:rPr>
  </w:style>
  <w:style w:type="character" w:styleId="CommentReference">
    <w:name w:val="annotation reference"/>
    <w:rsid w:val="002E69B4"/>
    <w:rPr>
      <w:sz w:val="16"/>
      <w:szCs w:val="16"/>
    </w:rPr>
  </w:style>
  <w:style w:type="paragraph" w:styleId="CommentText">
    <w:name w:val="annotation text"/>
    <w:basedOn w:val="Normal"/>
    <w:link w:val="CommentTextChar"/>
    <w:rsid w:val="002E69B4"/>
    <w:rPr>
      <w:sz w:val="20"/>
      <w:szCs w:val="20"/>
    </w:rPr>
  </w:style>
  <w:style w:type="character" w:customStyle="1" w:styleId="CommentTextChar">
    <w:name w:val="Comment Text Char"/>
    <w:basedOn w:val="DefaultParagraphFont"/>
    <w:link w:val="CommentText"/>
    <w:rsid w:val="002E69B4"/>
  </w:style>
  <w:style w:type="paragraph" w:styleId="CommentSubject">
    <w:name w:val="annotation subject"/>
    <w:basedOn w:val="CommentText"/>
    <w:next w:val="CommentText"/>
    <w:link w:val="CommentSubjectChar"/>
    <w:rsid w:val="002E69B4"/>
    <w:rPr>
      <w:b/>
      <w:bCs/>
    </w:rPr>
  </w:style>
  <w:style w:type="character" w:customStyle="1" w:styleId="CommentSubjectChar">
    <w:name w:val="Comment Subject Char"/>
    <w:link w:val="CommentSubject"/>
    <w:rsid w:val="002E69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66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premecourt.uk/decided-cases/index.html"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4" ma:contentTypeDescription="Create a new document." ma:contentTypeScope="" ma:versionID="34e0ca7b94d4cacc273154739476b6c7">
  <xsd:schema xmlns:xsd="http://www.w3.org/2001/XMLSchema" xmlns:xs="http://www.w3.org/2001/XMLSchema" xmlns:p="http://schemas.microsoft.com/office/2006/metadata/properties" xmlns:ns2="d1912800-d0d5-4897-aa13-fa15486e9ce2" targetNamespace="http://schemas.microsoft.com/office/2006/metadata/properties" ma:root="true" ma:fieldsID="2460a5e349f4dfc73fc5b4ebdcfd4041" ns2:_="">
    <xsd:import namespace="d1912800-d0d5-4897-aa13-fa15486e9c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E3B89E-7220-4F59-BE49-B769A950F1B3}">
  <ds:schemaRefs>
    <ds:schemaRef ds:uri="http://schemas.microsoft.com/sharepoint/v3/contenttype/forms"/>
  </ds:schemaRefs>
</ds:datastoreItem>
</file>

<file path=customXml/itemProps2.xml><?xml version="1.0" encoding="utf-8"?>
<ds:datastoreItem xmlns:ds="http://schemas.openxmlformats.org/officeDocument/2006/customXml" ds:itemID="{13A3FD07-CE8A-4947-B84D-6FB3A70CA713}"/>
</file>

<file path=customXml/itemProps3.xml><?xml version="1.0" encoding="utf-8"?>
<ds:datastoreItem xmlns:ds="http://schemas.openxmlformats.org/officeDocument/2006/customXml" ds:itemID="{E1F3ABE8-7932-4957-A0BF-BEC222F01B52}">
  <ds:schemaRefs>
    <ds:schemaRef ds:uri="http://schemas.microsoft.com/office/2006/metadata/properties"/>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http://purl.org/dc/terms/"/>
    <ds:schemaRef ds:uri="http://purl.org/dc/elements/1.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1124</Words>
  <Characters>5485</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Edwards (Respondent) v Kumarasamy (Appellant)</vt:lpstr>
    </vt:vector>
  </TitlesOfParts>
  <Company>The Supreme Court (UKSC)</Company>
  <LinksUpToDate>false</LinksUpToDate>
  <CharactersWithSpaces>6596</CharactersWithSpaces>
  <SharedDoc>false</SharedDoc>
  <HLinks>
    <vt:vector size="6" baseType="variant">
      <vt:variant>
        <vt:i4>6553701</vt:i4>
      </vt:variant>
      <vt:variant>
        <vt:i4>0</vt:i4>
      </vt:variant>
      <vt:variant>
        <vt:i4>0</vt:i4>
      </vt:variant>
      <vt:variant>
        <vt:i4>5</vt:i4>
      </vt:variant>
      <vt:variant>
        <vt:lpwstr>http://supremecourt.uk/decided-cases/index.html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Edwards (Respondent) v Kumarasamy (Appellant)</dc:title>
  <dc:subject>Judgment handed down on Wednesday 13 July 2016</dc:subject>
  <dc:creator>The Supreme Court (UKSC)</dc:creator>
  <cp:keywords>[2015] EWCA Civ 20, UKSC 2015/0095, [2016] UKSC 40</cp:keywords>
  <dc:description/>
  <cp:lastModifiedBy>Anita Homji</cp:lastModifiedBy>
  <cp:revision>3</cp:revision>
  <cp:lastPrinted>2016-07-12T07:54:00Z</cp:lastPrinted>
  <dcterms:created xsi:type="dcterms:W3CDTF">2016-07-12T07:53:00Z</dcterms:created>
  <dcterms:modified xsi:type="dcterms:W3CDTF">2016-07-12T07:56:00Z</dcterms:modified>
  <cp:category>Decided cases; Press Summary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0x010100AAB251F3824E8E4BABF966FB1FF33114</vt:lpwstr>
  </property>
  <property fmtid="{D5CDD505-2E9C-101B-9397-08002B2CF9AE}" pid="3" name="CaseName">
    <vt:lpwstr>Edwards (Respondent) v Kumarasamy (Appellant)</vt:lpwstr>
  </property>
  <property fmtid="{D5CDD505-2E9C-101B-9397-08002B2CF9AE}" pid="4" name="HandDownDate">
    <vt:lpwstr>13 July 2016</vt:lpwstr>
  </property>
  <property fmtid="{D5CDD505-2E9C-101B-9397-08002B2CF9AE}" pid="5" name="CaseID">
    <vt:lpwstr>UKSC 2015/0095</vt:lpwstr>
  </property>
  <property fmtid="{D5CDD505-2E9C-101B-9397-08002B2CF9AE}" pid="6" name="NeutralCitationNumber">
    <vt:lpwstr>[2016] UKSC 40</vt:lpwstr>
  </property>
</Properties>
</file>