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5C2" w:rsidRPr="009F698F" w:rsidRDefault="00E86347" w:rsidP="00ED05C2">
      <w:pPr>
        <w:jc w:val="center"/>
        <w:rPr>
          <w:rFonts w:ascii="Garamond" w:hAnsi="Garamond"/>
        </w:rPr>
      </w:pPr>
      <w:r w:rsidRPr="009F698F">
        <w:rPr>
          <w:rFonts w:ascii="Garamond" w:hAnsi="Garamon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KSC logo" style="width:73.5pt;height:98.25pt">
            <v:imagedata r:id="rId10" o:title=""/>
          </v:shape>
        </w:pict>
      </w:r>
    </w:p>
    <w:p w:rsidR="00A16C02" w:rsidRPr="009F698F" w:rsidRDefault="003B6829" w:rsidP="00A16C02">
      <w:pPr>
        <w:tabs>
          <w:tab w:val="left" w:pos="8285"/>
        </w:tabs>
        <w:jc w:val="right"/>
        <w:rPr>
          <w:rFonts w:ascii="Garamond" w:hAnsi="Garamond"/>
          <w:b/>
        </w:rPr>
      </w:pPr>
      <w:r w:rsidRPr="009F698F">
        <w:rPr>
          <w:rFonts w:ascii="Garamond" w:hAnsi="Garamond"/>
          <w:b/>
        </w:rPr>
        <w:t>13 June 2018</w:t>
      </w:r>
    </w:p>
    <w:p w:rsidR="00A16C02" w:rsidRPr="009F698F" w:rsidRDefault="00A16C02" w:rsidP="00A16C02">
      <w:pPr>
        <w:tabs>
          <w:tab w:val="left" w:pos="8285"/>
        </w:tabs>
        <w:jc w:val="center"/>
        <w:rPr>
          <w:rFonts w:ascii="Garamond" w:hAnsi="Garamond"/>
          <w:b/>
        </w:rPr>
      </w:pPr>
      <w:r w:rsidRPr="009F698F">
        <w:rPr>
          <w:rFonts w:ascii="Garamond" w:hAnsi="Garamond"/>
          <w:b/>
        </w:rPr>
        <w:t>PRESS SUMMARY</w:t>
      </w:r>
    </w:p>
    <w:p w:rsidR="00A16C02" w:rsidRPr="009F698F" w:rsidRDefault="00A16C02" w:rsidP="00A16C02">
      <w:pPr>
        <w:tabs>
          <w:tab w:val="left" w:pos="8285"/>
        </w:tabs>
        <w:rPr>
          <w:rFonts w:ascii="Garamond" w:hAnsi="Garamond"/>
          <w:b/>
          <w:sz w:val="22"/>
          <w:szCs w:val="22"/>
        </w:rPr>
      </w:pPr>
    </w:p>
    <w:p w:rsidR="00A16C02" w:rsidRPr="009F698F" w:rsidRDefault="000579BD" w:rsidP="00A16C02">
      <w:pPr>
        <w:tabs>
          <w:tab w:val="left" w:pos="8285"/>
        </w:tabs>
        <w:rPr>
          <w:rFonts w:ascii="Garamond" w:hAnsi="Garamond"/>
          <w:b/>
        </w:rPr>
      </w:pPr>
      <w:r w:rsidRPr="009F698F">
        <w:rPr>
          <w:rFonts w:ascii="Garamond" w:hAnsi="Garamond"/>
          <w:b/>
        </w:rPr>
        <w:t xml:space="preserve">JP Whitter (Water Well Engineers) Limited </w:t>
      </w:r>
      <w:r w:rsidR="00CC0E89" w:rsidRPr="009F698F">
        <w:rPr>
          <w:rFonts w:ascii="Garamond" w:hAnsi="Garamond"/>
          <w:b/>
        </w:rPr>
        <w:t>(Appellan</w:t>
      </w:r>
      <w:r w:rsidR="00A16C02" w:rsidRPr="009F698F">
        <w:rPr>
          <w:rFonts w:ascii="Garamond" w:hAnsi="Garamond"/>
          <w:b/>
        </w:rPr>
        <w:t xml:space="preserve">t) v </w:t>
      </w:r>
      <w:r w:rsidRPr="009F698F">
        <w:rPr>
          <w:rFonts w:ascii="Garamond" w:hAnsi="Garamond"/>
          <w:b/>
        </w:rPr>
        <w:t xml:space="preserve">Commissioners for Her Majesty’s Revenue and Customs </w:t>
      </w:r>
      <w:r w:rsidR="00AB48FE" w:rsidRPr="009F698F">
        <w:rPr>
          <w:rFonts w:ascii="Garamond" w:hAnsi="Garamond"/>
          <w:b/>
        </w:rPr>
        <w:t>(Respondent) [201</w:t>
      </w:r>
      <w:r w:rsidR="00144567">
        <w:rPr>
          <w:rFonts w:ascii="Garamond" w:hAnsi="Garamond"/>
          <w:b/>
        </w:rPr>
        <w:t>8</w:t>
      </w:r>
      <w:r w:rsidR="00A16C02" w:rsidRPr="009F698F">
        <w:rPr>
          <w:rFonts w:ascii="Garamond" w:hAnsi="Garamond"/>
          <w:b/>
        </w:rPr>
        <w:t xml:space="preserve">] UKSC </w:t>
      </w:r>
      <w:r w:rsidR="00483DE1">
        <w:rPr>
          <w:rFonts w:ascii="Garamond" w:hAnsi="Garamond"/>
          <w:b/>
        </w:rPr>
        <w:t>31</w:t>
      </w:r>
    </w:p>
    <w:p w:rsidR="00A16C02" w:rsidRPr="009F698F" w:rsidRDefault="001C06D4" w:rsidP="00A16C02">
      <w:pPr>
        <w:tabs>
          <w:tab w:val="left" w:pos="8285"/>
        </w:tabs>
        <w:rPr>
          <w:rFonts w:ascii="Garamond" w:hAnsi="Garamond"/>
          <w:b/>
          <w:i/>
        </w:rPr>
      </w:pPr>
      <w:r w:rsidRPr="009F698F">
        <w:rPr>
          <w:rFonts w:ascii="Garamond" w:hAnsi="Garamond"/>
          <w:b/>
          <w:i/>
        </w:rPr>
        <w:t xml:space="preserve">On appeal from </w:t>
      </w:r>
      <w:r w:rsidR="00D60233" w:rsidRPr="009F698F">
        <w:rPr>
          <w:rFonts w:ascii="Garamond" w:hAnsi="Garamond"/>
          <w:b/>
          <w:i/>
        </w:rPr>
        <w:t>[2016] EWCA Civ 1160</w:t>
      </w:r>
    </w:p>
    <w:p w:rsidR="002E340D" w:rsidRPr="009F698F" w:rsidRDefault="002E340D" w:rsidP="00A16C02">
      <w:pPr>
        <w:tabs>
          <w:tab w:val="left" w:pos="8285"/>
        </w:tabs>
        <w:rPr>
          <w:rFonts w:ascii="Garamond" w:hAnsi="Garamond"/>
          <w:sz w:val="22"/>
          <w:szCs w:val="22"/>
        </w:rPr>
      </w:pPr>
    </w:p>
    <w:p w:rsidR="00A16C02" w:rsidRPr="009F698F" w:rsidRDefault="00A16C02" w:rsidP="00A16C02">
      <w:pPr>
        <w:tabs>
          <w:tab w:val="left" w:pos="8285"/>
        </w:tabs>
        <w:rPr>
          <w:rFonts w:ascii="Garamond" w:hAnsi="Garamond"/>
        </w:rPr>
      </w:pPr>
      <w:r w:rsidRPr="009F698F">
        <w:rPr>
          <w:rFonts w:ascii="Garamond" w:hAnsi="Garamond"/>
          <w:b/>
        </w:rPr>
        <w:t>JUSTICES</w:t>
      </w:r>
      <w:r w:rsidRPr="009F698F">
        <w:rPr>
          <w:rFonts w:ascii="Garamond" w:hAnsi="Garamond"/>
        </w:rPr>
        <w:t xml:space="preserve">: </w:t>
      </w:r>
      <w:r w:rsidR="00980777">
        <w:rPr>
          <w:rFonts w:ascii="Garamond" w:hAnsi="Garamond"/>
        </w:rPr>
        <w:t>Lord Mance</w:t>
      </w:r>
      <w:r w:rsidR="00C57538" w:rsidRPr="009F698F">
        <w:rPr>
          <w:rFonts w:ascii="Garamond" w:hAnsi="Garamond"/>
        </w:rPr>
        <w:t>, Lord Sumption, Lord Carnwath, Lord Lloyd-Jones and Lord Briggs</w:t>
      </w:r>
    </w:p>
    <w:p w:rsidR="00937F9E" w:rsidRPr="009F698F" w:rsidRDefault="00937F9E" w:rsidP="00A16C02">
      <w:pPr>
        <w:tabs>
          <w:tab w:val="left" w:pos="8285"/>
        </w:tabs>
        <w:rPr>
          <w:rFonts w:ascii="Garamond" w:hAnsi="Garamond"/>
          <w:b/>
          <w:sz w:val="22"/>
          <w:szCs w:val="22"/>
        </w:rPr>
      </w:pPr>
    </w:p>
    <w:p w:rsidR="00A16C02" w:rsidRPr="009F698F" w:rsidRDefault="00A16C02" w:rsidP="00A16C02">
      <w:pPr>
        <w:tabs>
          <w:tab w:val="left" w:pos="8285"/>
        </w:tabs>
        <w:rPr>
          <w:rFonts w:ascii="Garamond" w:hAnsi="Garamond"/>
          <w:b/>
        </w:rPr>
      </w:pPr>
      <w:r w:rsidRPr="009F698F">
        <w:rPr>
          <w:rFonts w:ascii="Garamond" w:hAnsi="Garamond"/>
          <w:b/>
        </w:rPr>
        <w:t>BACKGROUND TO THE APPEAL</w:t>
      </w:r>
    </w:p>
    <w:p w:rsidR="00A16C02" w:rsidRPr="009F698F" w:rsidRDefault="00A16C02" w:rsidP="003F3305">
      <w:pPr>
        <w:tabs>
          <w:tab w:val="left" w:pos="8285"/>
        </w:tabs>
        <w:jc w:val="both"/>
        <w:rPr>
          <w:rFonts w:ascii="Garamond" w:hAnsi="Garamond"/>
          <w:sz w:val="22"/>
          <w:szCs w:val="22"/>
        </w:rPr>
      </w:pPr>
    </w:p>
    <w:p w:rsidR="00A87C62" w:rsidRPr="009F698F" w:rsidRDefault="00695EA1" w:rsidP="00FA0B5C">
      <w:pPr>
        <w:tabs>
          <w:tab w:val="left" w:pos="8285"/>
        </w:tabs>
        <w:jc w:val="both"/>
        <w:rPr>
          <w:rFonts w:ascii="Garamond" w:hAnsi="Garamond"/>
        </w:rPr>
      </w:pPr>
      <w:bookmarkStart w:id="0" w:name="para1"/>
      <w:r>
        <w:rPr>
          <w:rFonts w:ascii="Garamond" w:hAnsi="Garamond"/>
        </w:rPr>
        <w:t xml:space="preserve">This appeal concerns the </w:t>
      </w:r>
      <w:r w:rsidR="00E57851" w:rsidRPr="009F698F">
        <w:rPr>
          <w:rFonts w:ascii="Garamond" w:hAnsi="Garamond"/>
        </w:rPr>
        <w:t>legislation which governs the Construction Industry Scheme (</w:t>
      </w:r>
      <w:r w:rsidR="00F578FA" w:rsidRPr="009F698F">
        <w:rPr>
          <w:rFonts w:ascii="Garamond" w:hAnsi="Garamond"/>
        </w:rPr>
        <w:t>“</w:t>
      </w:r>
      <w:r w:rsidR="00E57851" w:rsidRPr="009F698F">
        <w:rPr>
          <w:rFonts w:ascii="Garamond" w:hAnsi="Garamond"/>
        </w:rPr>
        <w:t>the CIS</w:t>
      </w:r>
      <w:bookmarkEnd w:id="0"/>
      <w:r w:rsidR="00F578FA" w:rsidRPr="009F698F">
        <w:rPr>
          <w:rFonts w:ascii="Garamond" w:hAnsi="Garamond"/>
        </w:rPr>
        <w:t>”</w:t>
      </w:r>
      <w:r w:rsidR="00E57851" w:rsidRPr="009F698F">
        <w:rPr>
          <w:rFonts w:ascii="Garamond" w:hAnsi="Garamond"/>
        </w:rPr>
        <w:t>)</w:t>
      </w:r>
      <w:r w:rsidR="007B193D">
        <w:rPr>
          <w:rFonts w:ascii="Garamond" w:hAnsi="Garamond"/>
        </w:rPr>
        <w:t>, which was</w:t>
      </w:r>
      <w:bookmarkStart w:id="1" w:name="para2"/>
      <w:r w:rsidR="00E319A5" w:rsidRPr="009F698F">
        <w:rPr>
          <w:rFonts w:ascii="Garamond" w:hAnsi="Garamond"/>
        </w:rPr>
        <w:t xml:space="preserve"> introduced in order to counter widespread tax evasion by sub-contractors in the construction industry</w:t>
      </w:r>
      <w:bookmarkEnd w:id="1"/>
      <w:r w:rsidR="00E319A5" w:rsidRPr="009F698F">
        <w:rPr>
          <w:rFonts w:ascii="Garamond" w:hAnsi="Garamond"/>
        </w:rPr>
        <w:t xml:space="preserve">. It </w:t>
      </w:r>
      <w:r w:rsidR="00A87C62" w:rsidRPr="009F698F">
        <w:rPr>
          <w:rFonts w:ascii="Garamond" w:hAnsi="Garamond"/>
        </w:rPr>
        <w:t>requires certain contractors</w:t>
      </w:r>
      <w:r w:rsidR="004B66C5" w:rsidRPr="009F698F">
        <w:rPr>
          <w:rFonts w:ascii="Garamond" w:hAnsi="Garamond"/>
        </w:rPr>
        <w:t xml:space="preserve"> </w:t>
      </w:r>
      <w:r w:rsidR="00A87C62" w:rsidRPr="009F698F">
        <w:rPr>
          <w:rFonts w:ascii="Garamond" w:hAnsi="Garamond"/>
        </w:rPr>
        <w:t xml:space="preserve">to deduct and pay over to </w:t>
      </w:r>
      <w:r w:rsidR="00E825E2" w:rsidRPr="005744C4">
        <w:rPr>
          <w:rFonts w:ascii="Garamond" w:hAnsi="Garamond"/>
        </w:rPr>
        <w:t>Her Majesty’s Revenue and Customs</w:t>
      </w:r>
      <w:r w:rsidR="00E825E2" w:rsidRPr="009F698F">
        <w:rPr>
          <w:rFonts w:ascii="Garamond" w:hAnsi="Garamond"/>
        </w:rPr>
        <w:t xml:space="preserve"> </w:t>
      </w:r>
      <w:r w:rsidR="00E825E2">
        <w:rPr>
          <w:rFonts w:ascii="Garamond" w:hAnsi="Garamond"/>
        </w:rPr>
        <w:t>(</w:t>
      </w:r>
      <w:r w:rsidR="005744C4">
        <w:rPr>
          <w:rFonts w:ascii="Garamond" w:hAnsi="Garamond"/>
        </w:rPr>
        <w:t>“H</w:t>
      </w:r>
      <w:r w:rsidR="00A87C62" w:rsidRPr="009F698F">
        <w:rPr>
          <w:rFonts w:ascii="Garamond" w:hAnsi="Garamond"/>
        </w:rPr>
        <w:t>MR</w:t>
      </w:r>
      <w:r w:rsidR="005744C4">
        <w:rPr>
          <w:rFonts w:ascii="Garamond" w:hAnsi="Garamond"/>
        </w:rPr>
        <w:t>C”)</w:t>
      </w:r>
      <w:r w:rsidR="00A87C62" w:rsidRPr="009F698F">
        <w:rPr>
          <w:rFonts w:ascii="Garamond" w:hAnsi="Garamond"/>
        </w:rPr>
        <w:t xml:space="preserve"> a proportion of all payments made to the sub-contractor in respect of labour</w:t>
      </w:r>
      <w:r w:rsidR="00465D75" w:rsidRPr="009F698F">
        <w:rPr>
          <w:rFonts w:ascii="Garamond" w:hAnsi="Garamond"/>
        </w:rPr>
        <w:t xml:space="preserve"> under a</w:t>
      </w:r>
      <w:r w:rsidR="00A87C62" w:rsidRPr="009F698F">
        <w:rPr>
          <w:rFonts w:ascii="Garamond" w:hAnsi="Garamond"/>
        </w:rPr>
        <w:t xml:space="preserve"> sub-contract. The amount deducted and paid over is, in due course, allowed as a credit against the sub-contractor</w:t>
      </w:r>
      <w:r w:rsidR="00FF4C25">
        <w:rPr>
          <w:rFonts w:ascii="Garamond" w:hAnsi="Garamond"/>
        </w:rPr>
        <w:t>’</w:t>
      </w:r>
      <w:r w:rsidR="00A87C62" w:rsidRPr="009F698F">
        <w:rPr>
          <w:rFonts w:ascii="Garamond" w:hAnsi="Garamond"/>
        </w:rPr>
        <w:t xml:space="preserve">s liability to </w:t>
      </w:r>
      <w:r w:rsidR="00DF2E11" w:rsidRPr="009F698F">
        <w:rPr>
          <w:rFonts w:ascii="Garamond" w:hAnsi="Garamond"/>
        </w:rPr>
        <w:t>HMRC</w:t>
      </w:r>
      <w:r w:rsidR="00A87C62" w:rsidRPr="009F698F">
        <w:rPr>
          <w:rFonts w:ascii="Garamond" w:hAnsi="Garamond"/>
        </w:rPr>
        <w:t>.</w:t>
      </w:r>
      <w:r w:rsidR="00FA0B5C" w:rsidRPr="009F698F">
        <w:rPr>
          <w:rFonts w:ascii="Garamond" w:hAnsi="Garamond"/>
        </w:rPr>
        <w:t xml:space="preserve"> </w:t>
      </w:r>
      <w:r w:rsidR="00FF02B1">
        <w:rPr>
          <w:rFonts w:ascii="Garamond" w:hAnsi="Garamond"/>
        </w:rPr>
        <w:t>However, s</w:t>
      </w:r>
      <w:r w:rsidR="003E2034" w:rsidRPr="009F698F">
        <w:rPr>
          <w:rFonts w:ascii="Garamond" w:hAnsi="Garamond"/>
        </w:rPr>
        <w:t>ub-c</w:t>
      </w:r>
      <w:r w:rsidR="00AB2EAD" w:rsidRPr="009F698F">
        <w:rPr>
          <w:rFonts w:ascii="Garamond" w:hAnsi="Garamond"/>
        </w:rPr>
        <w:t xml:space="preserve">ontractors </w:t>
      </w:r>
      <w:r w:rsidR="005744C4">
        <w:rPr>
          <w:rFonts w:ascii="Garamond" w:hAnsi="Garamond"/>
        </w:rPr>
        <w:t>with</w:t>
      </w:r>
      <w:r w:rsidR="004B66C5" w:rsidRPr="009F698F">
        <w:rPr>
          <w:rFonts w:ascii="Garamond" w:hAnsi="Garamond"/>
        </w:rPr>
        <w:t xml:space="preserve"> statutory certificates of gross payment registration are exempt from those requirements</w:t>
      </w:r>
      <w:r w:rsidR="00B42564" w:rsidRPr="009F698F">
        <w:rPr>
          <w:rFonts w:ascii="Garamond" w:hAnsi="Garamond"/>
        </w:rPr>
        <w:t xml:space="preserve">. </w:t>
      </w:r>
      <w:r w:rsidR="003E2034" w:rsidRPr="009F698F">
        <w:rPr>
          <w:rFonts w:ascii="Garamond" w:hAnsi="Garamond"/>
        </w:rPr>
        <w:t>That</w:t>
      </w:r>
      <w:r w:rsidR="00A87C62" w:rsidRPr="009F698F">
        <w:rPr>
          <w:rFonts w:ascii="Garamond" w:hAnsi="Garamond"/>
        </w:rPr>
        <w:t xml:space="preserve"> tends to make </w:t>
      </w:r>
      <w:r w:rsidR="00797845">
        <w:rPr>
          <w:rFonts w:ascii="Garamond" w:hAnsi="Garamond"/>
        </w:rPr>
        <w:t>any</w:t>
      </w:r>
      <w:r w:rsidR="00A87C62" w:rsidRPr="009F698F">
        <w:rPr>
          <w:rFonts w:ascii="Garamond" w:hAnsi="Garamond"/>
        </w:rPr>
        <w:t xml:space="preserve"> sub-contractor holding </w:t>
      </w:r>
      <w:r w:rsidR="002827E8">
        <w:rPr>
          <w:rFonts w:ascii="Garamond" w:hAnsi="Garamond"/>
        </w:rPr>
        <w:t>a</w:t>
      </w:r>
      <w:r w:rsidR="00A87C62" w:rsidRPr="009F698F">
        <w:rPr>
          <w:rFonts w:ascii="Garamond" w:hAnsi="Garamond"/>
        </w:rPr>
        <w:t xml:space="preserve"> certificate a more attractive party for </w:t>
      </w:r>
      <w:r w:rsidR="00797845">
        <w:rPr>
          <w:rFonts w:ascii="Garamond" w:hAnsi="Garamond"/>
        </w:rPr>
        <w:t>a</w:t>
      </w:r>
      <w:r w:rsidR="00A87C62" w:rsidRPr="009F698F">
        <w:rPr>
          <w:rFonts w:ascii="Garamond" w:hAnsi="Garamond"/>
        </w:rPr>
        <w:t xml:space="preserve"> contractor to deal with</w:t>
      </w:r>
      <w:r w:rsidR="00553DFF">
        <w:rPr>
          <w:rFonts w:ascii="Garamond" w:hAnsi="Garamond"/>
        </w:rPr>
        <w:t xml:space="preserve">. It also improves the sub-contractor’s cash flow </w:t>
      </w:r>
      <w:r w:rsidR="00A87C62" w:rsidRPr="009F698F">
        <w:rPr>
          <w:rFonts w:ascii="Garamond" w:hAnsi="Garamond"/>
        </w:rPr>
        <w:t>by enabling the sub-contractor to receive the contract price without deduction</w:t>
      </w:r>
      <w:r w:rsidR="00553DFF">
        <w:rPr>
          <w:rFonts w:ascii="Garamond" w:hAnsi="Garamond"/>
        </w:rPr>
        <w:t>.</w:t>
      </w:r>
    </w:p>
    <w:p w:rsidR="00A87C62" w:rsidRDefault="00A87C62" w:rsidP="00C75469">
      <w:pPr>
        <w:tabs>
          <w:tab w:val="left" w:pos="8285"/>
        </w:tabs>
        <w:jc w:val="both"/>
        <w:rPr>
          <w:rFonts w:ascii="Garamond" w:hAnsi="Garamond"/>
          <w:sz w:val="22"/>
          <w:szCs w:val="22"/>
        </w:rPr>
      </w:pPr>
    </w:p>
    <w:p w:rsidR="0001249A" w:rsidRDefault="006E4CAE" w:rsidP="00C75469">
      <w:pPr>
        <w:tabs>
          <w:tab w:val="left" w:pos="8285"/>
        </w:tabs>
        <w:jc w:val="both"/>
        <w:rPr>
          <w:rFonts w:ascii="Garamond" w:hAnsi="Garamond"/>
        </w:rPr>
      </w:pPr>
      <w:r w:rsidRPr="009F698F">
        <w:rPr>
          <w:rFonts w:ascii="Garamond" w:hAnsi="Garamond"/>
        </w:rPr>
        <w:t>The appellant company (“the company”) is a family-run business of water well engineers, started in 1972. In around 1984 the company registered for gross payment under the</w:t>
      </w:r>
      <w:r>
        <w:rPr>
          <w:rFonts w:ascii="Garamond" w:hAnsi="Garamond"/>
        </w:rPr>
        <w:t xml:space="preserve"> CIS</w:t>
      </w:r>
      <w:r w:rsidR="00036420">
        <w:rPr>
          <w:rFonts w:ascii="Garamond" w:hAnsi="Garamond"/>
        </w:rPr>
        <w:t xml:space="preserve">. It then </w:t>
      </w:r>
      <w:r w:rsidR="00FC4DEA" w:rsidRPr="009F698F">
        <w:rPr>
          <w:rFonts w:ascii="Garamond" w:hAnsi="Garamond"/>
        </w:rPr>
        <w:t>underwent regular reviews</w:t>
      </w:r>
      <w:r w:rsidR="00F55625">
        <w:rPr>
          <w:rFonts w:ascii="Garamond" w:hAnsi="Garamond"/>
        </w:rPr>
        <w:t xml:space="preserve"> to determine whether it ought to retain </w:t>
      </w:r>
      <w:r w:rsidR="00393B82">
        <w:rPr>
          <w:rFonts w:ascii="Garamond" w:hAnsi="Garamond"/>
        </w:rPr>
        <w:t>its registration certificate</w:t>
      </w:r>
      <w:r w:rsidR="00FC4DEA" w:rsidRPr="009F698F">
        <w:rPr>
          <w:rFonts w:ascii="Garamond" w:hAnsi="Garamond"/>
        </w:rPr>
        <w:t xml:space="preserve">. </w:t>
      </w:r>
      <w:r w:rsidR="00AF4C4E" w:rsidRPr="009F698F">
        <w:rPr>
          <w:rFonts w:ascii="Garamond" w:hAnsi="Garamond"/>
        </w:rPr>
        <w:t>It first failed a review in July 2009, when its registration was cancelled</w:t>
      </w:r>
      <w:r w:rsidR="004E32F4" w:rsidRPr="009F698F">
        <w:rPr>
          <w:rFonts w:ascii="Garamond" w:hAnsi="Garamond"/>
        </w:rPr>
        <w:t xml:space="preserve">. </w:t>
      </w:r>
      <w:r w:rsidR="00AF4C4E" w:rsidRPr="009F698F">
        <w:rPr>
          <w:rFonts w:ascii="Garamond" w:hAnsi="Garamond"/>
        </w:rPr>
        <w:t>The same occurred in June 2010. On both occasions the registration was</w:t>
      </w:r>
      <w:r w:rsidR="004E32F4" w:rsidRPr="009F698F">
        <w:rPr>
          <w:rFonts w:ascii="Garamond" w:hAnsi="Garamond"/>
        </w:rPr>
        <w:t xml:space="preserve"> reinstated by HMRC following an appeal. </w:t>
      </w:r>
    </w:p>
    <w:p w:rsidR="0001249A" w:rsidRPr="005E11AC" w:rsidRDefault="0001249A" w:rsidP="00C75469">
      <w:pPr>
        <w:tabs>
          <w:tab w:val="left" w:pos="8285"/>
        </w:tabs>
        <w:jc w:val="both"/>
        <w:rPr>
          <w:rFonts w:ascii="Garamond" w:hAnsi="Garamond"/>
          <w:sz w:val="22"/>
          <w:szCs w:val="22"/>
        </w:rPr>
      </w:pPr>
    </w:p>
    <w:p w:rsidR="00F20C38" w:rsidRPr="009F698F" w:rsidRDefault="004E32F4" w:rsidP="00C75469">
      <w:pPr>
        <w:tabs>
          <w:tab w:val="left" w:pos="8285"/>
        </w:tabs>
        <w:jc w:val="both"/>
        <w:rPr>
          <w:rFonts w:ascii="Garamond" w:hAnsi="Garamond"/>
        </w:rPr>
      </w:pPr>
      <w:r w:rsidRPr="009F698F">
        <w:rPr>
          <w:rFonts w:ascii="Garamond" w:hAnsi="Garamond"/>
        </w:rPr>
        <w:t xml:space="preserve">Between August 2010 and March 2011 the company </w:t>
      </w:r>
      <w:r w:rsidR="00170F73" w:rsidRPr="009F698F">
        <w:rPr>
          <w:rFonts w:ascii="Garamond" w:hAnsi="Garamond"/>
        </w:rPr>
        <w:t xml:space="preserve">was late in making </w:t>
      </w:r>
      <w:r w:rsidR="006E322B">
        <w:rPr>
          <w:rFonts w:ascii="Garamond" w:hAnsi="Garamond"/>
        </w:rPr>
        <w:t>PAYE</w:t>
      </w:r>
      <w:r w:rsidR="00170F73" w:rsidRPr="009F698F">
        <w:rPr>
          <w:rFonts w:ascii="Garamond" w:hAnsi="Garamond"/>
        </w:rPr>
        <w:t xml:space="preserve"> payments on seven occasions</w:t>
      </w:r>
      <w:r w:rsidR="00E825E2">
        <w:rPr>
          <w:rFonts w:ascii="Garamond" w:hAnsi="Garamond"/>
        </w:rPr>
        <w:t>. T</w:t>
      </w:r>
      <w:r w:rsidR="00170F73" w:rsidRPr="009F698F">
        <w:rPr>
          <w:rFonts w:ascii="Garamond" w:hAnsi="Garamond"/>
        </w:rPr>
        <w:t xml:space="preserve">he delays </w:t>
      </w:r>
      <w:r w:rsidR="00E825E2">
        <w:rPr>
          <w:rFonts w:ascii="Garamond" w:hAnsi="Garamond"/>
        </w:rPr>
        <w:t>were</w:t>
      </w:r>
      <w:r w:rsidR="00E825E2" w:rsidRPr="009F698F">
        <w:rPr>
          <w:rFonts w:ascii="Garamond" w:hAnsi="Garamond"/>
        </w:rPr>
        <w:t xml:space="preserve"> </w:t>
      </w:r>
      <w:r w:rsidR="00170F73" w:rsidRPr="009F698F">
        <w:rPr>
          <w:rFonts w:ascii="Garamond" w:hAnsi="Garamond"/>
        </w:rPr>
        <w:t xml:space="preserve">generally of a few days, but on one occasion of at least 118 days. </w:t>
      </w:r>
      <w:r w:rsidR="005234D2" w:rsidRPr="009F698F">
        <w:rPr>
          <w:rFonts w:ascii="Garamond" w:hAnsi="Garamond"/>
        </w:rPr>
        <w:t xml:space="preserve">It is accepted that the company failed to comply with the requirements of the </w:t>
      </w:r>
      <w:r w:rsidR="003B6A4F" w:rsidRPr="009F698F">
        <w:rPr>
          <w:rFonts w:ascii="Garamond" w:hAnsi="Garamond"/>
        </w:rPr>
        <w:t>CIS</w:t>
      </w:r>
      <w:r w:rsidR="005234D2" w:rsidRPr="009F698F">
        <w:rPr>
          <w:rFonts w:ascii="Garamond" w:hAnsi="Garamond"/>
        </w:rPr>
        <w:t xml:space="preserve"> without reasonable excuse. </w:t>
      </w:r>
      <w:r w:rsidR="00871C39">
        <w:rPr>
          <w:rFonts w:ascii="Garamond" w:hAnsi="Garamond"/>
        </w:rPr>
        <w:t>At th</w:t>
      </w:r>
      <w:r w:rsidR="009352DE">
        <w:rPr>
          <w:rFonts w:ascii="Garamond" w:hAnsi="Garamond"/>
        </w:rPr>
        <w:t>at</w:t>
      </w:r>
      <w:r w:rsidR="00871C39">
        <w:rPr>
          <w:rFonts w:ascii="Garamond" w:hAnsi="Garamond"/>
        </w:rPr>
        <w:t xml:space="preserve"> time</w:t>
      </w:r>
      <w:r w:rsidR="003A6DB3">
        <w:rPr>
          <w:rFonts w:ascii="Garamond" w:hAnsi="Garamond"/>
        </w:rPr>
        <w:t xml:space="preserve"> the</w:t>
      </w:r>
      <w:r w:rsidR="00FA7A75">
        <w:rPr>
          <w:rFonts w:ascii="Garamond" w:hAnsi="Garamond"/>
        </w:rPr>
        <w:t xml:space="preserve"> company</w:t>
      </w:r>
      <w:r w:rsidR="008149B6" w:rsidRPr="009F698F">
        <w:rPr>
          <w:rFonts w:ascii="Garamond" w:hAnsi="Garamond"/>
        </w:rPr>
        <w:t xml:space="preserve"> had about 25 employees and an annual turnover of about £4.4m, much of it derived from contracts with a small number of major customers.</w:t>
      </w:r>
      <w:r w:rsidR="0001249A">
        <w:rPr>
          <w:rFonts w:ascii="Garamond" w:hAnsi="Garamond"/>
        </w:rPr>
        <w:t xml:space="preserve"> </w:t>
      </w:r>
      <w:r w:rsidR="00FF5844" w:rsidRPr="009F698F">
        <w:rPr>
          <w:rFonts w:ascii="Garamond" w:hAnsi="Garamond"/>
        </w:rPr>
        <w:t>A</w:t>
      </w:r>
      <w:r w:rsidR="004378FF" w:rsidRPr="009F698F">
        <w:rPr>
          <w:rFonts w:ascii="Garamond" w:hAnsi="Garamond"/>
        </w:rPr>
        <w:t xml:space="preserve"> further review </w:t>
      </w:r>
      <w:r w:rsidR="00FF5844" w:rsidRPr="009F698F">
        <w:rPr>
          <w:rFonts w:ascii="Garamond" w:hAnsi="Garamond"/>
        </w:rPr>
        <w:t>followed. O</w:t>
      </w:r>
      <w:r w:rsidR="004378FF" w:rsidRPr="009F698F">
        <w:rPr>
          <w:rFonts w:ascii="Garamond" w:hAnsi="Garamond"/>
        </w:rPr>
        <w:t>n 30 May 2011</w:t>
      </w:r>
      <w:r w:rsidR="00A57FC6" w:rsidRPr="009F698F">
        <w:rPr>
          <w:rFonts w:ascii="Garamond" w:hAnsi="Garamond"/>
        </w:rPr>
        <w:t xml:space="preserve"> HMRC, </w:t>
      </w:r>
      <w:r w:rsidR="0001249A">
        <w:rPr>
          <w:rFonts w:ascii="Garamond" w:hAnsi="Garamond"/>
        </w:rPr>
        <w:t xml:space="preserve">acting </w:t>
      </w:r>
      <w:r w:rsidR="00A57FC6" w:rsidRPr="009F698F">
        <w:rPr>
          <w:rFonts w:ascii="Garamond" w:hAnsi="Garamond"/>
        </w:rPr>
        <w:t xml:space="preserve">under section 66(1) of the Finance Act 2004, cancelled the company’s registration. </w:t>
      </w:r>
      <w:r w:rsidR="00F40BEE" w:rsidRPr="009F698F">
        <w:rPr>
          <w:rFonts w:ascii="Garamond" w:hAnsi="Garamond"/>
        </w:rPr>
        <w:t>In doing so,</w:t>
      </w:r>
      <w:r w:rsidR="00827DA2" w:rsidRPr="009F698F">
        <w:rPr>
          <w:rFonts w:ascii="Garamond" w:hAnsi="Garamond"/>
        </w:rPr>
        <w:t xml:space="preserve"> HMRC</w:t>
      </w:r>
      <w:r w:rsidR="00F20C38" w:rsidRPr="009F698F">
        <w:rPr>
          <w:rFonts w:ascii="Garamond" w:hAnsi="Garamond"/>
        </w:rPr>
        <w:t xml:space="preserve"> took no account of the </w:t>
      </w:r>
      <w:r w:rsidR="00990E89">
        <w:rPr>
          <w:rFonts w:ascii="Garamond" w:hAnsi="Garamond"/>
        </w:rPr>
        <w:t>consequences for</w:t>
      </w:r>
      <w:r w:rsidR="00F20C38" w:rsidRPr="009F698F">
        <w:rPr>
          <w:rFonts w:ascii="Garamond" w:hAnsi="Garamond"/>
        </w:rPr>
        <w:t xml:space="preserve"> the company’s business. </w:t>
      </w:r>
    </w:p>
    <w:p w:rsidR="007D0576" w:rsidRPr="009F698F" w:rsidRDefault="007D0576" w:rsidP="00C75469">
      <w:pPr>
        <w:tabs>
          <w:tab w:val="left" w:pos="8285"/>
        </w:tabs>
        <w:jc w:val="both"/>
        <w:rPr>
          <w:rFonts w:ascii="Garamond" w:hAnsi="Garamond"/>
          <w:sz w:val="22"/>
          <w:szCs w:val="22"/>
        </w:rPr>
      </w:pPr>
    </w:p>
    <w:p w:rsidR="00974178" w:rsidRPr="009F698F" w:rsidRDefault="007D0576" w:rsidP="00C75469">
      <w:pPr>
        <w:tabs>
          <w:tab w:val="left" w:pos="8285"/>
        </w:tabs>
        <w:jc w:val="both"/>
        <w:rPr>
          <w:rFonts w:ascii="Garamond" w:hAnsi="Garamond"/>
        </w:rPr>
      </w:pPr>
      <w:r w:rsidRPr="009F698F">
        <w:rPr>
          <w:rFonts w:ascii="Garamond" w:hAnsi="Garamond"/>
        </w:rPr>
        <w:t xml:space="preserve">The company’s </w:t>
      </w:r>
      <w:r w:rsidR="001C1B43" w:rsidRPr="009F698F">
        <w:rPr>
          <w:rFonts w:ascii="Garamond" w:hAnsi="Garamond"/>
        </w:rPr>
        <w:t>appealed to t</w:t>
      </w:r>
      <w:r w:rsidRPr="009F698F">
        <w:rPr>
          <w:rFonts w:ascii="Garamond" w:hAnsi="Garamond"/>
        </w:rPr>
        <w:t>he First-tier Tribunal (“FTT”)</w:t>
      </w:r>
      <w:r w:rsidR="001C1B43" w:rsidRPr="009F698F">
        <w:rPr>
          <w:rFonts w:ascii="Garamond" w:hAnsi="Garamond"/>
        </w:rPr>
        <w:t xml:space="preserve"> which accepted the company’s evidence that</w:t>
      </w:r>
      <w:r w:rsidR="00A229C1" w:rsidRPr="009F698F">
        <w:rPr>
          <w:rFonts w:ascii="Garamond" w:hAnsi="Garamond"/>
        </w:rPr>
        <w:t xml:space="preserve"> the</w:t>
      </w:r>
      <w:r w:rsidR="001C1B43" w:rsidRPr="009F698F">
        <w:rPr>
          <w:rFonts w:ascii="Garamond" w:hAnsi="Garamond"/>
        </w:rPr>
        <w:t xml:space="preserve"> cancellation</w:t>
      </w:r>
      <w:r w:rsidR="004B7FC1">
        <w:rPr>
          <w:rFonts w:ascii="Garamond" w:hAnsi="Garamond"/>
        </w:rPr>
        <w:t xml:space="preserve">, once it took effect, </w:t>
      </w:r>
      <w:r w:rsidR="00A229C1" w:rsidRPr="009F698F">
        <w:rPr>
          <w:rFonts w:ascii="Garamond" w:hAnsi="Garamond"/>
        </w:rPr>
        <w:t xml:space="preserve">would have had a seriously detrimental impact on the company. </w:t>
      </w:r>
      <w:r w:rsidR="00BA7D31" w:rsidRPr="009F698F">
        <w:rPr>
          <w:rFonts w:ascii="Garamond" w:hAnsi="Garamond"/>
        </w:rPr>
        <w:t>The FTT allowed the company’s appeal</w:t>
      </w:r>
      <w:r w:rsidR="003D4457" w:rsidRPr="009F698F">
        <w:rPr>
          <w:rFonts w:ascii="Garamond" w:hAnsi="Garamond"/>
        </w:rPr>
        <w:t>, holding that HMRC had been wrong not to take account of the likely impact on the company’s business</w:t>
      </w:r>
      <w:r w:rsidR="00BA7D31" w:rsidRPr="009F698F">
        <w:rPr>
          <w:rFonts w:ascii="Garamond" w:hAnsi="Garamond"/>
        </w:rPr>
        <w:t>.</w:t>
      </w:r>
      <w:r w:rsidR="00A274B9" w:rsidRPr="009F698F">
        <w:rPr>
          <w:rFonts w:ascii="Garamond" w:hAnsi="Garamond"/>
        </w:rPr>
        <w:t xml:space="preserve"> However, t</w:t>
      </w:r>
      <w:r w:rsidR="00611D16" w:rsidRPr="009F698F">
        <w:rPr>
          <w:rFonts w:ascii="Garamond" w:hAnsi="Garamond"/>
        </w:rPr>
        <w:t>hat decision was</w:t>
      </w:r>
      <w:r w:rsidR="00F272EA" w:rsidRPr="009F698F">
        <w:rPr>
          <w:rFonts w:ascii="Garamond" w:hAnsi="Garamond"/>
        </w:rPr>
        <w:t xml:space="preserve"> overturned</w:t>
      </w:r>
      <w:r w:rsidR="00611D16" w:rsidRPr="009F698F">
        <w:rPr>
          <w:rFonts w:ascii="Garamond" w:hAnsi="Garamond"/>
        </w:rPr>
        <w:t xml:space="preserve"> by the Upper Tribunal </w:t>
      </w:r>
      <w:r w:rsidR="00D779F6" w:rsidRPr="009F698F">
        <w:rPr>
          <w:rFonts w:ascii="Garamond" w:hAnsi="Garamond"/>
        </w:rPr>
        <w:t>with which</w:t>
      </w:r>
      <w:r w:rsidR="00611D16" w:rsidRPr="009F698F">
        <w:rPr>
          <w:rFonts w:ascii="Garamond" w:hAnsi="Garamond"/>
        </w:rPr>
        <w:t xml:space="preserve"> the Court of Appeal</w:t>
      </w:r>
      <w:r w:rsidR="00A34FF3" w:rsidRPr="009F698F">
        <w:rPr>
          <w:rFonts w:ascii="Garamond" w:hAnsi="Garamond"/>
        </w:rPr>
        <w:t xml:space="preserve"> agreed</w:t>
      </w:r>
      <w:r w:rsidR="00611D16" w:rsidRPr="009F698F">
        <w:rPr>
          <w:rFonts w:ascii="Garamond" w:hAnsi="Garamond"/>
        </w:rPr>
        <w:t>.</w:t>
      </w:r>
      <w:r w:rsidR="006568F0" w:rsidRPr="009F698F">
        <w:rPr>
          <w:rFonts w:ascii="Garamond" w:hAnsi="Garamond"/>
        </w:rPr>
        <w:t xml:space="preserve"> The company now appeals to the Supreme Court. </w:t>
      </w:r>
    </w:p>
    <w:p w:rsidR="00974178" w:rsidRPr="009F698F" w:rsidRDefault="00974178" w:rsidP="00C75469">
      <w:pPr>
        <w:tabs>
          <w:tab w:val="left" w:pos="8285"/>
        </w:tabs>
        <w:jc w:val="both"/>
        <w:rPr>
          <w:rFonts w:ascii="Garamond" w:hAnsi="Garamond"/>
          <w:sz w:val="22"/>
          <w:szCs w:val="22"/>
        </w:rPr>
      </w:pPr>
    </w:p>
    <w:p w:rsidR="00A16C02" w:rsidRPr="009F698F" w:rsidRDefault="00A16C02" w:rsidP="00C75469">
      <w:pPr>
        <w:jc w:val="both"/>
        <w:rPr>
          <w:rFonts w:ascii="Garamond" w:hAnsi="Garamond"/>
          <w:b/>
        </w:rPr>
      </w:pPr>
      <w:r w:rsidRPr="009F698F">
        <w:rPr>
          <w:rFonts w:ascii="Garamond" w:hAnsi="Garamond"/>
          <w:b/>
        </w:rPr>
        <w:t>JUDGMENT</w:t>
      </w:r>
    </w:p>
    <w:p w:rsidR="00A16C02" w:rsidRPr="009F698F" w:rsidRDefault="00A16C02" w:rsidP="00C75469">
      <w:pPr>
        <w:jc w:val="both"/>
        <w:rPr>
          <w:rFonts w:ascii="Garamond" w:hAnsi="Garamond"/>
          <w:b/>
          <w:sz w:val="22"/>
          <w:szCs w:val="22"/>
        </w:rPr>
      </w:pPr>
    </w:p>
    <w:p w:rsidR="003D7D7D" w:rsidRPr="009F698F" w:rsidRDefault="00A33577" w:rsidP="00C75469">
      <w:pPr>
        <w:jc w:val="both"/>
        <w:rPr>
          <w:rFonts w:ascii="Garamond" w:hAnsi="Garamond"/>
        </w:rPr>
      </w:pPr>
      <w:r w:rsidRPr="009F698F">
        <w:rPr>
          <w:rFonts w:ascii="Garamond" w:hAnsi="Garamond"/>
        </w:rPr>
        <w:t xml:space="preserve">The Supreme Court </w:t>
      </w:r>
      <w:r w:rsidR="008C11CB" w:rsidRPr="009F698F">
        <w:rPr>
          <w:rFonts w:ascii="Garamond" w:hAnsi="Garamond"/>
        </w:rPr>
        <w:t xml:space="preserve">unanimously </w:t>
      </w:r>
      <w:r w:rsidR="001C06D4" w:rsidRPr="009F698F">
        <w:rPr>
          <w:rFonts w:ascii="Garamond" w:hAnsi="Garamond"/>
        </w:rPr>
        <w:t>dismisses</w:t>
      </w:r>
      <w:r w:rsidR="00937F9E" w:rsidRPr="009F698F">
        <w:rPr>
          <w:rFonts w:ascii="Garamond" w:hAnsi="Garamond"/>
        </w:rPr>
        <w:t xml:space="preserve"> the appeal</w:t>
      </w:r>
      <w:r w:rsidR="0025011D" w:rsidRPr="009F698F">
        <w:rPr>
          <w:rFonts w:ascii="Garamond" w:hAnsi="Garamond"/>
        </w:rPr>
        <w:t xml:space="preserve">. </w:t>
      </w:r>
      <w:r w:rsidR="0065738B" w:rsidRPr="009F698F">
        <w:rPr>
          <w:rFonts w:ascii="Garamond" w:hAnsi="Garamond"/>
        </w:rPr>
        <w:t>Lord Carnwath gives the judgment, with which Lord Mance, Lord Sumption, Lord Lloyd-Jones and Lord Briggs agree.</w:t>
      </w:r>
      <w:r w:rsidR="0025011D" w:rsidRPr="009F698F">
        <w:rPr>
          <w:rFonts w:ascii="Garamond" w:hAnsi="Garamond"/>
        </w:rPr>
        <w:t xml:space="preserve"> </w:t>
      </w:r>
    </w:p>
    <w:p w:rsidR="00FA3D1D" w:rsidRDefault="00FA3D1D" w:rsidP="00C75469">
      <w:pPr>
        <w:jc w:val="both"/>
        <w:rPr>
          <w:rFonts w:ascii="Garamond" w:hAnsi="Garamond"/>
          <w:b/>
          <w:sz w:val="22"/>
          <w:szCs w:val="22"/>
        </w:rPr>
      </w:pPr>
    </w:p>
    <w:p w:rsidR="00980777" w:rsidRDefault="00980777" w:rsidP="00C75469">
      <w:pPr>
        <w:jc w:val="both"/>
        <w:rPr>
          <w:rFonts w:ascii="Garamond" w:hAnsi="Garamond"/>
          <w:b/>
        </w:rPr>
        <w:sectPr w:rsidR="00980777" w:rsidSect="00437284">
          <w:footerReference w:type="default" r:id="rId11"/>
          <w:pgSz w:w="11906" w:h="16838" w:code="9"/>
          <w:pgMar w:top="567" w:right="964" w:bottom="964" w:left="232" w:header="0" w:footer="0" w:gutter="1134"/>
          <w:cols w:space="708"/>
          <w:docGrid w:linePitch="360"/>
        </w:sectPr>
      </w:pPr>
    </w:p>
    <w:p w:rsidR="009621B7" w:rsidRPr="009F698F" w:rsidRDefault="00A16C02" w:rsidP="00C75469">
      <w:pPr>
        <w:jc w:val="both"/>
        <w:rPr>
          <w:rFonts w:ascii="Garamond" w:hAnsi="Garamond"/>
          <w:b/>
        </w:rPr>
      </w:pPr>
      <w:r w:rsidRPr="009F698F">
        <w:rPr>
          <w:rFonts w:ascii="Garamond" w:hAnsi="Garamond"/>
          <w:b/>
        </w:rPr>
        <w:lastRenderedPageBreak/>
        <w:t>REASONS FOR THE JUDGMENT</w:t>
      </w:r>
    </w:p>
    <w:p w:rsidR="008C7C9F" w:rsidRPr="009F698F" w:rsidRDefault="008C7C9F" w:rsidP="00C75469">
      <w:pPr>
        <w:jc w:val="both"/>
        <w:rPr>
          <w:rFonts w:ascii="Garamond" w:hAnsi="Garamond"/>
          <w:b/>
          <w:sz w:val="22"/>
          <w:szCs w:val="22"/>
        </w:rPr>
      </w:pPr>
    </w:p>
    <w:p w:rsidR="000A7335" w:rsidRPr="009F698F" w:rsidRDefault="00767EAF" w:rsidP="00C75469">
      <w:pPr>
        <w:jc w:val="both"/>
        <w:rPr>
          <w:rFonts w:ascii="Garamond" w:hAnsi="Garamond"/>
        </w:rPr>
      </w:pPr>
      <w:r w:rsidRPr="009F698F">
        <w:rPr>
          <w:rFonts w:ascii="Garamond" w:hAnsi="Garamond"/>
        </w:rPr>
        <w:t>The statutory requirements for registration for gross payment are highly prescriptive</w:t>
      </w:r>
      <w:r w:rsidR="0049218F" w:rsidRPr="009F698F">
        <w:rPr>
          <w:rFonts w:ascii="Garamond" w:hAnsi="Garamond"/>
        </w:rPr>
        <w:t>. They are contained in the Finance Act 2004</w:t>
      </w:r>
      <w:r w:rsidRPr="009F698F">
        <w:rPr>
          <w:rFonts w:ascii="Garamond" w:hAnsi="Garamond"/>
        </w:rPr>
        <w:t>.</w:t>
      </w:r>
      <w:r w:rsidR="001F47EB">
        <w:rPr>
          <w:rFonts w:ascii="Garamond" w:hAnsi="Garamond"/>
        </w:rPr>
        <w:t xml:space="preserve"> </w:t>
      </w:r>
      <w:r w:rsidR="004663E5">
        <w:rPr>
          <w:rFonts w:ascii="Garamond" w:hAnsi="Garamond"/>
        </w:rPr>
        <w:t xml:space="preserve">They include </w:t>
      </w:r>
      <w:r w:rsidR="00107D4F">
        <w:rPr>
          <w:rFonts w:ascii="Garamond" w:hAnsi="Garamond"/>
        </w:rPr>
        <w:t>a requirement that the applicant for registration complied</w:t>
      </w:r>
      <w:r w:rsidR="00E825E2">
        <w:rPr>
          <w:rFonts w:ascii="Garamond" w:hAnsi="Garamond"/>
        </w:rPr>
        <w:t>,</w:t>
      </w:r>
      <w:r w:rsidR="00107D4F">
        <w:rPr>
          <w:rFonts w:ascii="Garamond" w:hAnsi="Garamond"/>
        </w:rPr>
        <w:t xml:space="preserve"> within the previous 12 months</w:t>
      </w:r>
      <w:r w:rsidR="00E825E2">
        <w:rPr>
          <w:rFonts w:ascii="Garamond" w:hAnsi="Garamond"/>
        </w:rPr>
        <w:t>,</w:t>
      </w:r>
      <w:r w:rsidR="00107D4F">
        <w:rPr>
          <w:rFonts w:ascii="Garamond" w:hAnsi="Garamond"/>
        </w:rPr>
        <w:t xml:space="preserve"> with various tax obligations</w:t>
      </w:r>
      <w:r w:rsidR="00C8611E">
        <w:rPr>
          <w:rFonts w:ascii="Garamond" w:hAnsi="Garamond"/>
        </w:rPr>
        <w:t xml:space="preserve"> </w:t>
      </w:r>
      <w:r w:rsidR="003305B1">
        <w:rPr>
          <w:rFonts w:ascii="Garamond" w:hAnsi="Garamond"/>
        </w:rPr>
        <w:t xml:space="preserve">subject to an exception for non-compliance with reasonable excuse. </w:t>
      </w:r>
      <w:r w:rsidR="000A7335" w:rsidRPr="009F698F">
        <w:rPr>
          <w:rFonts w:ascii="Garamond" w:hAnsi="Garamond"/>
        </w:rPr>
        <w:t xml:space="preserve">Section 66(1) of the Act provides that </w:t>
      </w:r>
      <w:r w:rsidR="00C76487" w:rsidRPr="009F698F">
        <w:rPr>
          <w:rFonts w:ascii="Garamond" w:hAnsi="Garamond"/>
        </w:rPr>
        <w:t>“</w:t>
      </w:r>
      <w:r w:rsidR="000A7335" w:rsidRPr="009F698F">
        <w:rPr>
          <w:rFonts w:ascii="Garamond" w:hAnsi="Garamond"/>
        </w:rPr>
        <w:t xml:space="preserve">the Board of Inland Revenue may at any time make a determination cancelling a person’s registration for gross payment” where certain conditions are satisfied. The word “may” imports an element of discretion. The dispute is as to </w:t>
      </w:r>
      <w:r w:rsidR="00E73D2B">
        <w:rPr>
          <w:rFonts w:ascii="Garamond" w:hAnsi="Garamond"/>
        </w:rPr>
        <w:t>the</w:t>
      </w:r>
      <w:r w:rsidR="000A7335" w:rsidRPr="009F698F">
        <w:rPr>
          <w:rFonts w:ascii="Garamond" w:hAnsi="Garamond"/>
        </w:rPr>
        <w:t xml:space="preserve"> scope</w:t>
      </w:r>
      <w:r w:rsidR="00E73D2B">
        <w:rPr>
          <w:rFonts w:ascii="Garamond" w:hAnsi="Garamond"/>
        </w:rPr>
        <w:t xml:space="preserve"> of that discretion</w:t>
      </w:r>
      <w:r w:rsidR="000A7335" w:rsidRPr="009F698F">
        <w:rPr>
          <w:rFonts w:ascii="Garamond" w:hAnsi="Garamond"/>
        </w:rPr>
        <w:t xml:space="preserve"> </w:t>
      </w:r>
      <w:r w:rsidR="000A7335" w:rsidRPr="009F698F">
        <w:rPr>
          <w:rFonts w:ascii="Garamond" w:hAnsi="Garamond"/>
          <w:b/>
        </w:rPr>
        <w:t>[</w:t>
      </w:r>
      <w:r w:rsidR="001F47EB">
        <w:rPr>
          <w:rFonts w:ascii="Garamond" w:hAnsi="Garamond"/>
          <w:b/>
        </w:rPr>
        <w:t>5-</w:t>
      </w:r>
      <w:r w:rsidR="000A7335" w:rsidRPr="009F698F">
        <w:rPr>
          <w:rFonts w:ascii="Garamond" w:hAnsi="Garamond"/>
          <w:b/>
        </w:rPr>
        <w:t>8]</w:t>
      </w:r>
      <w:r w:rsidR="00264D98" w:rsidRPr="009F698F">
        <w:rPr>
          <w:rFonts w:ascii="Garamond" w:hAnsi="Garamond"/>
        </w:rPr>
        <w:t>.</w:t>
      </w:r>
    </w:p>
    <w:p w:rsidR="009532B7" w:rsidRPr="009F698F" w:rsidRDefault="009532B7" w:rsidP="00C75469">
      <w:pPr>
        <w:jc w:val="both"/>
        <w:rPr>
          <w:rFonts w:ascii="Garamond" w:hAnsi="Garamond"/>
          <w:sz w:val="22"/>
          <w:szCs w:val="22"/>
        </w:rPr>
      </w:pPr>
    </w:p>
    <w:p w:rsidR="001F47EB" w:rsidRDefault="00542F69" w:rsidP="00783D13">
      <w:pPr>
        <w:jc w:val="both"/>
        <w:rPr>
          <w:rFonts w:ascii="Garamond" w:hAnsi="Garamond"/>
        </w:rPr>
      </w:pPr>
      <w:r w:rsidRPr="009F698F">
        <w:rPr>
          <w:rFonts w:ascii="Garamond" w:hAnsi="Garamond"/>
        </w:rPr>
        <w:t xml:space="preserve">The company </w:t>
      </w:r>
      <w:r w:rsidR="007D7CA0">
        <w:rPr>
          <w:rFonts w:ascii="Garamond" w:hAnsi="Garamond"/>
        </w:rPr>
        <w:t>makes</w:t>
      </w:r>
      <w:r w:rsidR="00510E28" w:rsidRPr="009F698F">
        <w:rPr>
          <w:rFonts w:ascii="Garamond" w:hAnsi="Garamond"/>
        </w:rPr>
        <w:t xml:space="preserve"> two arguments. First, </w:t>
      </w:r>
      <w:r w:rsidRPr="009F698F">
        <w:rPr>
          <w:rFonts w:ascii="Garamond" w:hAnsi="Garamond"/>
        </w:rPr>
        <w:t xml:space="preserve">that the discretion under section 66 is unfettered in its terms, which do not exclude consideration of the </w:t>
      </w:r>
      <w:r w:rsidR="00CC71B7" w:rsidRPr="009F698F">
        <w:rPr>
          <w:rFonts w:ascii="Garamond" w:hAnsi="Garamond"/>
        </w:rPr>
        <w:t>consequences</w:t>
      </w:r>
      <w:r w:rsidRPr="009F698F">
        <w:rPr>
          <w:rFonts w:ascii="Garamond" w:hAnsi="Garamond"/>
        </w:rPr>
        <w:t xml:space="preserve"> of cancellation for the company</w:t>
      </w:r>
      <w:r w:rsidR="00A06899" w:rsidRPr="009F698F">
        <w:rPr>
          <w:rFonts w:ascii="Garamond" w:hAnsi="Garamond"/>
        </w:rPr>
        <w:t xml:space="preserve">. </w:t>
      </w:r>
      <w:r w:rsidR="00CF052D">
        <w:rPr>
          <w:rFonts w:ascii="Garamond" w:hAnsi="Garamond"/>
        </w:rPr>
        <w:t>The company argues that, without any indication to the contrary, the impact on the company must be a relevant consideration</w:t>
      </w:r>
      <w:r w:rsidR="004F557E">
        <w:rPr>
          <w:rFonts w:ascii="Garamond" w:hAnsi="Garamond"/>
        </w:rPr>
        <w:t xml:space="preserve"> </w:t>
      </w:r>
      <w:r w:rsidR="006E6E23">
        <w:rPr>
          <w:rFonts w:ascii="Garamond" w:hAnsi="Garamond"/>
          <w:b/>
        </w:rPr>
        <w:t>[16-17]</w:t>
      </w:r>
      <w:r w:rsidR="00752D3F" w:rsidRPr="009F698F">
        <w:rPr>
          <w:rFonts w:ascii="Garamond" w:hAnsi="Garamond"/>
        </w:rPr>
        <w:t xml:space="preserve">. </w:t>
      </w:r>
    </w:p>
    <w:p w:rsidR="001F47EB" w:rsidRPr="00313E73" w:rsidRDefault="001F47EB" w:rsidP="00783D13">
      <w:pPr>
        <w:jc w:val="both"/>
        <w:rPr>
          <w:rFonts w:ascii="Garamond" w:hAnsi="Garamond"/>
          <w:sz w:val="22"/>
          <w:szCs w:val="22"/>
        </w:rPr>
      </w:pPr>
    </w:p>
    <w:p w:rsidR="00510E28" w:rsidRDefault="00510E28" w:rsidP="00783D13">
      <w:pPr>
        <w:jc w:val="both"/>
        <w:rPr>
          <w:rFonts w:ascii="Garamond" w:hAnsi="Garamond"/>
        </w:rPr>
      </w:pPr>
      <w:r w:rsidRPr="009F698F">
        <w:rPr>
          <w:rFonts w:ascii="Garamond" w:hAnsi="Garamond"/>
        </w:rPr>
        <w:t>Second, the company relies</w:t>
      </w:r>
      <w:r w:rsidR="00752D3F" w:rsidRPr="009F698F">
        <w:rPr>
          <w:rFonts w:ascii="Garamond" w:hAnsi="Garamond"/>
        </w:rPr>
        <w:t xml:space="preserve"> on </w:t>
      </w:r>
      <w:r w:rsidR="001F47EB" w:rsidRPr="009F698F">
        <w:rPr>
          <w:rFonts w:ascii="Garamond" w:hAnsi="Garamond"/>
        </w:rPr>
        <w:t>right to protection of property under Article 1 of the First Protocol to the European Convention on Human Rights (“A1/P1”)</w:t>
      </w:r>
      <w:r w:rsidR="00E45249">
        <w:rPr>
          <w:rFonts w:ascii="Garamond" w:hAnsi="Garamond"/>
        </w:rPr>
        <w:t>. It</w:t>
      </w:r>
      <w:r w:rsidR="00C41404" w:rsidRPr="009F698F">
        <w:rPr>
          <w:rFonts w:ascii="Garamond" w:hAnsi="Garamond"/>
        </w:rPr>
        <w:t xml:space="preserve"> argu</w:t>
      </w:r>
      <w:r w:rsidR="00E45249">
        <w:rPr>
          <w:rFonts w:ascii="Garamond" w:hAnsi="Garamond"/>
        </w:rPr>
        <w:t>es</w:t>
      </w:r>
      <w:r w:rsidR="00C41404" w:rsidRPr="009F698F">
        <w:rPr>
          <w:rFonts w:ascii="Garamond" w:hAnsi="Garamond"/>
        </w:rPr>
        <w:t xml:space="preserve"> that cancellation clearly involves an interference with the possessions represented by (at least) the sub-contractor’s entitlement to the full contract price or the bundle of rights inherent in registration </w:t>
      </w:r>
      <w:r w:rsidR="00250784" w:rsidRPr="009F698F">
        <w:rPr>
          <w:rFonts w:ascii="Garamond" w:hAnsi="Garamond"/>
          <w:b/>
        </w:rPr>
        <w:t>[</w:t>
      </w:r>
      <w:r w:rsidR="007D7F26" w:rsidRPr="009F698F">
        <w:rPr>
          <w:rFonts w:ascii="Garamond" w:hAnsi="Garamond"/>
          <w:b/>
        </w:rPr>
        <w:t>1</w:t>
      </w:r>
      <w:r w:rsidR="003042D7" w:rsidRPr="009F698F">
        <w:rPr>
          <w:rFonts w:ascii="Garamond" w:hAnsi="Garamond"/>
          <w:b/>
        </w:rPr>
        <w:t>8</w:t>
      </w:r>
      <w:r w:rsidR="00250784" w:rsidRPr="009F698F">
        <w:rPr>
          <w:rFonts w:ascii="Garamond" w:hAnsi="Garamond"/>
          <w:b/>
        </w:rPr>
        <w:t>]</w:t>
      </w:r>
      <w:r w:rsidR="00183FDD" w:rsidRPr="009F698F">
        <w:rPr>
          <w:rFonts w:ascii="Garamond" w:hAnsi="Garamond"/>
        </w:rPr>
        <w:t>.</w:t>
      </w:r>
      <w:r w:rsidRPr="009F698F">
        <w:rPr>
          <w:rFonts w:ascii="Garamond" w:hAnsi="Garamond"/>
        </w:rPr>
        <w:t xml:space="preserve"> </w:t>
      </w:r>
      <w:r w:rsidR="00F7202D">
        <w:rPr>
          <w:rFonts w:ascii="Garamond" w:hAnsi="Garamond"/>
        </w:rPr>
        <w:t>A1/P1 provides:</w:t>
      </w:r>
    </w:p>
    <w:p w:rsidR="00F7202D" w:rsidRPr="009F698F" w:rsidRDefault="00F7202D" w:rsidP="00F7202D">
      <w:pPr>
        <w:jc w:val="both"/>
        <w:rPr>
          <w:rFonts w:ascii="Garamond" w:hAnsi="Garamond"/>
          <w:sz w:val="22"/>
          <w:szCs w:val="22"/>
        </w:rPr>
      </w:pPr>
    </w:p>
    <w:p w:rsidR="00F7202D" w:rsidRPr="009F698F" w:rsidRDefault="00F7202D" w:rsidP="00F7202D">
      <w:pPr>
        <w:ind w:left="720"/>
        <w:jc w:val="both"/>
        <w:rPr>
          <w:rFonts w:ascii="Garamond" w:hAnsi="Garamond"/>
        </w:rPr>
      </w:pPr>
      <w:r w:rsidRPr="009F698F">
        <w:rPr>
          <w:rFonts w:ascii="Garamond" w:hAnsi="Garamond"/>
        </w:rPr>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00F7202D" w:rsidRPr="009F698F" w:rsidRDefault="00F7202D" w:rsidP="00F7202D">
      <w:pPr>
        <w:ind w:left="720"/>
        <w:jc w:val="both"/>
        <w:rPr>
          <w:rFonts w:ascii="Garamond" w:hAnsi="Garamond"/>
          <w:sz w:val="22"/>
          <w:szCs w:val="22"/>
        </w:rPr>
      </w:pPr>
    </w:p>
    <w:p w:rsidR="00F7202D" w:rsidRPr="009F698F" w:rsidRDefault="00F7202D" w:rsidP="00F170A6">
      <w:pPr>
        <w:ind w:left="720"/>
        <w:jc w:val="both"/>
        <w:rPr>
          <w:rFonts w:ascii="Garamond" w:hAnsi="Garamond"/>
        </w:rPr>
      </w:pPr>
      <w:r w:rsidRPr="009F698F">
        <w:rPr>
          <w:rFonts w:ascii="Garamond" w:hAnsi="Garamond"/>
        </w:rP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00510E28" w:rsidRPr="009F698F" w:rsidRDefault="00510E28" w:rsidP="00783D13">
      <w:pPr>
        <w:jc w:val="both"/>
        <w:rPr>
          <w:rFonts w:ascii="Garamond" w:hAnsi="Garamond"/>
          <w:sz w:val="22"/>
          <w:szCs w:val="22"/>
        </w:rPr>
      </w:pPr>
    </w:p>
    <w:p w:rsidR="00B25FBF" w:rsidRPr="009F698F" w:rsidRDefault="002A3C84" w:rsidP="00783D13">
      <w:pPr>
        <w:jc w:val="both"/>
        <w:rPr>
          <w:rFonts w:ascii="Garamond" w:hAnsi="Garamond"/>
        </w:rPr>
      </w:pPr>
      <w:r w:rsidRPr="009F698F">
        <w:rPr>
          <w:rFonts w:ascii="Garamond" w:hAnsi="Garamond"/>
        </w:rPr>
        <w:t xml:space="preserve">HMRC generally </w:t>
      </w:r>
      <w:r w:rsidR="00D91656" w:rsidRPr="009F698F">
        <w:rPr>
          <w:rFonts w:ascii="Garamond" w:hAnsi="Garamond"/>
        </w:rPr>
        <w:t>adopt</w:t>
      </w:r>
      <w:r w:rsidRPr="009F698F">
        <w:rPr>
          <w:rFonts w:ascii="Garamond" w:hAnsi="Garamond"/>
        </w:rPr>
        <w:t xml:space="preserve"> the reasoning of the Court of Appeal</w:t>
      </w:r>
      <w:r w:rsidR="0055763A">
        <w:rPr>
          <w:rFonts w:ascii="Garamond" w:hAnsi="Garamond"/>
        </w:rPr>
        <w:t xml:space="preserve"> and </w:t>
      </w:r>
      <w:r w:rsidR="00793E9E" w:rsidRPr="009F698F">
        <w:rPr>
          <w:rFonts w:ascii="Garamond" w:hAnsi="Garamond"/>
        </w:rPr>
        <w:t>do not accept that cancellation involves an interference with a possession for the purposes of A1</w:t>
      </w:r>
      <w:r w:rsidR="0037070F">
        <w:rPr>
          <w:rFonts w:ascii="Garamond" w:hAnsi="Garamond"/>
        </w:rPr>
        <w:t>/</w:t>
      </w:r>
      <w:r w:rsidR="00793E9E" w:rsidRPr="009F698F">
        <w:rPr>
          <w:rFonts w:ascii="Garamond" w:hAnsi="Garamond"/>
        </w:rPr>
        <w:t xml:space="preserve">P1. </w:t>
      </w:r>
      <w:r w:rsidR="00BD4089" w:rsidRPr="009F698F">
        <w:rPr>
          <w:rFonts w:ascii="Garamond" w:hAnsi="Garamond"/>
        </w:rPr>
        <w:t xml:space="preserve">Alternatively, HMRC </w:t>
      </w:r>
      <w:r w:rsidR="005E69FF" w:rsidRPr="009F698F">
        <w:rPr>
          <w:rFonts w:ascii="Garamond" w:hAnsi="Garamond"/>
        </w:rPr>
        <w:t>rely on</w:t>
      </w:r>
      <w:r w:rsidR="00754EA3" w:rsidRPr="009F698F">
        <w:rPr>
          <w:rFonts w:ascii="Garamond" w:hAnsi="Garamond"/>
        </w:rPr>
        <w:t xml:space="preserve"> the wide margin afforded to Member States under the </w:t>
      </w:r>
      <w:r w:rsidR="00107D3F" w:rsidRPr="009F698F">
        <w:rPr>
          <w:rFonts w:ascii="Garamond" w:hAnsi="Garamond"/>
        </w:rPr>
        <w:t>Convention</w:t>
      </w:r>
      <w:r w:rsidR="00754EA3" w:rsidRPr="009F698F">
        <w:rPr>
          <w:rFonts w:ascii="Garamond" w:hAnsi="Garamond"/>
        </w:rPr>
        <w:t xml:space="preserve"> in fiscal matters</w:t>
      </w:r>
      <w:r w:rsidR="00BD4089" w:rsidRPr="009F698F">
        <w:rPr>
          <w:rFonts w:ascii="Garamond" w:hAnsi="Garamond"/>
        </w:rPr>
        <w:t xml:space="preserve"> </w:t>
      </w:r>
      <w:r w:rsidR="00BD4089" w:rsidRPr="009F698F">
        <w:rPr>
          <w:rFonts w:ascii="Garamond" w:hAnsi="Garamond"/>
          <w:b/>
        </w:rPr>
        <w:t>[19-20]</w:t>
      </w:r>
      <w:r w:rsidR="00BE5360" w:rsidRPr="009F698F">
        <w:rPr>
          <w:rFonts w:ascii="Garamond" w:hAnsi="Garamond"/>
        </w:rPr>
        <w:t>.</w:t>
      </w:r>
    </w:p>
    <w:p w:rsidR="00711E09" w:rsidRPr="009F698F" w:rsidRDefault="00711E09" w:rsidP="00783D13">
      <w:pPr>
        <w:jc w:val="both"/>
        <w:rPr>
          <w:rFonts w:ascii="Garamond" w:hAnsi="Garamond"/>
          <w:sz w:val="22"/>
          <w:szCs w:val="22"/>
        </w:rPr>
      </w:pPr>
    </w:p>
    <w:p w:rsidR="004F0A13" w:rsidRPr="009F698F" w:rsidRDefault="006847C8" w:rsidP="006F12A6">
      <w:pPr>
        <w:jc w:val="both"/>
        <w:rPr>
          <w:rFonts w:ascii="Garamond" w:hAnsi="Garamond"/>
        </w:rPr>
      </w:pPr>
      <w:r w:rsidRPr="009F698F">
        <w:rPr>
          <w:rFonts w:ascii="Garamond" w:hAnsi="Garamond"/>
        </w:rPr>
        <w:t xml:space="preserve">The Supreme Court holds that the Court of Appeal </w:t>
      </w:r>
      <w:r w:rsidR="004D65E7" w:rsidRPr="009F698F">
        <w:rPr>
          <w:rFonts w:ascii="Garamond" w:hAnsi="Garamond"/>
        </w:rPr>
        <w:t xml:space="preserve">was correct. </w:t>
      </w:r>
      <w:r w:rsidRPr="009F698F">
        <w:rPr>
          <w:rFonts w:ascii="Garamond" w:hAnsi="Garamond"/>
        </w:rPr>
        <w:t xml:space="preserve">Apart from the Convention, the company’s </w:t>
      </w:r>
      <w:r w:rsidR="00102185" w:rsidRPr="009F698F">
        <w:rPr>
          <w:rFonts w:ascii="Garamond" w:hAnsi="Garamond"/>
        </w:rPr>
        <w:t xml:space="preserve">first argument, that the discretion under section 66 is unfettered, </w:t>
      </w:r>
      <w:r w:rsidRPr="009F698F">
        <w:rPr>
          <w:rFonts w:ascii="Garamond" w:hAnsi="Garamond"/>
        </w:rPr>
        <w:t>overlooks the basic principle that any statutory discretion must be exercised consistently with the objects and scope of the statutory scheme</w:t>
      </w:r>
      <w:r w:rsidR="00490DFE" w:rsidRPr="009F698F">
        <w:rPr>
          <w:rFonts w:ascii="Garamond" w:hAnsi="Garamond"/>
        </w:rPr>
        <w:t xml:space="preserve">. </w:t>
      </w:r>
      <w:r w:rsidR="00E66EAA" w:rsidRPr="009F698F">
        <w:rPr>
          <w:rFonts w:ascii="Garamond" w:hAnsi="Garamond"/>
        </w:rPr>
        <w:t xml:space="preserve">The </w:t>
      </w:r>
      <w:r w:rsidR="005A54A1">
        <w:rPr>
          <w:rFonts w:ascii="Garamond" w:hAnsi="Garamond"/>
        </w:rPr>
        <w:t xml:space="preserve">discretion </w:t>
      </w:r>
      <w:r w:rsidR="00E66EAA" w:rsidRPr="009F698F">
        <w:rPr>
          <w:rFonts w:ascii="Garamond" w:hAnsi="Garamond"/>
        </w:rPr>
        <w:t>does</w:t>
      </w:r>
      <w:r w:rsidR="006E16A3">
        <w:rPr>
          <w:rFonts w:ascii="Garamond" w:hAnsi="Garamond"/>
        </w:rPr>
        <w:t xml:space="preserve"> not </w:t>
      </w:r>
      <w:r w:rsidR="00E66EAA" w:rsidRPr="009F698F">
        <w:rPr>
          <w:rFonts w:ascii="Garamond" w:hAnsi="Garamond"/>
        </w:rPr>
        <w:t>extend to</w:t>
      </w:r>
      <w:r w:rsidR="006E16A3">
        <w:rPr>
          <w:rFonts w:ascii="Garamond" w:hAnsi="Garamond"/>
        </w:rPr>
        <w:t xml:space="preserve"> consideration of</w:t>
      </w:r>
      <w:r w:rsidR="00E66EAA" w:rsidRPr="009F698F">
        <w:rPr>
          <w:rFonts w:ascii="Garamond" w:hAnsi="Garamond"/>
        </w:rPr>
        <w:t xml:space="preserve"> matters which </w:t>
      </w:r>
      <w:r w:rsidR="00D669D7" w:rsidRPr="009F698F">
        <w:rPr>
          <w:rFonts w:ascii="Garamond" w:hAnsi="Garamond"/>
        </w:rPr>
        <w:t>relate neither to</w:t>
      </w:r>
      <w:r w:rsidR="00E66EAA" w:rsidRPr="009F698F">
        <w:rPr>
          <w:rFonts w:ascii="Garamond" w:hAnsi="Garamond"/>
        </w:rPr>
        <w:t xml:space="preserve"> the requirements for registration for gross payment, </w:t>
      </w:r>
      <w:r w:rsidR="00D669D7" w:rsidRPr="009F698F">
        <w:rPr>
          <w:rFonts w:ascii="Garamond" w:hAnsi="Garamond"/>
        </w:rPr>
        <w:t>nor</w:t>
      </w:r>
      <w:r w:rsidR="00E66EAA" w:rsidRPr="009F698F">
        <w:rPr>
          <w:rFonts w:ascii="Garamond" w:hAnsi="Garamond"/>
        </w:rPr>
        <w:t xml:space="preserve"> to the objective of securing compliance with those requirements</w:t>
      </w:r>
      <w:r w:rsidR="00305DB0" w:rsidRPr="009F698F">
        <w:rPr>
          <w:rFonts w:ascii="Garamond" w:hAnsi="Garamond"/>
        </w:rPr>
        <w:t xml:space="preserve">. </w:t>
      </w:r>
      <w:r w:rsidR="006400EC" w:rsidRPr="009F698F">
        <w:rPr>
          <w:rFonts w:ascii="Garamond" w:hAnsi="Garamond"/>
        </w:rPr>
        <w:t>The scheme is highly prescriptive</w:t>
      </w:r>
      <w:r w:rsidR="002013AD" w:rsidRPr="009F698F">
        <w:rPr>
          <w:rFonts w:ascii="Garamond" w:hAnsi="Garamond"/>
        </w:rPr>
        <w:t xml:space="preserve">, setting out </w:t>
      </w:r>
      <w:r w:rsidR="006400EC" w:rsidRPr="009F698F">
        <w:rPr>
          <w:rFonts w:ascii="Garamond" w:hAnsi="Garamond"/>
        </w:rPr>
        <w:t xml:space="preserve">narrowly-defined conditions for registration in the first </w:t>
      </w:r>
      <w:r w:rsidR="002013AD" w:rsidRPr="009F698F">
        <w:rPr>
          <w:rFonts w:ascii="Garamond" w:hAnsi="Garamond"/>
        </w:rPr>
        <w:t>place</w:t>
      </w:r>
      <w:r w:rsidR="00565BBE">
        <w:rPr>
          <w:rFonts w:ascii="Garamond" w:hAnsi="Garamond"/>
        </w:rPr>
        <w:t>,</w:t>
      </w:r>
      <w:r w:rsidR="002013AD" w:rsidRPr="009F698F">
        <w:rPr>
          <w:rFonts w:ascii="Garamond" w:hAnsi="Garamond"/>
        </w:rPr>
        <w:t xml:space="preserve"> </w:t>
      </w:r>
      <w:r w:rsidR="00565BBE">
        <w:rPr>
          <w:rFonts w:ascii="Garamond" w:hAnsi="Garamond"/>
        </w:rPr>
        <w:t>including</w:t>
      </w:r>
      <w:r w:rsidR="002013AD" w:rsidRPr="009F698F">
        <w:rPr>
          <w:rFonts w:ascii="Garamond" w:hAnsi="Garamond"/>
        </w:rPr>
        <w:t xml:space="preserve"> a record of tax compliance.</w:t>
      </w:r>
      <w:r w:rsidR="006400EC" w:rsidRPr="009F698F">
        <w:rPr>
          <w:rFonts w:ascii="Garamond" w:hAnsi="Garamond"/>
        </w:rPr>
        <w:t xml:space="preserve"> The same conditions are </w:t>
      </w:r>
      <w:r w:rsidR="00392B0E" w:rsidRPr="009F698F">
        <w:rPr>
          <w:rFonts w:ascii="Garamond" w:hAnsi="Garamond"/>
        </w:rPr>
        <w:t>brought</w:t>
      </w:r>
      <w:r w:rsidR="006400EC" w:rsidRPr="009F698F">
        <w:rPr>
          <w:rFonts w:ascii="Garamond" w:hAnsi="Garamond"/>
        </w:rPr>
        <w:t xml:space="preserve"> into the cancellation procedure by section 66. The mere fact that the cancellation power is </w:t>
      </w:r>
      <w:r w:rsidR="00FD6B9F" w:rsidRPr="009F698F">
        <w:rPr>
          <w:rFonts w:ascii="Garamond" w:hAnsi="Garamond"/>
        </w:rPr>
        <w:t>discretionary rather than</w:t>
      </w:r>
      <w:r w:rsidR="006400EC" w:rsidRPr="009F698F">
        <w:rPr>
          <w:rFonts w:ascii="Garamond" w:hAnsi="Garamond"/>
        </w:rPr>
        <w:t xml:space="preserve"> mandatory </w:t>
      </w:r>
      <w:r w:rsidR="00392B0E" w:rsidRPr="009F698F">
        <w:rPr>
          <w:rFonts w:ascii="Garamond" w:hAnsi="Garamond"/>
        </w:rPr>
        <w:t>is unsurprising</w:t>
      </w:r>
      <w:r w:rsidR="006400EC" w:rsidRPr="009F698F">
        <w:rPr>
          <w:rFonts w:ascii="Garamond" w:hAnsi="Garamond"/>
        </w:rPr>
        <w:t xml:space="preserve">. Some </w:t>
      </w:r>
      <w:r w:rsidR="00374777" w:rsidRPr="009F698F">
        <w:rPr>
          <w:rFonts w:ascii="Garamond" w:hAnsi="Garamond"/>
        </w:rPr>
        <w:t xml:space="preserve">element of flexibility </w:t>
      </w:r>
      <w:r w:rsidR="006067B5" w:rsidRPr="009F698F">
        <w:rPr>
          <w:rFonts w:ascii="Garamond" w:hAnsi="Garamond"/>
        </w:rPr>
        <w:t>allows for</w:t>
      </w:r>
      <w:r w:rsidR="00374777" w:rsidRPr="009F698F">
        <w:rPr>
          <w:rFonts w:ascii="Garamond" w:hAnsi="Garamond"/>
        </w:rPr>
        <w:t xml:space="preserve"> cases where the failure is limited</w:t>
      </w:r>
      <w:r w:rsidR="003E6096" w:rsidRPr="009F698F">
        <w:rPr>
          <w:rFonts w:ascii="Garamond" w:hAnsi="Garamond"/>
        </w:rPr>
        <w:t>,</w:t>
      </w:r>
      <w:r w:rsidR="00374777" w:rsidRPr="009F698F">
        <w:rPr>
          <w:rFonts w:ascii="Garamond" w:hAnsi="Garamond"/>
        </w:rPr>
        <w:t xml:space="preserve"> temporary and poses no practical threat to the objectives of the </w:t>
      </w:r>
      <w:r w:rsidR="0049303C" w:rsidRPr="009F698F">
        <w:rPr>
          <w:rFonts w:ascii="Garamond" w:hAnsi="Garamond"/>
        </w:rPr>
        <w:t>CIS</w:t>
      </w:r>
      <w:r w:rsidR="00374777" w:rsidRPr="009F698F">
        <w:rPr>
          <w:rFonts w:ascii="Garamond" w:hAnsi="Garamond"/>
        </w:rPr>
        <w:t>. It is wholly inconsistent with that tightly drawn scheme for there to be implied a general dispensing power</w:t>
      </w:r>
      <w:r w:rsidR="00554859" w:rsidRPr="009F698F">
        <w:rPr>
          <w:rFonts w:ascii="Garamond" w:hAnsi="Garamond"/>
        </w:rPr>
        <w:t xml:space="preserve"> </w:t>
      </w:r>
      <w:r w:rsidR="004D5297" w:rsidRPr="009F698F">
        <w:rPr>
          <w:rFonts w:ascii="Garamond" w:hAnsi="Garamond"/>
          <w:b/>
        </w:rPr>
        <w:t>[</w:t>
      </w:r>
      <w:r w:rsidR="00490DFE" w:rsidRPr="009F698F">
        <w:rPr>
          <w:rFonts w:ascii="Garamond" w:hAnsi="Garamond"/>
          <w:b/>
        </w:rPr>
        <w:t>21-</w:t>
      </w:r>
      <w:r w:rsidR="004D5297" w:rsidRPr="009F698F">
        <w:rPr>
          <w:rFonts w:ascii="Garamond" w:hAnsi="Garamond"/>
          <w:b/>
        </w:rPr>
        <w:t>22]</w:t>
      </w:r>
      <w:r w:rsidR="004D5297" w:rsidRPr="009F698F">
        <w:rPr>
          <w:rFonts w:ascii="Garamond" w:hAnsi="Garamond"/>
        </w:rPr>
        <w:t>.</w:t>
      </w:r>
    </w:p>
    <w:p w:rsidR="00A353F2" w:rsidRPr="009F698F" w:rsidRDefault="00A353F2" w:rsidP="006F12A6">
      <w:pPr>
        <w:jc w:val="both"/>
        <w:rPr>
          <w:rFonts w:ascii="Garamond" w:hAnsi="Garamond"/>
          <w:sz w:val="22"/>
          <w:szCs w:val="22"/>
        </w:rPr>
      </w:pPr>
    </w:p>
    <w:p w:rsidR="009532B7" w:rsidRPr="009F698F" w:rsidRDefault="00E10E3C" w:rsidP="006F12A6">
      <w:pPr>
        <w:jc w:val="both"/>
        <w:rPr>
          <w:rFonts w:ascii="Garamond" w:hAnsi="Garamond"/>
        </w:rPr>
      </w:pPr>
      <w:r w:rsidRPr="009F698F">
        <w:rPr>
          <w:rFonts w:ascii="Garamond" w:hAnsi="Garamond"/>
        </w:rPr>
        <w:t>Turning to A1/P1</w:t>
      </w:r>
      <w:r w:rsidR="003355ED" w:rsidRPr="009F698F">
        <w:rPr>
          <w:rFonts w:ascii="Garamond" w:hAnsi="Garamond"/>
        </w:rPr>
        <w:t>, there is force in</w:t>
      </w:r>
      <w:r w:rsidR="00A75B68">
        <w:rPr>
          <w:rFonts w:ascii="Garamond" w:hAnsi="Garamond"/>
        </w:rPr>
        <w:t xml:space="preserve"> the</w:t>
      </w:r>
      <w:r w:rsidR="003355ED" w:rsidRPr="009F698F">
        <w:rPr>
          <w:rFonts w:ascii="Garamond" w:hAnsi="Garamond"/>
        </w:rPr>
        <w:t xml:space="preserve"> argument </w:t>
      </w:r>
      <w:r w:rsidR="00A75B68">
        <w:rPr>
          <w:rFonts w:ascii="Garamond" w:hAnsi="Garamond"/>
        </w:rPr>
        <w:t xml:space="preserve">of HMRC </w:t>
      </w:r>
      <w:r w:rsidR="003355ED" w:rsidRPr="009F698F">
        <w:rPr>
          <w:rFonts w:ascii="Garamond" w:hAnsi="Garamond"/>
        </w:rPr>
        <w:t>that, even if the rights conferred by registration</w:t>
      </w:r>
      <w:r w:rsidR="00836C9D" w:rsidRPr="009F698F">
        <w:rPr>
          <w:rFonts w:ascii="Garamond" w:hAnsi="Garamond"/>
        </w:rPr>
        <w:t xml:space="preserve"> </w:t>
      </w:r>
      <w:r w:rsidR="003355ED" w:rsidRPr="009F698F">
        <w:rPr>
          <w:rFonts w:ascii="Garamond" w:hAnsi="Garamond"/>
        </w:rPr>
        <w:t xml:space="preserve">amount to “possessions”, they cannot extend beyond the limits set by the legislation by which they are </w:t>
      </w:r>
      <w:r w:rsidR="007C0989" w:rsidRPr="009F698F">
        <w:rPr>
          <w:rFonts w:ascii="Garamond" w:hAnsi="Garamond"/>
        </w:rPr>
        <w:t xml:space="preserve">created. However, it is </w:t>
      </w:r>
      <w:r w:rsidR="006F12A6" w:rsidRPr="009F698F">
        <w:rPr>
          <w:rFonts w:ascii="Garamond" w:hAnsi="Garamond"/>
        </w:rPr>
        <w:t>unnecessary</w:t>
      </w:r>
      <w:r w:rsidR="007C0989" w:rsidRPr="009F698F">
        <w:rPr>
          <w:rFonts w:ascii="Garamond" w:hAnsi="Garamond"/>
        </w:rPr>
        <w:t xml:space="preserve"> to </w:t>
      </w:r>
      <w:r w:rsidR="001D03C8" w:rsidRPr="009F698F">
        <w:rPr>
          <w:rFonts w:ascii="Garamond" w:hAnsi="Garamond"/>
        </w:rPr>
        <w:t>decide the appeal on that basis</w:t>
      </w:r>
      <w:r w:rsidR="007C0989" w:rsidRPr="009F698F">
        <w:rPr>
          <w:rFonts w:ascii="Garamond" w:hAnsi="Garamond"/>
        </w:rPr>
        <w:t xml:space="preserve">, since the Court of Appeal </w:t>
      </w:r>
      <w:r w:rsidR="001D03C8" w:rsidRPr="009F698F">
        <w:rPr>
          <w:rFonts w:ascii="Garamond" w:hAnsi="Garamond"/>
        </w:rPr>
        <w:t>correctly held</w:t>
      </w:r>
      <w:r w:rsidR="007C0989" w:rsidRPr="009F698F">
        <w:rPr>
          <w:rFonts w:ascii="Garamond" w:hAnsi="Garamond"/>
        </w:rPr>
        <w:t xml:space="preserve"> that any interference</w:t>
      </w:r>
      <w:r w:rsidR="001D03C8" w:rsidRPr="009F698F">
        <w:rPr>
          <w:rFonts w:ascii="Garamond" w:hAnsi="Garamond"/>
        </w:rPr>
        <w:t xml:space="preserve"> with A1/P1 rights</w:t>
      </w:r>
      <w:r w:rsidR="007C0989" w:rsidRPr="009F698F">
        <w:rPr>
          <w:rFonts w:ascii="Garamond" w:hAnsi="Garamond"/>
        </w:rPr>
        <w:t xml:space="preserve"> was proportionate. </w:t>
      </w:r>
      <w:r w:rsidR="00772200" w:rsidRPr="009F698F">
        <w:rPr>
          <w:rFonts w:ascii="Garamond" w:hAnsi="Garamond"/>
        </w:rPr>
        <w:t>Once it is accepted that the statute does not in itself require the consideration of the impact on the individual taxpayer</w:t>
      </w:r>
      <w:r w:rsidR="00040743" w:rsidRPr="009F698F">
        <w:rPr>
          <w:rFonts w:ascii="Garamond" w:hAnsi="Garamond"/>
        </w:rPr>
        <w:t>, there is nothing in A1</w:t>
      </w:r>
      <w:r w:rsidR="006F468B">
        <w:rPr>
          <w:rFonts w:ascii="Garamond" w:hAnsi="Garamond"/>
        </w:rPr>
        <w:t>/</w:t>
      </w:r>
      <w:r w:rsidR="00040743" w:rsidRPr="009F698F">
        <w:rPr>
          <w:rFonts w:ascii="Garamond" w:hAnsi="Garamond"/>
        </w:rPr>
        <w:t>P1 which would justify the court in reading in such a requirement</w:t>
      </w:r>
      <w:r w:rsidR="000726EC" w:rsidRPr="009F698F">
        <w:rPr>
          <w:rFonts w:ascii="Garamond" w:hAnsi="Garamond"/>
        </w:rPr>
        <w:t xml:space="preserve"> </w:t>
      </w:r>
      <w:r w:rsidR="00094101" w:rsidRPr="009F698F">
        <w:rPr>
          <w:rFonts w:ascii="Garamond" w:hAnsi="Garamond"/>
          <w:b/>
        </w:rPr>
        <w:t>[23]</w:t>
      </w:r>
      <w:r w:rsidR="00094101" w:rsidRPr="009F698F">
        <w:rPr>
          <w:rFonts w:ascii="Garamond" w:hAnsi="Garamond"/>
        </w:rPr>
        <w:t>.</w:t>
      </w:r>
    </w:p>
    <w:p w:rsidR="00E10E3C" w:rsidRPr="005D4749" w:rsidRDefault="00E10E3C" w:rsidP="009621B7">
      <w:pPr>
        <w:rPr>
          <w:rFonts w:ascii="Garamond" w:hAnsi="Garamond"/>
          <w:sz w:val="22"/>
          <w:szCs w:val="22"/>
        </w:rPr>
      </w:pPr>
    </w:p>
    <w:p w:rsidR="009621B7" w:rsidRPr="00066136" w:rsidRDefault="00566BC2" w:rsidP="00A5329D">
      <w:pPr>
        <w:jc w:val="both"/>
        <w:rPr>
          <w:rFonts w:ascii="Garamond" w:hAnsi="Garamond"/>
          <w:i/>
        </w:rPr>
      </w:pPr>
      <w:r w:rsidRPr="00066136">
        <w:rPr>
          <w:rFonts w:ascii="Garamond" w:hAnsi="Garamond"/>
          <w:i/>
        </w:rPr>
        <w:t>References in square brackets are to paragraphs in the judgment</w:t>
      </w:r>
    </w:p>
    <w:p w:rsidR="006D6D23" w:rsidRPr="00066136" w:rsidRDefault="00A16C02" w:rsidP="00A5329D">
      <w:pPr>
        <w:jc w:val="both"/>
        <w:rPr>
          <w:rFonts w:ascii="Garamond" w:hAnsi="Garamond"/>
          <w:b/>
          <w:u w:val="single"/>
        </w:rPr>
      </w:pPr>
      <w:r w:rsidRPr="00066136">
        <w:rPr>
          <w:rFonts w:ascii="Garamond" w:hAnsi="Garamond"/>
          <w:b/>
          <w:u w:val="single"/>
        </w:rPr>
        <w:t>NOTE</w:t>
      </w:r>
      <w:r w:rsidR="00793E40" w:rsidRPr="00066136">
        <w:rPr>
          <w:rFonts w:ascii="Garamond" w:hAnsi="Garamond"/>
          <w:b/>
          <w:u w:val="single"/>
        </w:rPr>
        <w:t xml:space="preserve">: </w:t>
      </w:r>
      <w:r w:rsidRPr="00066136">
        <w:rPr>
          <w:rFonts w:ascii="Garamond" w:hAnsi="Garamond"/>
          <w:b/>
        </w:rPr>
        <w:t>This summary is provided to assist in understanding the Court’s decision.  It does not form part of the reasons for the decision.  The full judgment of the Court is the only</w:t>
      </w:r>
      <w:r w:rsidR="00980777">
        <w:rPr>
          <w:rFonts w:ascii="Garamond" w:hAnsi="Garamond"/>
          <w:b/>
        </w:rPr>
        <w:t xml:space="preserve"> authoritative document.  </w:t>
      </w:r>
      <w:r w:rsidR="004B0054" w:rsidRPr="00066136">
        <w:rPr>
          <w:rFonts w:ascii="Garamond" w:hAnsi="Garamond"/>
          <w:b/>
        </w:rPr>
        <w:t>Judg</w:t>
      </w:r>
      <w:r w:rsidRPr="00066136">
        <w:rPr>
          <w:rFonts w:ascii="Garamond" w:hAnsi="Garamond"/>
          <w:b/>
        </w:rPr>
        <w:t>ments are public documents and are available at:</w:t>
      </w:r>
      <w:r w:rsidR="00793E40" w:rsidRPr="00066136">
        <w:rPr>
          <w:rFonts w:ascii="Garamond" w:hAnsi="Garamond"/>
          <w:b/>
          <w:u w:val="single"/>
        </w:rPr>
        <w:t xml:space="preserve"> </w:t>
      </w:r>
      <w:hyperlink r:id="rId12" w:history="1">
        <w:r w:rsidR="00793E40" w:rsidRPr="00066136">
          <w:rPr>
            <w:rStyle w:val="Hyperlink"/>
            <w:rFonts w:ascii="Garamond" w:hAnsi="Garamond"/>
          </w:rPr>
          <w:t>http://supremecourt.uk/decided-cases/index.html</w:t>
        </w:r>
      </w:hyperlink>
      <w:r w:rsidR="00677EF9" w:rsidRPr="00066136">
        <w:rPr>
          <w:rFonts w:ascii="Garamond" w:hAnsi="Garamond"/>
        </w:rPr>
        <w:t xml:space="preserve"> </w:t>
      </w:r>
      <w:r w:rsidR="00B73D9F" w:rsidRPr="00066136">
        <w:rPr>
          <w:rFonts w:ascii="Garamond" w:hAnsi="Garamond"/>
        </w:rPr>
        <w:t xml:space="preserve"> </w:t>
      </w:r>
      <w:r w:rsidR="004F156B" w:rsidRPr="00066136">
        <w:rPr>
          <w:rFonts w:ascii="Garamond" w:hAnsi="Garamond"/>
        </w:rPr>
        <w:t xml:space="preserve">  </w:t>
      </w:r>
    </w:p>
    <w:sectPr w:rsidR="006D6D23" w:rsidRPr="00066136" w:rsidSect="00437284">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2526" w:rsidRDefault="00382526">
      <w:r>
        <w:separator/>
      </w:r>
    </w:p>
  </w:endnote>
  <w:endnote w:type="continuationSeparator" w:id="0">
    <w:p w:rsidR="00382526" w:rsidRDefault="0038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haker 2 Regular">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2D19" w:rsidRDefault="00762D19" w:rsidP="00ED05C2">
    <w:pPr>
      <w:pStyle w:val="Footer"/>
      <w:jc w:val="center"/>
      <w:rPr>
        <w:rFonts w:ascii="Shaker 2 Regular" w:hAnsi="Shaker 2 Regular"/>
        <w:b/>
        <w:sz w:val="20"/>
      </w:rPr>
    </w:pPr>
    <w:r w:rsidRPr="00821EB9">
      <w:rPr>
        <w:rFonts w:ascii="Shaker 2 Regular" w:hAnsi="Shaker 2 Regular"/>
        <w:b/>
        <w:sz w:val="20"/>
      </w:rPr>
      <w:t>The Supreme Court of the United Kingdom</w:t>
    </w:r>
  </w:p>
  <w:p w:rsidR="00762D19" w:rsidRPr="00821EB9" w:rsidRDefault="00762D19"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rsidR="00762D19" w:rsidRDefault="00762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2526" w:rsidRDefault="00382526">
      <w:r>
        <w:separator/>
      </w:r>
    </w:p>
  </w:footnote>
  <w:footnote w:type="continuationSeparator" w:id="0">
    <w:p w:rsidR="00382526" w:rsidRDefault="00382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24F"/>
    <w:multiLevelType w:val="hybridMultilevel"/>
    <w:tmpl w:val="504AB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57263"/>
    <w:multiLevelType w:val="hybridMultilevel"/>
    <w:tmpl w:val="3F564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7B1BE8"/>
    <w:multiLevelType w:val="hybridMultilevel"/>
    <w:tmpl w:val="8CEA5E3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423702D4"/>
    <w:multiLevelType w:val="hybridMultilevel"/>
    <w:tmpl w:val="2C8AF2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54C1279"/>
    <w:multiLevelType w:val="multilevel"/>
    <w:tmpl w:val="A28A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46ACF"/>
    <w:multiLevelType w:val="hybridMultilevel"/>
    <w:tmpl w:val="9ACE78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B07351"/>
    <w:multiLevelType w:val="hybridMultilevel"/>
    <w:tmpl w:val="41ACCC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9911539"/>
    <w:multiLevelType w:val="hybridMultilevel"/>
    <w:tmpl w:val="CEDEA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339040182">
    <w:abstractNumId w:val="0"/>
  </w:num>
  <w:num w:numId="2" w16cid:durableId="197014401">
    <w:abstractNumId w:val="3"/>
  </w:num>
  <w:num w:numId="3" w16cid:durableId="308632676">
    <w:abstractNumId w:val="5"/>
  </w:num>
  <w:num w:numId="4" w16cid:durableId="57586518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9571578">
    <w:abstractNumId w:val="6"/>
  </w:num>
  <w:num w:numId="6" w16cid:durableId="843662542">
    <w:abstractNumId w:val="7"/>
  </w:num>
  <w:num w:numId="7" w16cid:durableId="1134370709">
    <w:abstractNumId w:val="1"/>
  </w:num>
  <w:num w:numId="8" w16cid:durableId="1015573863">
    <w:abstractNumId w:val="4"/>
    <w:lvlOverride w:ilvl="0">
      <w:startOverride w:val="2"/>
    </w:lvlOverride>
  </w:num>
  <w:num w:numId="9" w16cid:durableId="1359549713">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5C2"/>
    <w:rsid w:val="000005FE"/>
    <w:rsid w:val="0000181A"/>
    <w:rsid w:val="0001249A"/>
    <w:rsid w:val="00013BEA"/>
    <w:rsid w:val="00021011"/>
    <w:rsid w:val="00027162"/>
    <w:rsid w:val="00036420"/>
    <w:rsid w:val="00040743"/>
    <w:rsid w:val="00055FEA"/>
    <w:rsid w:val="000575DB"/>
    <w:rsid w:val="000579BD"/>
    <w:rsid w:val="00064056"/>
    <w:rsid w:val="00066136"/>
    <w:rsid w:val="000726EC"/>
    <w:rsid w:val="00074FA9"/>
    <w:rsid w:val="00086F57"/>
    <w:rsid w:val="000914CB"/>
    <w:rsid w:val="00094101"/>
    <w:rsid w:val="000948B2"/>
    <w:rsid w:val="00094D19"/>
    <w:rsid w:val="000A7335"/>
    <w:rsid w:val="000B3E81"/>
    <w:rsid w:val="000B7A7F"/>
    <w:rsid w:val="000C623B"/>
    <w:rsid w:val="000D20A0"/>
    <w:rsid w:val="000D6187"/>
    <w:rsid w:val="000F4B66"/>
    <w:rsid w:val="00102185"/>
    <w:rsid w:val="00102888"/>
    <w:rsid w:val="00105EAC"/>
    <w:rsid w:val="00107D3F"/>
    <w:rsid w:val="00107D4F"/>
    <w:rsid w:val="00125CC7"/>
    <w:rsid w:val="00134213"/>
    <w:rsid w:val="00135E73"/>
    <w:rsid w:val="001418CE"/>
    <w:rsid w:val="00144567"/>
    <w:rsid w:val="0015103F"/>
    <w:rsid w:val="001561B2"/>
    <w:rsid w:val="00167ADF"/>
    <w:rsid w:val="00170F73"/>
    <w:rsid w:val="00183FDD"/>
    <w:rsid w:val="001937DB"/>
    <w:rsid w:val="001974C0"/>
    <w:rsid w:val="001B78AB"/>
    <w:rsid w:val="001C06D4"/>
    <w:rsid w:val="001C1B43"/>
    <w:rsid w:val="001C78CB"/>
    <w:rsid w:val="001C7948"/>
    <w:rsid w:val="001D03C8"/>
    <w:rsid w:val="001F3A9B"/>
    <w:rsid w:val="001F47EB"/>
    <w:rsid w:val="001F4EF0"/>
    <w:rsid w:val="002013AD"/>
    <w:rsid w:val="00206747"/>
    <w:rsid w:val="00210AAC"/>
    <w:rsid w:val="002308E2"/>
    <w:rsid w:val="0025011D"/>
    <w:rsid w:val="00250784"/>
    <w:rsid w:val="00264D98"/>
    <w:rsid w:val="002720DB"/>
    <w:rsid w:val="002827E8"/>
    <w:rsid w:val="00282AF2"/>
    <w:rsid w:val="00297FD7"/>
    <w:rsid w:val="002A31B5"/>
    <w:rsid w:val="002A3C84"/>
    <w:rsid w:val="002B0F59"/>
    <w:rsid w:val="002B3E29"/>
    <w:rsid w:val="002B631E"/>
    <w:rsid w:val="002D4A96"/>
    <w:rsid w:val="002E30D8"/>
    <w:rsid w:val="002E340D"/>
    <w:rsid w:val="002E3C68"/>
    <w:rsid w:val="002E4A75"/>
    <w:rsid w:val="002F08FE"/>
    <w:rsid w:val="002F582D"/>
    <w:rsid w:val="003042D7"/>
    <w:rsid w:val="00305DB0"/>
    <w:rsid w:val="00305E6A"/>
    <w:rsid w:val="00307AC8"/>
    <w:rsid w:val="00313E73"/>
    <w:rsid w:val="00320102"/>
    <w:rsid w:val="003305B1"/>
    <w:rsid w:val="003355ED"/>
    <w:rsid w:val="00351873"/>
    <w:rsid w:val="0037070F"/>
    <w:rsid w:val="00370C8B"/>
    <w:rsid w:val="0037345C"/>
    <w:rsid w:val="00374777"/>
    <w:rsid w:val="003808B5"/>
    <w:rsid w:val="0038189A"/>
    <w:rsid w:val="00382526"/>
    <w:rsid w:val="00392B0E"/>
    <w:rsid w:val="00393B82"/>
    <w:rsid w:val="003A6DB3"/>
    <w:rsid w:val="003B6829"/>
    <w:rsid w:val="003B6A4F"/>
    <w:rsid w:val="003B7C5F"/>
    <w:rsid w:val="003D4457"/>
    <w:rsid w:val="003D7D7D"/>
    <w:rsid w:val="003E07E2"/>
    <w:rsid w:val="003E2034"/>
    <w:rsid w:val="003E49F5"/>
    <w:rsid w:val="003E6096"/>
    <w:rsid w:val="003E7AC8"/>
    <w:rsid w:val="003F3305"/>
    <w:rsid w:val="003F5232"/>
    <w:rsid w:val="003F7610"/>
    <w:rsid w:val="004040F6"/>
    <w:rsid w:val="00405E79"/>
    <w:rsid w:val="00413D9F"/>
    <w:rsid w:val="00421C2D"/>
    <w:rsid w:val="00437284"/>
    <w:rsid w:val="004378FF"/>
    <w:rsid w:val="0044315A"/>
    <w:rsid w:val="00443E3A"/>
    <w:rsid w:val="004470C3"/>
    <w:rsid w:val="00465D75"/>
    <w:rsid w:val="0046602D"/>
    <w:rsid w:val="004663E5"/>
    <w:rsid w:val="00474DE9"/>
    <w:rsid w:val="0047770B"/>
    <w:rsid w:val="00483DE1"/>
    <w:rsid w:val="00490DFE"/>
    <w:rsid w:val="0049218F"/>
    <w:rsid w:val="0049303C"/>
    <w:rsid w:val="00496941"/>
    <w:rsid w:val="004A325F"/>
    <w:rsid w:val="004B0054"/>
    <w:rsid w:val="004B2973"/>
    <w:rsid w:val="004B58B8"/>
    <w:rsid w:val="004B66C5"/>
    <w:rsid w:val="004B7FC1"/>
    <w:rsid w:val="004D5297"/>
    <w:rsid w:val="004D65E7"/>
    <w:rsid w:val="004E32F4"/>
    <w:rsid w:val="004E5044"/>
    <w:rsid w:val="004F0A13"/>
    <w:rsid w:val="004F0C57"/>
    <w:rsid w:val="004F12B4"/>
    <w:rsid w:val="004F156B"/>
    <w:rsid w:val="004F2030"/>
    <w:rsid w:val="004F433A"/>
    <w:rsid w:val="004F557E"/>
    <w:rsid w:val="00510E28"/>
    <w:rsid w:val="00512CE1"/>
    <w:rsid w:val="0051503C"/>
    <w:rsid w:val="005234D2"/>
    <w:rsid w:val="00533727"/>
    <w:rsid w:val="00542F69"/>
    <w:rsid w:val="00553DFF"/>
    <w:rsid w:val="00554859"/>
    <w:rsid w:val="0055763A"/>
    <w:rsid w:val="00565BBE"/>
    <w:rsid w:val="00566BC2"/>
    <w:rsid w:val="00570219"/>
    <w:rsid w:val="00572AD9"/>
    <w:rsid w:val="00572E9D"/>
    <w:rsid w:val="005739F7"/>
    <w:rsid w:val="005744C4"/>
    <w:rsid w:val="005808BC"/>
    <w:rsid w:val="00582CFA"/>
    <w:rsid w:val="00583A80"/>
    <w:rsid w:val="00587DCB"/>
    <w:rsid w:val="00591F3E"/>
    <w:rsid w:val="005A26F0"/>
    <w:rsid w:val="005A54A1"/>
    <w:rsid w:val="005D3A85"/>
    <w:rsid w:val="005D4749"/>
    <w:rsid w:val="005E11AC"/>
    <w:rsid w:val="005E69FF"/>
    <w:rsid w:val="005F123C"/>
    <w:rsid w:val="00605392"/>
    <w:rsid w:val="006067B5"/>
    <w:rsid w:val="00611D16"/>
    <w:rsid w:val="00612FD5"/>
    <w:rsid w:val="00614ECC"/>
    <w:rsid w:val="006400EC"/>
    <w:rsid w:val="00647FCA"/>
    <w:rsid w:val="00653FF9"/>
    <w:rsid w:val="00655BD8"/>
    <w:rsid w:val="006568F0"/>
    <w:rsid w:val="0065738B"/>
    <w:rsid w:val="006667A0"/>
    <w:rsid w:val="00677EAB"/>
    <w:rsid w:val="00677EF9"/>
    <w:rsid w:val="006839EC"/>
    <w:rsid w:val="0068413A"/>
    <w:rsid w:val="006847C8"/>
    <w:rsid w:val="006859FE"/>
    <w:rsid w:val="00686FFE"/>
    <w:rsid w:val="00692050"/>
    <w:rsid w:val="00695EA1"/>
    <w:rsid w:val="006B587F"/>
    <w:rsid w:val="006D6D23"/>
    <w:rsid w:val="006E16A3"/>
    <w:rsid w:val="006E322B"/>
    <w:rsid w:val="006E4CAE"/>
    <w:rsid w:val="006E6E23"/>
    <w:rsid w:val="006F12A6"/>
    <w:rsid w:val="006F468B"/>
    <w:rsid w:val="0070274C"/>
    <w:rsid w:val="00711E09"/>
    <w:rsid w:val="00723903"/>
    <w:rsid w:val="00725B27"/>
    <w:rsid w:val="00752D3F"/>
    <w:rsid w:val="00754CCF"/>
    <w:rsid w:val="00754EA3"/>
    <w:rsid w:val="0075710B"/>
    <w:rsid w:val="00762D19"/>
    <w:rsid w:val="00767DDC"/>
    <w:rsid w:val="00767EAF"/>
    <w:rsid w:val="00772200"/>
    <w:rsid w:val="00772D32"/>
    <w:rsid w:val="0077636A"/>
    <w:rsid w:val="00783D13"/>
    <w:rsid w:val="00793E40"/>
    <w:rsid w:val="00793E9E"/>
    <w:rsid w:val="00796CA9"/>
    <w:rsid w:val="00797845"/>
    <w:rsid w:val="007A4D53"/>
    <w:rsid w:val="007B193D"/>
    <w:rsid w:val="007B225A"/>
    <w:rsid w:val="007B5513"/>
    <w:rsid w:val="007C0989"/>
    <w:rsid w:val="007C2BEB"/>
    <w:rsid w:val="007D0576"/>
    <w:rsid w:val="007D5CD0"/>
    <w:rsid w:val="007D7CA0"/>
    <w:rsid w:val="007D7F26"/>
    <w:rsid w:val="007F32BC"/>
    <w:rsid w:val="00800002"/>
    <w:rsid w:val="00807FB6"/>
    <w:rsid w:val="008149B6"/>
    <w:rsid w:val="00827DA2"/>
    <w:rsid w:val="00836C9D"/>
    <w:rsid w:val="008607AC"/>
    <w:rsid w:val="00864E04"/>
    <w:rsid w:val="00864FE0"/>
    <w:rsid w:val="00871C39"/>
    <w:rsid w:val="0088293B"/>
    <w:rsid w:val="00892A4E"/>
    <w:rsid w:val="008C11CB"/>
    <w:rsid w:val="008C21BC"/>
    <w:rsid w:val="008C484E"/>
    <w:rsid w:val="008C6D75"/>
    <w:rsid w:val="008C7C9F"/>
    <w:rsid w:val="008D68DF"/>
    <w:rsid w:val="008D6CB7"/>
    <w:rsid w:val="008E22BA"/>
    <w:rsid w:val="008E243C"/>
    <w:rsid w:val="008E7422"/>
    <w:rsid w:val="008F1905"/>
    <w:rsid w:val="008F398F"/>
    <w:rsid w:val="00903E5A"/>
    <w:rsid w:val="00904B67"/>
    <w:rsid w:val="0091496F"/>
    <w:rsid w:val="009352DE"/>
    <w:rsid w:val="00937F9E"/>
    <w:rsid w:val="0094068C"/>
    <w:rsid w:val="0094228B"/>
    <w:rsid w:val="009478FC"/>
    <w:rsid w:val="009532B7"/>
    <w:rsid w:val="009621B7"/>
    <w:rsid w:val="00967718"/>
    <w:rsid w:val="00974178"/>
    <w:rsid w:val="0097638F"/>
    <w:rsid w:val="0097698E"/>
    <w:rsid w:val="00980777"/>
    <w:rsid w:val="00990E89"/>
    <w:rsid w:val="00991EAB"/>
    <w:rsid w:val="009B0FC3"/>
    <w:rsid w:val="009B5547"/>
    <w:rsid w:val="009D0D98"/>
    <w:rsid w:val="009E0904"/>
    <w:rsid w:val="009E3479"/>
    <w:rsid w:val="009F073A"/>
    <w:rsid w:val="009F0C75"/>
    <w:rsid w:val="009F698F"/>
    <w:rsid w:val="00A0156E"/>
    <w:rsid w:val="00A06899"/>
    <w:rsid w:val="00A1153D"/>
    <w:rsid w:val="00A13032"/>
    <w:rsid w:val="00A16C02"/>
    <w:rsid w:val="00A229C1"/>
    <w:rsid w:val="00A24542"/>
    <w:rsid w:val="00A274B9"/>
    <w:rsid w:val="00A33577"/>
    <w:rsid w:val="00A33599"/>
    <w:rsid w:val="00A33A7D"/>
    <w:rsid w:val="00A34A22"/>
    <w:rsid w:val="00A34FF3"/>
    <w:rsid w:val="00A353F2"/>
    <w:rsid w:val="00A37225"/>
    <w:rsid w:val="00A411FC"/>
    <w:rsid w:val="00A428A6"/>
    <w:rsid w:val="00A47C0F"/>
    <w:rsid w:val="00A5329D"/>
    <w:rsid w:val="00A57FC6"/>
    <w:rsid w:val="00A70C5E"/>
    <w:rsid w:val="00A754A1"/>
    <w:rsid w:val="00A75B68"/>
    <w:rsid w:val="00A80EDC"/>
    <w:rsid w:val="00A82841"/>
    <w:rsid w:val="00A82CB4"/>
    <w:rsid w:val="00A87C62"/>
    <w:rsid w:val="00AA590C"/>
    <w:rsid w:val="00AB2EAD"/>
    <w:rsid w:val="00AB48FE"/>
    <w:rsid w:val="00AB7971"/>
    <w:rsid w:val="00AC7F69"/>
    <w:rsid w:val="00AE3462"/>
    <w:rsid w:val="00AE3873"/>
    <w:rsid w:val="00AF4346"/>
    <w:rsid w:val="00AF4C4E"/>
    <w:rsid w:val="00B10B74"/>
    <w:rsid w:val="00B14355"/>
    <w:rsid w:val="00B24A03"/>
    <w:rsid w:val="00B25FBF"/>
    <w:rsid w:val="00B30ABB"/>
    <w:rsid w:val="00B33E4F"/>
    <w:rsid w:val="00B42564"/>
    <w:rsid w:val="00B42E23"/>
    <w:rsid w:val="00B45FA2"/>
    <w:rsid w:val="00B45FA6"/>
    <w:rsid w:val="00B520AA"/>
    <w:rsid w:val="00B556C1"/>
    <w:rsid w:val="00B62BDB"/>
    <w:rsid w:val="00B646D4"/>
    <w:rsid w:val="00B72E0B"/>
    <w:rsid w:val="00B73D9F"/>
    <w:rsid w:val="00B91E6F"/>
    <w:rsid w:val="00B92F2B"/>
    <w:rsid w:val="00BA7D31"/>
    <w:rsid w:val="00BC02C7"/>
    <w:rsid w:val="00BD3AB5"/>
    <w:rsid w:val="00BD4089"/>
    <w:rsid w:val="00BE4557"/>
    <w:rsid w:val="00BE5360"/>
    <w:rsid w:val="00BF1818"/>
    <w:rsid w:val="00BF691C"/>
    <w:rsid w:val="00C0454B"/>
    <w:rsid w:val="00C14F0D"/>
    <w:rsid w:val="00C370A2"/>
    <w:rsid w:val="00C41404"/>
    <w:rsid w:val="00C57538"/>
    <w:rsid w:val="00C60A42"/>
    <w:rsid w:val="00C7235E"/>
    <w:rsid w:val="00C75469"/>
    <w:rsid w:val="00C76487"/>
    <w:rsid w:val="00C82E85"/>
    <w:rsid w:val="00C8611E"/>
    <w:rsid w:val="00C90F0F"/>
    <w:rsid w:val="00C97A13"/>
    <w:rsid w:val="00CA096E"/>
    <w:rsid w:val="00CC0C46"/>
    <w:rsid w:val="00CC0E89"/>
    <w:rsid w:val="00CC71B7"/>
    <w:rsid w:val="00CF052D"/>
    <w:rsid w:val="00CF5B75"/>
    <w:rsid w:val="00D248D5"/>
    <w:rsid w:val="00D26C41"/>
    <w:rsid w:val="00D36F8A"/>
    <w:rsid w:val="00D37B4B"/>
    <w:rsid w:val="00D510B1"/>
    <w:rsid w:val="00D60233"/>
    <w:rsid w:val="00D61472"/>
    <w:rsid w:val="00D615A8"/>
    <w:rsid w:val="00D669D7"/>
    <w:rsid w:val="00D70BB6"/>
    <w:rsid w:val="00D7478F"/>
    <w:rsid w:val="00D779F6"/>
    <w:rsid w:val="00D8298C"/>
    <w:rsid w:val="00D9154B"/>
    <w:rsid w:val="00D91656"/>
    <w:rsid w:val="00DA4C36"/>
    <w:rsid w:val="00DA676E"/>
    <w:rsid w:val="00DB33C8"/>
    <w:rsid w:val="00DB50BA"/>
    <w:rsid w:val="00DC0B86"/>
    <w:rsid w:val="00DC236A"/>
    <w:rsid w:val="00DD1BC9"/>
    <w:rsid w:val="00DD3949"/>
    <w:rsid w:val="00DF2E11"/>
    <w:rsid w:val="00DF5C22"/>
    <w:rsid w:val="00E0183F"/>
    <w:rsid w:val="00E10E3C"/>
    <w:rsid w:val="00E125BF"/>
    <w:rsid w:val="00E26D16"/>
    <w:rsid w:val="00E319A5"/>
    <w:rsid w:val="00E36860"/>
    <w:rsid w:val="00E45249"/>
    <w:rsid w:val="00E51194"/>
    <w:rsid w:val="00E51D63"/>
    <w:rsid w:val="00E57851"/>
    <w:rsid w:val="00E66EAA"/>
    <w:rsid w:val="00E73D2B"/>
    <w:rsid w:val="00E77C6F"/>
    <w:rsid w:val="00E825E2"/>
    <w:rsid w:val="00E86347"/>
    <w:rsid w:val="00E86630"/>
    <w:rsid w:val="00EA0005"/>
    <w:rsid w:val="00EA463F"/>
    <w:rsid w:val="00EA693A"/>
    <w:rsid w:val="00EB279C"/>
    <w:rsid w:val="00EC59A7"/>
    <w:rsid w:val="00EC7519"/>
    <w:rsid w:val="00ED036D"/>
    <w:rsid w:val="00ED05C2"/>
    <w:rsid w:val="00ED3C95"/>
    <w:rsid w:val="00EE1B40"/>
    <w:rsid w:val="00EE3215"/>
    <w:rsid w:val="00EE6B74"/>
    <w:rsid w:val="00EF1192"/>
    <w:rsid w:val="00EF7B4A"/>
    <w:rsid w:val="00F01FFF"/>
    <w:rsid w:val="00F170A6"/>
    <w:rsid w:val="00F20C38"/>
    <w:rsid w:val="00F272EA"/>
    <w:rsid w:val="00F40BEE"/>
    <w:rsid w:val="00F40EFA"/>
    <w:rsid w:val="00F4541E"/>
    <w:rsid w:val="00F55625"/>
    <w:rsid w:val="00F578FA"/>
    <w:rsid w:val="00F6333A"/>
    <w:rsid w:val="00F7202D"/>
    <w:rsid w:val="00F75A38"/>
    <w:rsid w:val="00F75AEE"/>
    <w:rsid w:val="00F90D1C"/>
    <w:rsid w:val="00F9127A"/>
    <w:rsid w:val="00FA0B5C"/>
    <w:rsid w:val="00FA3D1D"/>
    <w:rsid w:val="00FA5485"/>
    <w:rsid w:val="00FA7A75"/>
    <w:rsid w:val="00FB0DCF"/>
    <w:rsid w:val="00FB2923"/>
    <w:rsid w:val="00FC4DEA"/>
    <w:rsid w:val="00FD6B9F"/>
    <w:rsid w:val="00FE22D2"/>
    <w:rsid w:val="00FF02B1"/>
    <w:rsid w:val="00FF329A"/>
    <w:rsid w:val="00FF4C25"/>
    <w:rsid w:val="00FF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15:chartTrackingRefBased/>
  <w15:docId w15:val="{DDC654A0-8635-468E-A3AA-508F69ED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D05C2"/>
    <w:pPr>
      <w:tabs>
        <w:tab w:val="center" w:pos="4153"/>
        <w:tab w:val="right" w:pos="8306"/>
      </w:tabs>
    </w:pPr>
  </w:style>
  <w:style w:type="paragraph" w:styleId="Footer">
    <w:name w:val="footer"/>
    <w:basedOn w:val="Normal"/>
    <w:link w:val="FooterChar"/>
    <w:rsid w:val="00ED05C2"/>
    <w:pPr>
      <w:tabs>
        <w:tab w:val="center" w:pos="4153"/>
        <w:tab w:val="right" w:pos="8306"/>
      </w:tabs>
    </w:pPr>
  </w:style>
  <w:style w:type="character" w:customStyle="1" w:styleId="FooterChar">
    <w:name w:val="Footer Char"/>
    <w:link w:val="Footer"/>
    <w:rsid w:val="00ED05C2"/>
    <w:rPr>
      <w:sz w:val="24"/>
      <w:szCs w:val="24"/>
      <w:lang w:val="en-GB" w:eastAsia="en-GB" w:bidi="ar-SA"/>
    </w:rPr>
  </w:style>
  <w:style w:type="paragraph" w:styleId="BalloonText">
    <w:name w:val="Balloon Text"/>
    <w:basedOn w:val="Normal"/>
    <w:semiHidden/>
    <w:rsid w:val="00ED036D"/>
    <w:rPr>
      <w:rFonts w:ascii="Tahoma" w:hAnsi="Tahoma" w:cs="Tahoma"/>
      <w:sz w:val="16"/>
      <w:szCs w:val="16"/>
    </w:rPr>
  </w:style>
  <w:style w:type="character" w:styleId="Strong">
    <w:name w:val="Strong"/>
    <w:qFormat/>
    <w:rsid w:val="000F4B66"/>
    <w:rPr>
      <w:b/>
      <w:bCs/>
    </w:rPr>
  </w:style>
  <w:style w:type="character" w:styleId="Hyperlink">
    <w:name w:val="Hyperlink"/>
    <w:rsid w:val="00A16C02"/>
    <w:rPr>
      <w:color w:val="0000FF"/>
      <w:u w:val="single"/>
    </w:rPr>
  </w:style>
  <w:style w:type="character" w:styleId="UnresolvedMention">
    <w:name w:val="Unresolved Mention"/>
    <w:uiPriority w:val="99"/>
    <w:semiHidden/>
    <w:unhideWhenUsed/>
    <w:rsid w:val="00793E40"/>
    <w:rPr>
      <w:color w:val="605E5C"/>
      <w:shd w:val="clear" w:color="auto" w:fill="E1DFDD"/>
    </w:rPr>
  </w:style>
  <w:style w:type="character" w:styleId="CommentReference">
    <w:name w:val="annotation reference"/>
    <w:rsid w:val="0097638F"/>
    <w:rPr>
      <w:sz w:val="16"/>
      <w:szCs w:val="16"/>
    </w:rPr>
  </w:style>
  <w:style w:type="paragraph" w:styleId="CommentText">
    <w:name w:val="annotation text"/>
    <w:basedOn w:val="Normal"/>
    <w:link w:val="CommentTextChar"/>
    <w:rsid w:val="0097638F"/>
    <w:rPr>
      <w:sz w:val="20"/>
      <w:szCs w:val="20"/>
    </w:rPr>
  </w:style>
  <w:style w:type="character" w:customStyle="1" w:styleId="CommentTextChar">
    <w:name w:val="Comment Text Char"/>
    <w:basedOn w:val="DefaultParagraphFont"/>
    <w:link w:val="CommentText"/>
    <w:rsid w:val="0097638F"/>
  </w:style>
  <w:style w:type="paragraph" w:styleId="CommentSubject">
    <w:name w:val="annotation subject"/>
    <w:basedOn w:val="CommentText"/>
    <w:next w:val="CommentText"/>
    <w:link w:val="CommentSubjectChar"/>
    <w:rsid w:val="0097638F"/>
    <w:rPr>
      <w:b/>
      <w:bCs/>
    </w:rPr>
  </w:style>
  <w:style w:type="character" w:customStyle="1" w:styleId="CommentSubjectChar">
    <w:name w:val="Comment Subject Char"/>
    <w:link w:val="CommentSubject"/>
    <w:rsid w:val="00976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1261">
      <w:bodyDiv w:val="1"/>
      <w:marLeft w:val="0"/>
      <w:marRight w:val="0"/>
      <w:marTop w:val="0"/>
      <w:marBottom w:val="0"/>
      <w:divBdr>
        <w:top w:val="none" w:sz="0" w:space="0" w:color="auto"/>
        <w:left w:val="none" w:sz="0" w:space="0" w:color="auto"/>
        <w:bottom w:val="none" w:sz="0" w:space="0" w:color="auto"/>
        <w:right w:val="none" w:sz="0" w:space="0" w:color="auto"/>
      </w:divBdr>
      <w:divsChild>
        <w:div w:id="1212962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99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81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474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66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premecourt.uk/decided-cases/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E00A7B-7B67-46D1-B009-2EB3FC1E2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BCB472-EFA6-4787-8E07-27848E91656A}">
  <ds:schemaRefs>
    <ds:schemaRef ds:uri="http://schemas.microsoft.com/sharepoint/v3/contenttype/forms"/>
  </ds:schemaRefs>
</ds:datastoreItem>
</file>

<file path=customXml/itemProps3.xml><?xml version="1.0" encoding="utf-8"?>
<ds:datastoreItem xmlns:ds="http://schemas.openxmlformats.org/officeDocument/2006/customXml" ds:itemID="{DA4BEC77-10E5-4E7C-A62F-CF9D259C95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JP Whitter (Water Well Engineers) Limited (Appellant) v Commissioners for Her Majesty’s Revenue and Customs (Respondent)</vt:lpstr>
    </vt:vector>
  </TitlesOfParts>
  <Company>The Supreme Court (UKSC)</Company>
  <LinksUpToDate>false</LinksUpToDate>
  <CharactersWithSpaces>7358</CharactersWithSpaces>
  <SharedDoc>false</SharedDoc>
  <HLinks>
    <vt:vector size="6" baseType="variant">
      <vt:variant>
        <vt:i4>6553701</vt:i4>
      </vt:variant>
      <vt:variant>
        <vt:i4>0</vt:i4>
      </vt:variant>
      <vt:variant>
        <vt:i4>0</vt:i4>
      </vt:variant>
      <vt:variant>
        <vt:i4>5</vt:i4>
      </vt:variant>
      <vt:variant>
        <vt:lpwstr>http://supremecourt.uk/decided-cases/index.html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 Whitter (Water Well Engineers) Limited (Appellant) v Commissioners for Her Majesty’s Revenue and Customs (Respondent)</dc:title>
  <dc:subject>Judgment handed down on Wednesday 13 June 2018</dc:subject>
  <dc:creator>The Supreme Court (UKSC)</dc:creator>
  <cp:keywords>[2016] EWCA Civ 1160; UKSC 2017/0016; [2018] UKSC 31</cp:keywords>
  <dc:description/>
  <cp:lastModifiedBy>Jim</cp:lastModifiedBy>
  <cp:revision>2</cp:revision>
  <cp:lastPrinted>2018-06-11T17:04:00Z</cp:lastPrinted>
  <dcterms:created xsi:type="dcterms:W3CDTF">2023-04-05T18:20:00Z</dcterms:created>
  <dcterms:modified xsi:type="dcterms:W3CDTF">2023-04-05T18:20:00Z</dcterms:modified>
  <cp:category>Decided cases;Press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0x0101000B97FE93F59FD64DAE4BD735315C56DA</vt:lpwstr>
  </property>
  <property fmtid="{D5CDD505-2E9C-101B-9397-08002B2CF9AE}" pid="3" name="CaseName">
    <vt:lpwstr>JP Whitter (Water Well Engineers) Limited (Appellant) v Commissioners for Her Majesty’s Revenue and Customs (Respondent)</vt:lpwstr>
  </property>
  <property fmtid="{D5CDD505-2E9C-101B-9397-08002B2CF9AE}" pid="4" name="HandDownDate">
    <vt:lpwstr>13 June 2018</vt:lpwstr>
  </property>
  <property fmtid="{D5CDD505-2E9C-101B-9397-08002B2CF9AE}" pid="5" name="CaseID">
    <vt:lpwstr>UKSC 2017/0016</vt:lpwstr>
  </property>
  <property fmtid="{D5CDD505-2E9C-101B-9397-08002B2CF9AE}" pid="6" name="NeutralCitationNumber">
    <vt:lpwstr>[2018] UKSC 31</vt:lpwstr>
  </property>
</Properties>
</file>