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779711" w14:textId="47B6E2D2" w:rsidR="00ED05C2" w:rsidRDefault="00D00291" w:rsidP="00ED05C2">
      <w:pPr>
        <w:jc w:val="center"/>
        <w:rPr>
          <w:rFonts w:ascii="Garamond" w:hAnsi="Garamond"/>
        </w:rPr>
      </w:pPr>
      <w:r>
        <w:rPr>
          <w:rFonts w:ascii="Garamond" w:hAnsi="Garamond"/>
          <w:noProof/>
        </w:rPr>
        <w:drawing>
          <wp:inline distT="0" distB="0" distL="0" distR="0" wp14:anchorId="40E0D867" wp14:editId="79267FFE">
            <wp:extent cx="1066800" cy="1428750"/>
            <wp:effectExtent l="0" t="0" r="0" b="0"/>
            <wp:docPr id="1" name="Picture 1" descr="UKSC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66800" cy="1428750"/>
                    </a:xfrm>
                    <a:prstGeom prst="rect">
                      <a:avLst/>
                    </a:prstGeom>
                    <a:noFill/>
                    <a:ln>
                      <a:noFill/>
                    </a:ln>
                  </pic:spPr>
                </pic:pic>
              </a:graphicData>
            </a:graphic>
          </wp:inline>
        </w:drawing>
      </w:r>
    </w:p>
    <w:p w14:paraId="52EB2909" w14:textId="029D001C" w:rsidR="00A16C02" w:rsidRPr="00A97444" w:rsidRDefault="000E59A3" w:rsidP="00A16C02">
      <w:pPr>
        <w:tabs>
          <w:tab w:val="left" w:pos="8285"/>
        </w:tabs>
        <w:jc w:val="right"/>
        <w:rPr>
          <w:rFonts w:ascii="Garamond" w:hAnsi="Garamond"/>
          <w:b/>
        </w:rPr>
      </w:pPr>
      <w:r>
        <w:rPr>
          <w:rFonts w:ascii="Garamond" w:hAnsi="Garamond"/>
          <w:b/>
        </w:rPr>
        <w:t>20 November</w:t>
      </w:r>
      <w:r w:rsidR="00923E57" w:rsidRPr="00DE2739">
        <w:rPr>
          <w:rFonts w:ascii="Garamond" w:hAnsi="Garamond"/>
          <w:b/>
        </w:rPr>
        <w:t xml:space="preserve"> 2019</w:t>
      </w:r>
    </w:p>
    <w:p w14:paraId="22923183" w14:textId="77777777" w:rsidR="00A16C02" w:rsidRPr="00A97444" w:rsidRDefault="00A16C02" w:rsidP="00A16C02">
      <w:pPr>
        <w:tabs>
          <w:tab w:val="left" w:pos="8285"/>
        </w:tabs>
        <w:jc w:val="center"/>
        <w:rPr>
          <w:rFonts w:ascii="Garamond" w:hAnsi="Garamond"/>
          <w:b/>
        </w:rPr>
      </w:pPr>
      <w:r w:rsidRPr="00A97444">
        <w:rPr>
          <w:rFonts w:ascii="Garamond" w:hAnsi="Garamond"/>
          <w:b/>
        </w:rPr>
        <w:t>PRESS SUMMARY</w:t>
      </w:r>
    </w:p>
    <w:p w14:paraId="5D823000" w14:textId="77777777" w:rsidR="00A16C02" w:rsidRPr="00A97444" w:rsidRDefault="00A16C02" w:rsidP="00A16C02">
      <w:pPr>
        <w:tabs>
          <w:tab w:val="left" w:pos="8285"/>
        </w:tabs>
        <w:rPr>
          <w:rFonts w:ascii="Garamond" w:hAnsi="Garamond"/>
          <w:b/>
        </w:rPr>
      </w:pPr>
    </w:p>
    <w:p w14:paraId="549E3430" w14:textId="77777777" w:rsidR="00365798" w:rsidRDefault="000E59A3" w:rsidP="00D53EAB">
      <w:pPr>
        <w:tabs>
          <w:tab w:val="left" w:pos="8285"/>
        </w:tabs>
        <w:jc w:val="both"/>
        <w:rPr>
          <w:rFonts w:ascii="Garamond" w:hAnsi="Garamond"/>
          <w:b/>
        </w:rPr>
      </w:pPr>
      <w:r>
        <w:rPr>
          <w:rFonts w:ascii="Garamond" w:hAnsi="Garamond"/>
          <w:b/>
        </w:rPr>
        <w:t xml:space="preserve">R (on the application of Wright) (Respondent) v Resilient Energy </w:t>
      </w:r>
      <w:proofErr w:type="spellStart"/>
      <w:r>
        <w:rPr>
          <w:rFonts w:ascii="Garamond" w:hAnsi="Garamond"/>
          <w:b/>
        </w:rPr>
        <w:t>Severndale</w:t>
      </w:r>
      <w:proofErr w:type="spellEnd"/>
      <w:r>
        <w:rPr>
          <w:rFonts w:ascii="Garamond" w:hAnsi="Garamond"/>
          <w:b/>
        </w:rPr>
        <w:t xml:space="preserve"> Ltd and Forest of Dean District Council (Appellants)</w:t>
      </w:r>
    </w:p>
    <w:p w14:paraId="66785FCA" w14:textId="21FBD16E" w:rsidR="00A16C02" w:rsidRPr="00A97444" w:rsidRDefault="00AF3C18" w:rsidP="00D53EAB">
      <w:pPr>
        <w:tabs>
          <w:tab w:val="left" w:pos="8285"/>
        </w:tabs>
        <w:jc w:val="both"/>
        <w:rPr>
          <w:rFonts w:ascii="Garamond" w:hAnsi="Garamond"/>
          <w:b/>
        </w:rPr>
      </w:pPr>
      <w:r>
        <w:rPr>
          <w:rFonts w:ascii="Garamond" w:hAnsi="Garamond"/>
          <w:b/>
        </w:rPr>
        <w:t>[2019] UKSC 53</w:t>
      </w:r>
    </w:p>
    <w:p w14:paraId="32FFC8E3" w14:textId="56067A44" w:rsidR="00A16C02" w:rsidRPr="00A97444" w:rsidRDefault="001C06D4" w:rsidP="00A16C02">
      <w:pPr>
        <w:tabs>
          <w:tab w:val="left" w:pos="8285"/>
        </w:tabs>
        <w:rPr>
          <w:rFonts w:ascii="Garamond" w:hAnsi="Garamond"/>
          <w:b/>
          <w:i/>
        </w:rPr>
      </w:pPr>
      <w:r>
        <w:rPr>
          <w:rFonts w:ascii="Garamond" w:hAnsi="Garamond"/>
          <w:b/>
          <w:i/>
        </w:rPr>
        <w:t xml:space="preserve">On appeal from </w:t>
      </w:r>
      <w:r w:rsidR="0036557E">
        <w:rPr>
          <w:rFonts w:ascii="Garamond" w:hAnsi="Garamond"/>
          <w:b/>
          <w:i/>
        </w:rPr>
        <w:t xml:space="preserve">[2017] EWCA </w:t>
      </w:r>
      <w:proofErr w:type="spellStart"/>
      <w:r w:rsidR="0036557E">
        <w:rPr>
          <w:rFonts w:ascii="Garamond" w:hAnsi="Garamond"/>
          <w:b/>
          <w:i/>
        </w:rPr>
        <w:t>Civ</w:t>
      </w:r>
      <w:proofErr w:type="spellEnd"/>
      <w:r w:rsidR="0036557E">
        <w:rPr>
          <w:rFonts w:ascii="Garamond" w:hAnsi="Garamond"/>
          <w:b/>
          <w:i/>
        </w:rPr>
        <w:t xml:space="preserve"> </w:t>
      </w:r>
      <w:r w:rsidR="000E59A3">
        <w:rPr>
          <w:rFonts w:ascii="Garamond" w:hAnsi="Garamond"/>
          <w:b/>
          <w:i/>
        </w:rPr>
        <w:t>2102</w:t>
      </w:r>
    </w:p>
    <w:p w14:paraId="06C37037" w14:textId="77777777" w:rsidR="002E340D" w:rsidRDefault="002E340D" w:rsidP="00A16C02">
      <w:pPr>
        <w:tabs>
          <w:tab w:val="left" w:pos="8285"/>
        </w:tabs>
        <w:rPr>
          <w:rFonts w:ascii="Garamond" w:hAnsi="Garamond"/>
        </w:rPr>
      </w:pPr>
    </w:p>
    <w:p w14:paraId="351EC8A3" w14:textId="651FC607" w:rsidR="00A16C02" w:rsidRDefault="00A16C02" w:rsidP="00A16C02">
      <w:pPr>
        <w:tabs>
          <w:tab w:val="left" w:pos="8285"/>
        </w:tabs>
        <w:rPr>
          <w:rFonts w:ascii="Garamond" w:hAnsi="Garamond"/>
        </w:rPr>
      </w:pPr>
      <w:r w:rsidRPr="00A97444">
        <w:rPr>
          <w:rFonts w:ascii="Garamond" w:hAnsi="Garamond"/>
          <w:b/>
        </w:rPr>
        <w:t>JUSTICES</w:t>
      </w:r>
      <w:r>
        <w:rPr>
          <w:rFonts w:ascii="Garamond" w:hAnsi="Garamond"/>
        </w:rPr>
        <w:t xml:space="preserve">: </w:t>
      </w:r>
      <w:r w:rsidR="0036557E">
        <w:rPr>
          <w:rFonts w:ascii="Garamond" w:hAnsi="Garamond"/>
        </w:rPr>
        <w:t>Lady Hale</w:t>
      </w:r>
      <w:r w:rsidR="002E5DDA">
        <w:rPr>
          <w:rFonts w:ascii="Garamond" w:hAnsi="Garamond"/>
        </w:rPr>
        <w:t xml:space="preserve"> (President), Lord Reed (Deputy President), Lord Lloyd-Jones</w:t>
      </w:r>
      <w:r w:rsidR="00B72AF0">
        <w:rPr>
          <w:rFonts w:ascii="Garamond" w:hAnsi="Garamond"/>
        </w:rPr>
        <w:t>, Lord Sales, Lord Thomas</w:t>
      </w:r>
    </w:p>
    <w:p w14:paraId="7903DB7F" w14:textId="77777777" w:rsidR="00937F9E" w:rsidRDefault="00937F9E" w:rsidP="00A16C02">
      <w:pPr>
        <w:tabs>
          <w:tab w:val="left" w:pos="8285"/>
        </w:tabs>
        <w:rPr>
          <w:rFonts w:ascii="Garamond" w:hAnsi="Garamond"/>
          <w:b/>
        </w:rPr>
      </w:pPr>
    </w:p>
    <w:p w14:paraId="24087F84" w14:textId="161D29AE" w:rsidR="00A16C02" w:rsidRPr="00A97444" w:rsidRDefault="00A16C02" w:rsidP="00A16C02">
      <w:pPr>
        <w:tabs>
          <w:tab w:val="left" w:pos="8285"/>
        </w:tabs>
        <w:rPr>
          <w:rFonts w:ascii="Garamond" w:hAnsi="Garamond"/>
          <w:b/>
        </w:rPr>
      </w:pPr>
      <w:r w:rsidRPr="00A97444">
        <w:rPr>
          <w:rFonts w:ascii="Garamond" w:hAnsi="Garamond"/>
          <w:b/>
        </w:rPr>
        <w:t>BACKGROUND TO THE APPEAL</w:t>
      </w:r>
    </w:p>
    <w:p w14:paraId="75109F7A" w14:textId="77777777" w:rsidR="00A16C02" w:rsidRDefault="00A16C02" w:rsidP="00A16C02">
      <w:pPr>
        <w:tabs>
          <w:tab w:val="left" w:pos="8285"/>
        </w:tabs>
        <w:rPr>
          <w:rFonts w:ascii="Garamond" w:hAnsi="Garamond"/>
        </w:rPr>
      </w:pPr>
    </w:p>
    <w:p w14:paraId="3E2638D1" w14:textId="66143826" w:rsidR="00A739C5" w:rsidRDefault="00621A5B" w:rsidP="00712A0A">
      <w:pPr>
        <w:jc w:val="both"/>
        <w:rPr>
          <w:rFonts w:ascii="Garamond" w:hAnsi="Garamond"/>
        </w:rPr>
      </w:pPr>
      <w:r>
        <w:rPr>
          <w:rFonts w:ascii="Garamond" w:hAnsi="Garamond"/>
        </w:rPr>
        <w:t>The case concerns a</w:t>
      </w:r>
      <w:r w:rsidR="00944C22">
        <w:rPr>
          <w:rFonts w:ascii="Garamond" w:hAnsi="Garamond"/>
        </w:rPr>
        <w:t xml:space="preserve"> </w:t>
      </w:r>
      <w:r>
        <w:rPr>
          <w:rFonts w:ascii="Garamond" w:hAnsi="Garamond"/>
        </w:rPr>
        <w:t xml:space="preserve">challenge </w:t>
      </w:r>
      <w:r w:rsidR="00630836">
        <w:rPr>
          <w:rFonts w:ascii="Garamond" w:hAnsi="Garamond"/>
        </w:rPr>
        <w:t>by way of</w:t>
      </w:r>
      <w:r w:rsidR="002F5250">
        <w:rPr>
          <w:rFonts w:ascii="Garamond" w:hAnsi="Garamond"/>
        </w:rPr>
        <w:t xml:space="preserve"> judicial review </w:t>
      </w:r>
      <w:r>
        <w:rPr>
          <w:rFonts w:ascii="Garamond" w:hAnsi="Garamond"/>
        </w:rPr>
        <w:t xml:space="preserve">by </w:t>
      </w:r>
      <w:r w:rsidR="00500993">
        <w:rPr>
          <w:rFonts w:ascii="Garamond" w:hAnsi="Garamond"/>
        </w:rPr>
        <w:t>the respondent, Mr Wright, to the grant of planning permission by the second appellant (the “</w:t>
      </w:r>
      <w:r w:rsidR="00500993" w:rsidRPr="00A24BD0">
        <w:rPr>
          <w:rFonts w:ascii="Garamond" w:hAnsi="Garamond"/>
        </w:rPr>
        <w:t>Council</w:t>
      </w:r>
      <w:r w:rsidR="00500993">
        <w:rPr>
          <w:rFonts w:ascii="Garamond" w:hAnsi="Garamond"/>
        </w:rPr>
        <w:t xml:space="preserve">”) to the </w:t>
      </w:r>
      <w:r w:rsidR="00D9381B">
        <w:rPr>
          <w:rFonts w:ascii="Garamond" w:hAnsi="Garamond"/>
        </w:rPr>
        <w:t>first appellant (“</w:t>
      </w:r>
      <w:r w:rsidR="00D9381B" w:rsidRPr="00A24BD0">
        <w:rPr>
          <w:rFonts w:ascii="Garamond" w:hAnsi="Garamond"/>
        </w:rPr>
        <w:t>Resilient</w:t>
      </w:r>
      <w:r w:rsidR="00D9381B">
        <w:rPr>
          <w:rFonts w:ascii="Garamond" w:hAnsi="Garamond"/>
        </w:rPr>
        <w:t>”) for</w:t>
      </w:r>
      <w:r w:rsidR="00442A95">
        <w:rPr>
          <w:rFonts w:ascii="Garamond" w:hAnsi="Garamond"/>
        </w:rPr>
        <w:t xml:space="preserve"> the change of use of land at a farm</w:t>
      </w:r>
      <w:r w:rsidR="000343D4">
        <w:rPr>
          <w:rFonts w:ascii="Garamond" w:hAnsi="Garamond"/>
        </w:rPr>
        <w:t xml:space="preserve"> in Gloucestershire</w:t>
      </w:r>
      <w:r w:rsidR="00442A95">
        <w:rPr>
          <w:rFonts w:ascii="Garamond" w:hAnsi="Garamond"/>
        </w:rPr>
        <w:t xml:space="preserve"> from agriculture to the erection of a wind turbine.</w:t>
      </w:r>
    </w:p>
    <w:p w14:paraId="42EAF38C" w14:textId="4A8E206B" w:rsidR="00560F83" w:rsidRDefault="00560F83" w:rsidP="00712A0A">
      <w:pPr>
        <w:jc w:val="both"/>
        <w:rPr>
          <w:rFonts w:ascii="Garamond" w:hAnsi="Garamond"/>
        </w:rPr>
      </w:pPr>
    </w:p>
    <w:p w14:paraId="497E8B8D" w14:textId="2FD8A583" w:rsidR="00560F83" w:rsidRDefault="00560F83" w:rsidP="00712A0A">
      <w:pPr>
        <w:jc w:val="both"/>
        <w:rPr>
          <w:rFonts w:ascii="Garamond" w:hAnsi="Garamond"/>
        </w:rPr>
      </w:pPr>
      <w:r>
        <w:rPr>
          <w:rFonts w:ascii="Garamond" w:hAnsi="Garamond"/>
        </w:rPr>
        <w:t xml:space="preserve">In its application for </w:t>
      </w:r>
      <w:r w:rsidR="002F5250">
        <w:rPr>
          <w:rFonts w:ascii="Garamond" w:hAnsi="Garamond"/>
        </w:rPr>
        <w:t xml:space="preserve">planning </w:t>
      </w:r>
      <w:r>
        <w:rPr>
          <w:rFonts w:ascii="Garamond" w:hAnsi="Garamond"/>
        </w:rPr>
        <w:t xml:space="preserve">permission, Resilient </w:t>
      </w:r>
      <w:r w:rsidR="001A6C7E">
        <w:rPr>
          <w:rFonts w:ascii="Garamond" w:hAnsi="Garamond"/>
        </w:rPr>
        <w:t xml:space="preserve">proposed that the turbine would be </w:t>
      </w:r>
      <w:r w:rsidR="007D5535">
        <w:rPr>
          <w:rFonts w:ascii="Garamond" w:hAnsi="Garamond"/>
        </w:rPr>
        <w:t>built</w:t>
      </w:r>
      <w:r w:rsidR="001A6C7E">
        <w:rPr>
          <w:rFonts w:ascii="Garamond" w:hAnsi="Garamond"/>
        </w:rPr>
        <w:t xml:space="preserve"> and run by a community benefit society and </w:t>
      </w:r>
      <w:r w:rsidR="00C54BBA">
        <w:rPr>
          <w:rFonts w:ascii="Garamond" w:hAnsi="Garamond"/>
        </w:rPr>
        <w:t xml:space="preserve">that </w:t>
      </w:r>
      <w:r w:rsidR="001A6C7E">
        <w:rPr>
          <w:rFonts w:ascii="Garamond" w:hAnsi="Garamond"/>
        </w:rPr>
        <w:t xml:space="preserve">an annual donation would be made to a local community fund. The Council took this donation into account in </w:t>
      </w:r>
      <w:r w:rsidR="005D4719">
        <w:rPr>
          <w:rFonts w:ascii="Garamond" w:hAnsi="Garamond"/>
        </w:rPr>
        <w:t xml:space="preserve">granting </w:t>
      </w:r>
      <w:r w:rsidR="008D2543">
        <w:rPr>
          <w:rFonts w:ascii="Garamond" w:hAnsi="Garamond"/>
        </w:rPr>
        <w:t xml:space="preserve">planning </w:t>
      </w:r>
      <w:r w:rsidR="005D4719">
        <w:rPr>
          <w:rFonts w:ascii="Garamond" w:hAnsi="Garamond"/>
        </w:rPr>
        <w:t xml:space="preserve">permission and made the permission conditional on the </w:t>
      </w:r>
      <w:r w:rsidR="00423FCF">
        <w:rPr>
          <w:rFonts w:ascii="Garamond" w:hAnsi="Garamond"/>
        </w:rPr>
        <w:t xml:space="preserve">development being </w:t>
      </w:r>
      <w:r w:rsidR="004049AF">
        <w:rPr>
          <w:rFonts w:ascii="Garamond" w:hAnsi="Garamond"/>
        </w:rPr>
        <w:t>undertaken</w:t>
      </w:r>
      <w:r w:rsidR="00423FCF">
        <w:rPr>
          <w:rFonts w:ascii="Garamond" w:hAnsi="Garamond"/>
        </w:rPr>
        <w:t xml:space="preserve"> by the </w:t>
      </w:r>
      <w:r w:rsidR="00F966A2">
        <w:rPr>
          <w:rFonts w:ascii="Garamond" w:hAnsi="Garamond"/>
        </w:rPr>
        <w:t xml:space="preserve">community benefit society and </w:t>
      </w:r>
      <w:r w:rsidR="00146BF3">
        <w:rPr>
          <w:rFonts w:ascii="Garamond" w:hAnsi="Garamond"/>
        </w:rPr>
        <w:t xml:space="preserve">the </w:t>
      </w:r>
      <w:r w:rsidR="00915158">
        <w:rPr>
          <w:rFonts w:ascii="Garamond" w:hAnsi="Garamond"/>
        </w:rPr>
        <w:t xml:space="preserve">provision of the </w:t>
      </w:r>
      <w:r w:rsidR="00F966A2">
        <w:rPr>
          <w:rFonts w:ascii="Garamond" w:hAnsi="Garamond"/>
        </w:rPr>
        <w:t>donation.</w:t>
      </w:r>
      <w:r w:rsidR="00EA66A5">
        <w:rPr>
          <w:rFonts w:ascii="Garamond" w:hAnsi="Garamond"/>
        </w:rPr>
        <w:t xml:space="preserve"> In doing so, the Council </w:t>
      </w:r>
      <w:r w:rsidR="00AB073C">
        <w:rPr>
          <w:rFonts w:ascii="Garamond" w:hAnsi="Garamond"/>
        </w:rPr>
        <w:t>had regard to government policy to encourage community</w:t>
      </w:r>
      <w:r w:rsidR="00C05929">
        <w:rPr>
          <w:rFonts w:ascii="Garamond" w:hAnsi="Garamond"/>
        </w:rPr>
        <w:t>-led</w:t>
      </w:r>
      <w:r w:rsidR="00AB073C">
        <w:rPr>
          <w:rFonts w:ascii="Garamond" w:hAnsi="Garamond"/>
        </w:rPr>
        <w:t xml:space="preserve"> wind turbine developments.</w:t>
      </w:r>
    </w:p>
    <w:p w14:paraId="6AD11CC0" w14:textId="7348D04F" w:rsidR="00BC4188" w:rsidRDefault="00BC4188" w:rsidP="00712A0A">
      <w:pPr>
        <w:jc w:val="both"/>
        <w:rPr>
          <w:rFonts w:ascii="Garamond" w:hAnsi="Garamond"/>
        </w:rPr>
      </w:pPr>
    </w:p>
    <w:p w14:paraId="4B6C4987" w14:textId="42E42416" w:rsidR="00BC4188" w:rsidRDefault="00BC4188" w:rsidP="00712A0A">
      <w:pPr>
        <w:jc w:val="both"/>
        <w:rPr>
          <w:rFonts w:ascii="Garamond" w:hAnsi="Garamond"/>
        </w:rPr>
      </w:pPr>
      <w:r>
        <w:rPr>
          <w:rFonts w:ascii="Garamond" w:hAnsi="Garamond"/>
        </w:rPr>
        <w:t xml:space="preserve">Mr Wright challenged the grant of permission on the grounds that the donation was not a material planning consideration and the Council had acted unlawfully by taking it into account. He succeeded at first </w:t>
      </w:r>
      <w:r w:rsidR="00CE6663">
        <w:rPr>
          <w:rFonts w:ascii="Garamond" w:hAnsi="Garamond"/>
        </w:rPr>
        <w:t xml:space="preserve">instance and </w:t>
      </w:r>
      <w:r w:rsidR="00915158">
        <w:rPr>
          <w:rFonts w:ascii="Garamond" w:hAnsi="Garamond"/>
        </w:rPr>
        <w:t>in</w:t>
      </w:r>
      <w:r w:rsidR="00CE6663">
        <w:rPr>
          <w:rFonts w:ascii="Garamond" w:hAnsi="Garamond"/>
        </w:rPr>
        <w:t xml:space="preserve"> the Court of Appeal. Resilient and the Council now appeal to this court.</w:t>
      </w:r>
      <w:r w:rsidR="006C402B">
        <w:rPr>
          <w:rFonts w:ascii="Garamond" w:hAnsi="Garamond"/>
        </w:rPr>
        <w:t xml:space="preserve"> The Secretary of State </w:t>
      </w:r>
      <w:r w:rsidR="00FC38B1">
        <w:rPr>
          <w:rFonts w:ascii="Garamond" w:hAnsi="Garamond"/>
        </w:rPr>
        <w:t xml:space="preserve">for Housing, Communities and Local Government </w:t>
      </w:r>
      <w:r w:rsidR="0053638E">
        <w:rPr>
          <w:rFonts w:ascii="Garamond" w:hAnsi="Garamond"/>
        </w:rPr>
        <w:t xml:space="preserve">was given permission to </w:t>
      </w:r>
      <w:r w:rsidR="00FC38B1">
        <w:rPr>
          <w:rFonts w:ascii="Garamond" w:hAnsi="Garamond"/>
        </w:rPr>
        <w:t>intervene</w:t>
      </w:r>
      <w:r w:rsidR="0053638E">
        <w:rPr>
          <w:rFonts w:ascii="Garamond" w:hAnsi="Garamond"/>
        </w:rPr>
        <w:t xml:space="preserve"> and made</w:t>
      </w:r>
      <w:r w:rsidR="00FC38B1">
        <w:rPr>
          <w:rFonts w:ascii="Garamond" w:hAnsi="Garamond"/>
        </w:rPr>
        <w:t xml:space="preserve"> submissions </w:t>
      </w:r>
      <w:r w:rsidR="0053638E">
        <w:rPr>
          <w:rFonts w:ascii="Garamond" w:hAnsi="Garamond"/>
        </w:rPr>
        <w:t>in support of the appeal.</w:t>
      </w:r>
    </w:p>
    <w:p w14:paraId="2F3CB597" w14:textId="470F4150" w:rsidR="004671A0" w:rsidRDefault="004671A0" w:rsidP="00712A0A">
      <w:pPr>
        <w:jc w:val="both"/>
        <w:rPr>
          <w:rFonts w:ascii="Garamond" w:hAnsi="Garamond"/>
        </w:rPr>
      </w:pPr>
    </w:p>
    <w:p w14:paraId="2F4983A3" w14:textId="1FE641E3" w:rsidR="004671A0" w:rsidRPr="004671A0" w:rsidRDefault="004671A0" w:rsidP="00712A0A">
      <w:pPr>
        <w:jc w:val="both"/>
        <w:rPr>
          <w:rFonts w:ascii="Garamond" w:hAnsi="Garamond"/>
        </w:rPr>
      </w:pPr>
      <w:r>
        <w:rPr>
          <w:rFonts w:ascii="Garamond" w:hAnsi="Garamond"/>
        </w:rPr>
        <w:t xml:space="preserve">The issue on </w:t>
      </w:r>
      <w:r w:rsidR="00BA601D">
        <w:rPr>
          <w:rFonts w:ascii="Garamond" w:hAnsi="Garamond"/>
        </w:rPr>
        <w:t xml:space="preserve">the </w:t>
      </w:r>
      <w:r>
        <w:rPr>
          <w:rFonts w:ascii="Garamond" w:hAnsi="Garamond"/>
        </w:rPr>
        <w:t>appeal is whether the promise to provide a community fund donation qualifies as a “material consideration” for the purposes of section 70(2) of the Town and Country Planning Act 1990 as amended (the “</w:t>
      </w:r>
      <w:r w:rsidRPr="00A24BD0">
        <w:rPr>
          <w:rFonts w:ascii="Garamond" w:hAnsi="Garamond"/>
        </w:rPr>
        <w:t>1990 Act</w:t>
      </w:r>
      <w:r>
        <w:rPr>
          <w:rFonts w:ascii="Garamond" w:hAnsi="Garamond"/>
        </w:rPr>
        <w:t>”) and section 38(6) of the Planning and Compulsory Purchase Act 2004 (the “</w:t>
      </w:r>
      <w:r w:rsidRPr="00A24BD0">
        <w:rPr>
          <w:rFonts w:ascii="Garamond" w:hAnsi="Garamond"/>
        </w:rPr>
        <w:t>2004 Act</w:t>
      </w:r>
      <w:r>
        <w:rPr>
          <w:rFonts w:ascii="Garamond" w:hAnsi="Garamond"/>
        </w:rPr>
        <w:t>”).</w:t>
      </w:r>
    </w:p>
    <w:p w14:paraId="66C3F1B5" w14:textId="77777777" w:rsidR="00CC0E89" w:rsidRPr="0044315A" w:rsidRDefault="00CC0E89" w:rsidP="00712A0A">
      <w:pPr>
        <w:jc w:val="both"/>
        <w:rPr>
          <w:rFonts w:ascii="Garamond" w:hAnsi="Garamond"/>
        </w:rPr>
      </w:pPr>
    </w:p>
    <w:p w14:paraId="061CA697" w14:textId="77777777" w:rsidR="00A16C02" w:rsidRDefault="00A16C02" w:rsidP="00712A0A">
      <w:pPr>
        <w:jc w:val="both"/>
        <w:rPr>
          <w:rFonts w:ascii="Garamond" w:hAnsi="Garamond"/>
          <w:b/>
        </w:rPr>
      </w:pPr>
      <w:r>
        <w:rPr>
          <w:rFonts w:ascii="Garamond" w:hAnsi="Garamond"/>
          <w:b/>
        </w:rPr>
        <w:t>JUDGMENT</w:t>
      </w:r>
    </w:p>
    <w:p w14:paraId="142FAFAC" w14:textId="77777777" w:rsidR="00A16C02" w:rsidRDefault="00A16C02" w:rsidP="00712A0A">
      <w:pPr>
        <w:jc w:val="both"/>
        <w:rPr>
          <w:rFonts w:ascii="Garamond" w:hAnsi="Garamond"/>
          <w:b/>
        </w:rPr>
      </w:pPr>
    </w:p>
    <w:p w14:paraId="4E7DC8C6" w14:textId="06D71590" w:rsidR="00647FCA" w:rsidRPr="003E695C" w:rsidRDefault="00A33577" w:rsidP="00712A0A">
      <w:pPr>
        <w:jc w:val="both"/>
        <w:rPr>
          <w:rFonts w:ascii="Garamond" w:hAnsi="Garamond"/>
        </w:rPr>
      </w:pPr>
      <w:r>
        <w:rPr>
          <w:rFonts w:ascii="Garamond" w:hAnsi="Garamond"/>
        </w:rPr>
        <w:t xml:space="preserve">The Supreme Court </w:t>
      </w:r>
      <w:r w:rsidR="00F12CAF">
        <w:rPr>
          <w:rFonts w:ascii="Garamond" w:hAnsi="Garamond"/>
        </w:rPr>
        <w:t xml:space="preserve">unanimously </w:t>
      </w:r>
      <w:r w:rsidR="00456127">
        <w:rPr>
          <w:rFonts w:ascii="Garamond" w:hAnsi="Garamond"/>
        </w:rPr>
        <w:t>dismisses</w:t>
      </w:r>
      <w:r w:rsidR="00937F9E">
        <w:rPr>
          <w:rFonts w:ascii="Garamond" w:hAnsi="Garamond"/>
        </w:rPr>
        <w:t xml:space="preserve"> the appeal</w:t>
      </w:r>
      <w:r w:rsidR="0025011D">
        <w:rPr>
          <w:rFonts w:ascii="Garamond" w:hAnsi="Garamond"/>
        </w:rPr>
        <w:t>.</w:t>
      </w:r>
      <w:r w:rsidR="00572BB2">
        <w:rPr>
          <w:rFonts w:ascii="Garamond" w:hAnsi="Garamond"/>
        </w:rPr>
        <w:t xml:space="preserve"> Lord </w:t>
      </w:r>
      <w:r w:rsidR="00456127">
        <w:rPr>
          <w:rFonts w:ascii="Garamond" w:hAnsi="Garamond"/>
        </w:rPr>
        <w:t>Sales</w:t>
      </w:r>
      <w:r w:rsidR="00572BB2">
        <w:rPr>
          <w:rFonts w:ascii="Garamond" w:hAnsi="Garamond"/>
        </w:rPr>
        <w:t xml:space="preserve"> </w:t>
      </w:r>
      <w:r w:rsidR="00456127">
        <w:rPr>
          <w:rFonts w:ascii="Garamond" w:hAnsi="Garamond"/>
        </w:rPr>
        <w:t>gives</w:t>
      </w:r>
      <w:r w:rsidR="00E60AF2">
        <w:rPr>
          <w:rFonts w:ascii="Garamond" w:hAnsi="Garamond"/>
        </w:rPr>
        <w:t xml:space="preserve"> the judgment, with </w:t>
      </w:r>
      <w:r w:rsidR="004B04E1">
        <w:rPr>
          <w:rFonts w:ascii="Garamond" w:hAnsi="Garamond"/>
        </w:rPr>
        <w:t>which</w:t>
      </w:r>
      <w:r w:rsidR="00E60AF2">
        <w:rPr>
          <w:rFonts w:ascii="Garamond" w:hAnsi="Garamond"/>
        </w:rPr>
        <w:t xml:space="preserve"> all members of the Court agree.</w:t>
      </w:r>
    </w:p>
    <w:p w14:paraId="4A8C2F0B" w14:textId="77777777" w:rsidR="00FA3D1D" w:rsidRDefault="00FA3D1D" w:rsidP="00712A0A">
      <w:pPr>
        <w:jc w:val="both"/>
        <w:rPr>
          <w:rFonts w:ascii="Garamond" w:hAnsi="Garamond"/>
          <w:b/>
        </w:rPr>
      </w:pPr>
    </w:p>
    <w:p w14:paraId="7EF58E09" w14:textId="77777777" w:rsidR="00A16C02" w:rsidRDefault="00A16C02" w:rsidP="0017345B">
      <w:pPr>
        <w:keepNext/>
        <w:jc w:val="both"/>
        <w:rPr>
          <w:rFonts w:ascii="Garamond" w:hAnsi="Garamond"/>
          <w:b/>
        </w:rPr>
      </w:pPr>
      <w:r w:rsidRPr="00A30FCD">
        <w:rPr>
          <w:rFonts w:ascii="Garamond" w:hAnsi="Garamond"/>
          <w:b/>
        </w:rPr>
        <w:t>REASONS FOR THE JUDGMENT</w:t>
      </w:r>
    </w:p>
    <w:p w14:paraId="2D56F5B1" w14:textId="4AA9DC11" w:rsidR="00A16C02" w:rsidRDefault="00A16C02" w:rsidP="0017345B">
      <w:pPr>
        <w:keepNext/>
        <w:jc w:val="both"/>
        <w:rPr>
          <w:rFonts w:ascii="Garamond" w:hAnsi="Garamond"/>
          <w:b/>
        </w:rPr>
      </w:pPr>
    </w:p>
    <w:p w14:paraId="0FF559AB" w14:textId="3C03FE41" w:rsidR="005812CC" w:rsidRDefault="00BD5724" w:rsidP="00712A0A">
      <w:pPr>
        <w:jc w:val="both"/>
        <w:rPr>
          <w:rFonts w:ascii="Garamond" w:hAnsi="Garamond"/>
          <w:bCs/>
        </w:rPr>
      </w:pPr>
      <w:r>
        <w:rPr>
          <w:rFonts w:ascii="Garamond" w:hAnsi="Garamond"/>
          <w:bCs/>
        </w:rPr>
        <w:t xml:space="preserve">Planning permission is required for development of land, which </w:t>
      </w:r>
      <w:r w:rsidR="00CC16EF">
        <w:rPr>
          <w:rFonts w:ascii="Garamond" w:hAnsi="Garamond"/>
          <w:bCs/>
        </w:rPr>
        <w:t>includes</w:t>
      </w:r>
      <w:r>
        <w:rPr>
          <w:rFonts w:ascii="Garamond" w:hAnsi="Garamond"/>
          <w:bCs/>
        </w:rPr>
        <w:t xml:space="preserve"> the making of any material change in </w:t>
      </w:r>
      <w:r w:rsidR="00D9494D">
        <w:rPr>
          <w:rFonts w:ascii="Garamond" w:hAnsi="Garamond"/>
          <w:bCs/>
        </w:rPr>
        <w:t xml:space="preserve">use (sections 57(1) and 55(1) of the 1990 Act). The planning authority must have regard </w:t>
      </w:r>
      <w:r w:rsidR="00DD775A">
        <w:rPr>
          <w:rFonts w:ascii="Garamond" w:hAnsi="Garamond"/>
          <w:bCs/>
        </w:rPr>
        <w:t>to the development plan and any other considerations material to the proposed change of use</w:t>
      </w:r>
      <w:r w:rsidR="005B29D6">
        <w:rPr>
          <w:rFonts w:ascii="Garamond" w:hAnsi="Garamond"/>
          <w:bCs/>
        </w:rPr>
        <w:t xml:space="preserve"> (section 70(2) of the 1990 Act and section 38(6) of the 2004 Act) </w:t>
      </w:r>
      <w:r w:rsidR="005B29D6">
        <w:rPr>
          <w:rFonts w:ascii="Garamond" w:hAnsi="Garamond"/>
          <w:b/>
        </w:rPr>
        <w:t>[31]</w:t>
      </w:r>
      <w:r w:rsidR="005B29D6">
        <w:rPr>
          <w:rFonts w:ascii="Garamond" w:hAnsi="Garamond"/>
          <w:bCs/>
        </w:rPr>
        <w:t>.</w:t>
      </w:r>
    </w:p>
    <w:p w14:paraId="1012A12E" w14:textId="35BE0BE6" w:rsidR="002720EE" w:rsidRDefault="002720EE" w:rsidP="00712A0A">
      <w:pPr>
        <w:jc w:val="both"/>
        <w:rPr>
          <w:rFonts w:ascii="Garamond" w:hAnsi="Garamond"/>
          <w:bCs/>
        </w:rPr>
      </w:pPr>
    </w:p>
    <w:p w14:paraId="0E7C6E71" w14:textId="77777777" w:rsidR="00A56E26" w:rsidRDefault="00A56E26" w:rsidP="00712A0A">
      <w:pPr>
        <w:jc w:val="both"/>
        <w:rPr>
          <w:rFonts w:ascii="Garamond" w:hAnsi="Garamond"/>
          <w:bCs/>
        </w:rPr>
      </w:pPr>
    </w:p>
    <w:p w14:paraId="2B2C7575" w14:textId="77777777" w:rsidR="00A56E26" w:rsidRDefault="00A56E26" w:rsidP="00712A0A">
      <w:pPr>
        <w:jc w:val="both"/>
        <w:rPr>
          <w:rFonts w:ascii="Garamond" w:hAnsi="Garamond"/>
          <w:bCs/>
        </w:rPr>
      </w:pPr>
    </w:p>
    <w:p w14:paraId="7704A629" w14:textId="77777777" w:rsidR="00A56E26" w:rsidRDefault="00A56E26" w:rsidP="00712A0A">
      <w:pPr>
        <w:jc w:val="both"/>
        <w:rPr>
          <w:rFonts w:ascii="Garamond" w:hAnsi="Garamond"/>
          <w:bCs/>
        </w:rPr>
      </w:pPr>
    </w:p>
    <w:p w14:paraId="56DB3FA5" w14:textId="63A2C8F7" w:rsidR="002720EE" w:rsidRPr="00A825BE" w:rsidRDefault="001C58E1" w:rsidP="00712A0A">
      <w:pPr>
        <w:jc w:val="both"/>
        <w:rPr>
          <w:rFonts w:ascii="Garamond" w:hAnsi="Garamond"/>
          <w:bCs/>
        </w:rPr>
      </w:pPr>
      <w:bookmarkStart w:id="0" w:name="_GoBack"/>
      <w:bookmarkEnd w:id="0"/>
      <w:r>
        <w:rPr>
          <w:rFonts w:ascii="Garamond" w:hAnsi="Garamond"/>
          <w:bCs/>
        </w:rPr>
        <w:t>A three-fold test</w:t>
      </w:r>
      <w:r w:rsidR="00FC436D">
        <w:rPr>
          <w:rFonts w:ascii="Garamond" w:hAnsi="Garamond"/>
          <w:bCs/>
        </w:rPr>
        <w:t xml:space="preserve"> for “material </w:t>
      </w:r>
      <w:r w:rsidR="006C3102">
        <w:rPr>
          <w:rFonts w:ascii="Garamond" w:hAnsi="Garamond"/>
          <w:bCs/>
        </w:rPr>
        <w:t>considerations</w:t>
      </w:r>
      <w:r w:rsidR="00FC436D">
        <w:rPr>
          <w:rFonts w:ascii="Garamond" w:hAnsi="Garamond"/>
          <w:bCs/>
        </w:rPr>
        <w:t xml:space="preserve">” </w:t>
      </w:r>
      <w:r w:rsidR="001B1047">
        <w:rPr>
          <w:rFonts w:ascii="Garamond" w:hAnsi="Garamond"/>
          <w:bCs/>
        </w:rPr>
        <w:t>is found</w:t>
      </w:r>
      <w:r w:rsidR="00FC436D">
        <w:rPr>
          <w:rFonts w:ascii="Garamond" w:hAnsi="Garamond"/>
          <w:bCs/>
        </w:rPr>
        <w:t xml:space="preserve"> </w:t>
      </w:r>
      <w:r w:rsidR="006F1F8B">
        <w:rPr>
          <w:rFonts w:ascii="Garamond" w:hAnsi="Garamond"/>
          <w:bCs/>
        </w:rPr>
        <w:t xml:space="preserve">in </w:t>
      </w:r>
      <w:r w:rsidR="006F1F8B">
        <w:rPr>
          <w:rFonts w:ascii="Garamond" w:hAnsi="Garamond"/>
          <w:bCs/>
          <w:i/>
          <w:iCs/>
        </w:rPr>
        <w:t xml:space="preserve">Newbury District Council v Secretary of State for the Environment </w:t>
      </w:r>
      <w:r w:rsidR="006F1F8B">
        <w:rPr>
          <w:rFonts w:ascii="Garamond" w:hAnsi="Garamond"/>
          <w:bCs/>
        </w:rPr>
        <w:t>[1981] AC 578 (“</w:t>
      </w:r>
      <w:r w:rsidR="006F1F8B" w:rsidRPr="002F1D15">
        <w:rPr>
          <w:rFonts w:ascii="Garamond" w:hAnsi="Garamond"/>
          <w:bCs/>
          <w:i/>
          <w:iCs/>
        </w:rPr>
        <w:t>Newbury</w:t>
      </w:r>
      <w:r w:rsidR="006F1F8B">
        <w:rPr>
          <w:rFonts w:ascii="Garamond" w:hAnsi="Garamond"/>
          <w:bCs/>
        </w:rPr>
        <w:t>”)</w:t>
      </w:r>
      <w:r>
        <w:rPr>
          <w:rFonts w:ascii="Garamond" w:hAnsi="Garamond"/>
          <w:bCs/>
        </w:rPr>
        <w:t xml:space="preserve">. This </w:t>
      </w:r>
      <w:r w:rsidR="00594C6F">
        <w:rPr>
          <w:rFonts w:ascii="Garamond" w:hAnsi="Garamond"/>
          <w:bCs/>
        </w:rPr>
        <w:t>require</w:t>
      </w:r>
      <w:r w:rsidR="007A5E64">
        <w:rPr>
          <w:rFonts w:ascii="Garamond" w:hAnsi="Garamond"/>
          <w:bCs/>
        </w:rPr>
        <w:t>s</w:t>
      </w:r>
      <w:r w:rsidR="00594C6F">
        <w:rPr>
          <w:rFonts w:ascii="Garamond" w:hAnsi="Garamond"/>
          <w:bCs/>
        </w:rPr>
        <w:t xml:space="preserve"> that the conditions imposed: (1)</w:t>
      </w:r>
      <w:r w:rsidR="00AC6429">
        <w:rPr>
          <w:rFonts w:ascii="Garamond" w:hAnsi="Garamond"/>
          <w:bCs/>
        </w:rPr>
        <w:t xml:space="preserve"> be</w:t>
      </w:r>
      <w:r w:rsidR="00594C6F">
        <w:rPr>
          <w:rFonts w:ascii="Garamond" w:hAnsi="Garamond"/>
          <w:bCs/>
        </w:rPr>
        <w:t xml:space="preserve"> for a planning purpose</w:t>
      </w:r>
      <w:r w:rsidR="00AC6429">
        <w:rPr>
          <w:rFonts w:ascii="Garamond" w:hAnsi="Garamond"/>
          <w:bCs/>
        </w:rPr>
        <w:t xml:space="preserve"> and not for any ulterior purpose; (2) fairly and reasonably relate to the development; and (3) must not be so unreasonable that no reasonable planning authority could have imposed them </w:t>
      </w:r>
      <w:r w:rsidR="00AC6429">
        <w:rPr>
          <w:rFonts w:ascii="Garamond" w:hAnsi="Garamond"/>
          <w:b/>
        </w:rPr>
        <w:t>[32-</w:t>
      </w:r>
      <w:r w:rsidR="006526BE">
        <w:rPr>
          <w:rFonts w:ascii="Garamond" w:hAnsi="Garamond"/>
          <w:b/>
        </w:rPr>
        <w:t>33]</w:t>
      </w:r>
      <w:r w:rsidR="007401B5">
        <w:rPr>
          <w:rFonts w:ascii="Garamond" w:hAnsi="Garamond"/>
          <w:bCs/>
        </w:rPr>
        <w:t xml:space="preserve">. </w:t>
      </w:r>
      <w:r w:rsidR="0059544C">
        <w:rPr>
          <w:rFonts w:ascii="Garamond" w:hAnsi="Garamond"/>
          <w:bCs/>
        </w:rPr>
        <w:t xml:space="preserve">It is logical to equate the ambit of “material </w:t>
      </w:r>
      <w:r w:rsidR="006C3102">
        <w:rPr>
          <w:rFonts w:ascii="Garamond" w:hAnsi="Garamond"/>
          <w:bCs/>
        </w:rPr>
        <w:t>considerations</w:t>
      </w:r>
      <w:r w:rsidR="0059544C">
        <w:rPr>
          <w:rFonts w:ascii="Garamond" w:hAnsi="Garamond"/>
          <w:bCs/>
        </w:rPr>
        <w:t>” with the scope of the power to impose planning conditions</w:t>
      </w:r>
      <w:r w:rsidR="00227560">
        <w:rPr>
          <w:rFonts w:ascii="Garamond" w:hAnsi="Garamond"/>
          <w:bCs/>
        </w:rPr>
        <w:t>,</w:t>
      </w:r>
      <w:r w:rsidR="0059544C">
        <w:rPr>
          <w:rFonts w:ascii="Garamond" w:hAnsi="Garamond"/>
          <w:bCs/>
        </w:rPr>
        <w:t xml:space="preserve"> because </w:t>
      </w:r>
      <w:r w:rsidR="00304096">
        <w:rPr>
          <w:rFonts w:ascii="Garamond" w:hAnsi="Garamond"/>
          <w:bCs/>
        </w:rPr>
        <w:t xml:space="preserve">if the planning authority has the power to impose a condition it follows that it could treat the imposition of that condition as a material factor in favour of granting permission. The relevance of the </w:t>
      </w:r>
      <w:r w:rsidR="00304096">
        <w:rPr>
          <w:rFonts w:ascii="Garamond" w:hAnsi="Garamond"/>
          <w:bCs/>
          <w:i/>
          <w:iCs/>
        </w:rPr>
        <w:t>Newbury</w:t>
      </w:r>
      <w:r w:rsidR="00304096">
        <w:rPr>
          <w:rFonts w:ascii="Garamond" w:hAnsi="Garamond"/>
          <w:bCs/>
        </w:rPr>
        <w:t xml:space="preserve"> criteria to determine the ambit of “material </w:t>
      </w:r>
      <w:r w:rsidR="006C3102">
        <w:rPr>
          <w:rFonts w:ascii="Garamond" w:hAnsi="Garamond"/>
          <w:bCs/>
        </w:rPr>
        <w:t>considerations</w:t>
      </w:r>
      <w:r w:rsidR="00304096">
        <w:rPr>
          <w:rFonts w:ascii="Garamond" w:hAnsi="Garamond"/>
          <w:bCs/>
        </w:rPr>
        <w:t xml:space="preserve">” in </w:t>
      </w:r>
      <w:r w:rsidR="00A825BE">
        <w:rPr>
          <w:rFonts w:ascii="Garamond" w:hAnsi="Garamond"/>
          <w:bCs/>
        </w:rPr>
        <w:t xml:space="preserve">the 1990 and 2004 Acts </w:t>
      </w:r>
      <w:r w:rsidR="005F0EF7">
        <w:rPr>
          <w:rFonts w:ascii="Garamond" w:hAnsi="Garamond"/>
          <w:bCs/>
        </w:rPr>
        <w:t xml:space="preserve">is well established and </w:t>
      </w:r>
      <w:r w:rsidR="001E790B">
        <w:rPr>
          <w:rFonts w:ascii="Garamond" w:hAnsi="Garamond"/>
          <w:bCs/>
        </w:rPr>
        <w:t xml:space="preserve">is </w:t>
      </w:r>
      <w:r w:rsidR="005F0EF7">
        <w:rPr>
          <w:rFonts w:ascii="Garamond" w:hAnsi="Garamond"/>
          <w:bCs/>
        </w:rPr>
        <w:t xml:space="preserve">not in contention on this appeal </w:t>
      </w:r>
      <w:r w:rsidR="00A825BE">
        <w:rPr>
          <w:rFonts w:ascii="Garamond" w:hAnsi="Garamond"/>
          <w:b/>
        </w:rPr>
        <w:t>[34]</w:t>
      </w:r>
      <w:r w:rsidR="00A825BE">
        <w:rPr>
          <w:rFonts w:ascii="Garamond" w:hAnsi="Garamond"/>
          <w:bCs/>
        </w:rPr>
        <w:t>.</w:t>
      </w:r>
    </w:p>
    <w:p w14:paraId="4A5D842B" w14:textId="00A44FCC" w:rsidR="009D71A1" w:rsidRDefault="009D71A1" w:rsidP="00712A0A">
      <w:pPr>
        <w:jc w:val="both"/>
        <w:rPr>
          <w:rFonts w:ascii="Garamond" w:hAnsi="Garamond"/>
          <w:bCs/>
        </w:rPr>
      </w:pPr>
    </w:p>
    <w:p w14:paraId="28A4AAB1" w14:textId="324BCC5C" w:rsidR="009D71A1" w:rsidRDefault="00835F34" w:rsidP="009D71A1">
      <w:pPr>
        <w:jc w:val="both"/>
        <w:rPr>
          <w:rFonts w:ascii="Garamond" w:hAnsi="Garamond"/>
          <w:bCs/>
        </w:rPr>
      </w:pPr>
      <w:r>
        <w:rPr>
          <w:rFonts w:ascii="Garamond" w:hAnsi="Garamond"/>
          <w:bCs/>
        </w:rPr>
        <w:t xml:space="preserve">It is a fundamental principle of the planning system that planning permission </w:t>
      </w:r>
      <w:r w:rsidR="00FD3DE5">
        <w:rPr>
          <w:rFonts w:ascii="Garamond" w:hAnsi="Garamond"/>
          <w:bCs/>
        </w:rPr>
        <w:t xml:space="preserve">cannot be bought or sold. </w:t>
      </w:r>
      <w:r w:rsidR="009D71A1">
        <w:rPr>
          <w:rFonts w:ascii="Garamond" w:hAnsi="Garamond"/>
          <w:bCs/>
        </w:rPr>
        <w:t xml:space="preserve">A principled approach to identifying material considerations in line with the </w:t>
      </w:r>
      <w:r w:rsidR="009D71A1">
        <w:rPr>
          <w:rFonts w:ascii="Garamond" w:hAnsi="Garamond"/>
          <w:bCs/>
          <w:i/>
          <w:iCs/>
        </w:rPr>
        <w:t>Newbury</w:t>
      </w:r>
      <w:r w:rsidR="009D71A1">
        <w:rPr>
          <w:rFonts w:ascii="Garamond" w:hAnsi="Garamond"/>
          <w:bCs/>
        </w:rPr>
        <w:t xml:space="preserve"> criteria is important to protect landowners and the public interest, since it prevents a planning authority from extracting money or other benefits</w:t>
      </w:r>
      <w:r w:rsidR="004566C2">
        <w:rPr>
          <w:rFonts w:ascii="Garamond" w:hAnsi="Garamond"/>
          <w:bCs/>
        </w:rPr>
        <w:t xml:space="preserve"> unrelated to the proposed use of the land</w:t>
      </w:r>
      <w:r w:rsidR="0031540A">
        <w:rPr>
          <w:rFonts w:ascii="Garamond" w:hAnsi="Garamond"/>
          <w:bCs/>
        </w:rPr>
        <w:t xml:space="preserve"> as a condition for granting permission</w:t>
      </w:r>
      <w:r w:rsidR="0099253E">
        <w:rPr>
          <w:rFonts w:ascii="Garamond" w:hAnsi="Garamond"/>
          <w:bCs/>
        </w:rPr>
        <w:t xml:space="preserve"> and from deciding whether to grant permission by reference to such matters rather than by reference to the </w:t>
      </w:r>
      <w:r w:rsidR="007B0B66">
        <w:rPr>
          <w:rFonts w:ascii="Garamond" w:hAnsi="Garamond"/>
          <w:bCs/>
        </w:rPr>
        <w:t>planning merits of the proposed development in issue</w:t>
      </w:r>
      <w:r w:rsidR="004566C2">
        <w:rPr>
          <w:rFonts w:ascii="Garamond" w:hAnsi="Garamond"/>
          <w:bCs/>
        </w:rPr>
        <w:t xml:space="preserve"> </w:t>
      </w:r>
      <w:r w:rsidR="004566C2">
        <w:rPr>
          <w:rFonts w:ascii="Garamond" w:hAnsi="Garamond"/>
          <w:b/>
        </w:rPr>
        <w:t>[39]</w:t>
      </w:r>
      <w:r w:rsidR="004566C2">
        <w:rPr>
          <w:rFonts w:ascii="Garamond" w:hAnsi="Garamond"/>
          <w:bCs/>
        </w:rPr>
        <w:t>.</w:t>
      </w:r>
      <w:r w:rsidR="009D71A1">
        <w:rPr>
          <w:rFonts w:ascii="Garamond" w:hAnsi="Garamond"/>
          <w:bCs/>
        </w:rPr>
        <w:t xml:space="preserve"> </w:t>
      </w:r>
      <w:r w:rsidR="00B578FA">
        <w:rPr>
          <w:rFonts w:ascii="Garamond" w:hAnsi="Garamond"/>
          <w:bCs/>
        </w:rPr>
        <w:t xml:space="preserve">This protection has been established by Parliament through statute, as interpreted by the courts, and cannot be </w:t>
      </w:r>
      <w:r w:rsidR="00E22C24">
        <w:rPr>
          <w:rFonts w:ascii="Garamond" w:hAnsi="Garamond"/>
          <w:bCs/>
        </w:rPr>
        <w:t>overridden by general policies laid down by central government</w:t>
      </w:r>
      <w:r w:rsidR="009F0F5C">
        <w:rPr>
          <w:rFonts w:ascii="Garamond" w:hAnsi="Garamond"/>
          <w:bCs/>
        </w:rPr>
        <w:t xml:space="preserve"> </w:t>
      </w:r>
      <w:r w:rsidR="009F0F5C">
        <w:rPr>
          <w:rFonts w:ascii="Garamond" w:hAnsi="Garamond"/>
          <w:b/>
        </w:rPr>
        <w:t>[42]</w:t>
      </w:r>
      <w:r w:rsidR="009F0F5C">
        <w:rPr>
          <w:rFonts w:ascii="Garamond" w:hAnsi="Garamond"/>
          <w:bCs/>
        </w:rPr>
        <w:t xml:space="preserve">. </w:t>
      </w:r>
    </w:p>
    <w:p w14:paraId="4BE3E46F" w14:textId="00BF5723" w:rsidR="00FE1FEF" w:rsidRDefault="00FE1FEF" w:rsidP="009D71A1">
      <w:pPr>
        <w:jc w:val="both"/>
        <w:rPr>
          <w:rFonts w:ascii="Garamond" w:hAnsi="Garamond"/>
          <w:bCs/>
        </w:rPr>
      </w:pPr>
    </w:p>
    <w:p w14:paraId="477E80E7" w14:textId="259CC31F" w:rsidR="00FE1FEF" w:rsidRPr="004E1CBE" w:rsidRDefault="00FE1FEF" w:rsidP="009D71A1">
      <w:pPr>
        <w:jc w:val="both"/>
        <w:rPr>
          <w:rFonts w:ascii="Garamond" w:hAnsi="Garamond"/>
          <w:bCs/>
        </w:rPr>
      </w:pPr>
      <w:r>
        <w:rPr>
          <w:rFonts w:ascii="Garamond" w:hAnsi="Garamond"/>
          <w:bCs/>
        </w:rPr>
        <w:t xml:space="preserve">In the present case, the community benefits promised by Resilient did not satisfy the </w:t>
      </w:r>
      <w:r>
        <w:rPr>
          <w:rFonts w:ascii="Garamond" w:hAnsi="Garamond"/>
          <w:bCs/>
          <w:i/>
          <w:iCs/>
        </w:rPr>
        <w:t>Newbury</w:t>
      </w:r>
      <w:r>
        <w:rPr>
          <w:rFonts w:ascii="Garamond" w:hAnsi="Garamond"/>
          <w:bCs/>
        </w:rPr>
        <w:t xml:space="preserve"> criteria and therefore did not qualify as a material consideration </w:t>
      </w:r>
      <w:r w:rsidR="008A3990">
        <w:rPr>
          <w:rFonts w:ascii="Garamond" w:hAnsi="Garamond"/>
          <w:bCs/>
        </w:rPr>
        <w:t>under</w:t>
      </w:r>
      <w:r>
        <w:rPr>
          <w:rFonts w:ascii="Garamond" w:hAnsi="Garamond"/>
          <w:bCs/>
        </w:rPr>
        <w:t xml:space="preserve"> either the 1990 or the 2004 Act.</w:t>
      </w:r>
      <w:r w:rsidR="007C6D69">
        <w:rPr>
          <w:rFonts w:ascii="Garamond" w:hAnsi="Garamond"/>
          <w:bCs/>
        </w:rPr>
        <w:t xml:space="preserve"> The benefits were not proposed to pursue a proper planning purpose</w:t>
      </w:r>
      <w:r w:rsidR="00A615EE">
        <w:rPr>
          <w:rFonts w:ascii="Garamond" w:hAnsi="Garamond"/>
          <w:bCs/>
        </w:rPr>
        <w:t>,</w:t>
      </w:r>
      <w:r w:rsidR="007C6D69">
        <w:rPr>
          <w:rFonts w:ascii="Garamond" w:hAnsi="Garamond"/>
          <w:bCs/>
        </w:rPr>
        <w:t xml:space="preserve"> but rather for the ulterior purpose of providing general benefits to the community. They did not fairly and reasonably relate to the development for which permission was sought</w:t>
      </w:r>
      <w:r w:rsidR="00607842">
        <w:rPr>
          <w:rFonts w:ascii="Garamond" w:hAnsi="Garamond"/>
          <w:bCs/>
        </w:rPr>
        <w:t>; the community benefits did not affect the use of the land but were instead proffered as a general inducement to the Council to grant planning permission</w:t>
      </w:r>
      <w:r w:rsidR="00C629D8">
        <w:rPr>
          <w:rFonts w:ascii="Garamond" w:hAnsi="Garamond"/>
          <w:bCs/>
        </w:rPr>
        <w:t>,</w:t>
      </w:r>
      <w:r w:rsidR="004E1CBE">
        <w:rPr>
          <w:rFonts w:ascii="Garamond" w:hAnsi="Garamond"/>
          <w:bCs/>
        </w:rPr>
        <w:t xml:space="preserve"> </w:t>
      </w:r>
      <w:r w:rsidR="004F4D57">
        <w:rPr>
          <w:rFonts w:ascii="Garamond" w:hAnsi="Garamond"/>
          <w:bCs/>
        </w:rPr>
        <w:t>in breach of the principle that planning permission</w:t>
      </w:r>
      <w:r w:rsidR="00C629D8">
        <w:rPr>
          <w:rFonts w:ascii="Garamond" w:hAnsi="Garamond"/>
          <w:bCs/>
        </w:rPr>
        <w:t xml:space="preserve"> cannot be bought or sold </w:t>
      </w:r>
      <w:r w:rsidR="004E1CBE">
        <w:rPr>
          <w:rFonts w:ascii="Garamond" w:hAnsi="Garamond"/>
          <w:b/>
        </w:rPr>
        <w:t>[44]</w:t>
      </w:r>
      <w:r w:rsidR="004E1CBE">
        <w:rPr>
          <w:rFonts w:ascii="Garamond" w:hAnsi="Garamond"/>
          <w:bCs/>
        </w:rPr>
        <w:t>.</w:t>
      </w:r>
    </w:p>
    <w:p w14:paraId="538AC0C0" w14:textId="77777777" w:rsidR="00B57604" w:rsidRDefault="00B57604" w:rsidP="00712A0A">
      <w:pPr>
        <w:jc w:val="both"/>
        <w:rPr>
          <w:rFonts w:ascii="Garamond" w:hAnsi="Garamond"/>
          <w:bCs/>
        </w:rPr>
      </w:pPr>
    </w:p>
    <w:p w14:paraId="3A960759" w14:textId="2BBAB6F5" w:rsidR="009D71A1" w:rsidRPr="00FB6A3D" w:rsidRDefault="00B57604" w:rsidP="00712A0A">
      <w:pPr>
        <w:jc w:val="both"/>
        <w:rPr>
          <w:rFonts w:ascii="Garamond" w:hAnsi="Garamond"/>
          <w:bCs/>
        </w:rPr>
      </w:pPr>
      <w:r>
        <w:rPr>
          <w:rFonts w:ascii="Garamond" w:hAnsi="Garamond"/>
          <w:bCs/>
        </w:rPr>
        <w:t xml:space="preserve">The statutory concept of a “material consideration” as interpreted by the courts does not vary according to government guidance and policy statements </w:t>
      </w:r>
      <w:r>
        <w:rPr>
          <w:rFonts w:ascii="Garamond" w:hAnsi="Garamond"/>
          <w:b/>
        </w:rPr>
        <w:t>[45-49]</w:t>
      </w:r>
      <w:r>
        <w:rPr>
          <w:rFonts w:ascii="Garamond" w:hAnsi="Garamond"/>
          <w:bCs/>
        </w:rPr>
        <w:t>.</w:t>
      </w:r>
      <w:r w:rsidR="00255561">
        <w:rPr>
          <w:rFonts w:ascii="Garamond" w:hAnsi="Garamond"/>
          <w:bCs/>
        </w:rPr>
        <w:t xml:space="preserve"> </w:t>
      </w:r>
      <w:r w:rsidR="009D3B45">
        <w:rPr>
          <w:rFonts w:ascii="Garamond" w:hAnsi="Garamond"/>
          <w:bCs/>
        </w:rPr>
        <w:t>On the other hand, a change</w:t>
      </w:r>
      <w:r w:rsidR="00255561">
        <w:rPr>
          <w:rFonts w:ascii="Garamond" w:hAnsi="Garamond"/>
          <w:bCs/>
        </w:rPr>
        <w:t xml:space="preserve"> in national policy can </w:t>
      </w:r>
      <w:r w:rsidR="003D59DA">
        <w:rPr>
          <w:rFonts w:ascii="Garamond" w:hAnsi="Garamond"/>
          <w:bCs/>
        </w:rPr>
        <w:t>a</w:t>
      </w:r>
      <w:r w:rsidR="009D3B45">
        <w:rPr>
          <w:rFonts w:ascii="Garamond" w:hAnsi="Garamond"/>
          <w:bCs/>
        </w:rPr>
        <w:t xml:space="preserve">ffect the </w:t>
      </w:r>
      <w:r w:rsidR="003A5502">
        <w:rPr>
          <w:rFonts w:ascii="Garamond" w:hAnsi="Garamond"/>
          <w:bCs/>
        </w:rPr>
        <w:t xml:space="preserve">issue of </w:t>
      </w:r>
      <w:r w:rsidR="003D59DA">
        <w:rPr>
          <w:rFonts w:ascii="Garamond" w:hAnsi="Garamond"/>
          <w:bCs/>
        </w:rPr>
        <w:t xml:space="preserve">whether a decision satisfies the third limb of the </w:t>
      </w:r>
      <w:r w:rsidR="003D59DA">
        <w:rPr>
          <w:rFonts w:ascii="Garamond" w:hAnsi="Garamond"/>
          <w:bCs/>
          <w:i/>
          <w:iCs/>
        </w:rPr>
        <w:t>Newbury</w:t>
      </w:r>
      <w:r w:rsidR="003D59DA">
        <w:rPr>
          <w:rFonts w:ascii="Garamond" w:hAnsi="Garamond"/>
          <w:bCs/>
        </w:rPr>
        <w:t xml:space="preserve"> test</w:t>
      </w:r>
      <w:r w:rsidR="003A5502">
        <w:rPr>
          <w:rFonts w:ascii="Garamond" w:hAnsi="Garamond"/>
          <w:bCs/>
        </w:rPr>
        <w:t>,</w:t>
      </w:r>
      <w:r w:rsidR="006F3FFF">
        <w:rPr>
          <w:rFonts w:ascii="Garamond" w:hAnsi="Garamond"/>
          <w:bCs/>
        </w:rPr>
        <w:t xml:space="preserve"> by making it clear that a reasonable local planning authority can </w:t>
      </w:r>
      <w:r w:rsidR="00FB6A3D">
        <w:rPr>
          <w:rFonts w:ascii="Garamond" w:hAnsi="Garamond"/>
          <w:bCs/>
        </w:rPr>
        <w:t>properly consider</w:t>
      </w:r>
      <w:r w:rsidR="00AA55A7">
        <w:rPr>
          <w:rFonts w:ascii="Garamond" w:hAnsi="Garamond"/>
          <w:bCs/>
        </w:rPr>
        <w:t xml:space="preserve"> that</w:t>
      </w:r>
      <w:r w:rsidR="00FB6A3D">
        <w:rPr>
          <w:rFonts w:ascii="Garamond" w:hAnsi="Garamond"/>
          <w:bCs/>
        </w:rPr>
        <w:t xml:space="preserve"> a particular condition</w:t>
      </w:r>
      <w:r w:rsidR="00F81A2B">
        <w:rPr>
          <w:rFonts w:ascii="Garamond" w:hAnsi="Garamond"/>
          <w:bCs/>
        </w:rPr>
        <w:t xml:space="preserve"> is</w:t>
      </w:r>
      <w:r w:rsidR="00FB6A3D">
        <w:rPr>
          <w:rFonts w:ascii="Garamond" w:hAnsi="Garamond"/>
          <w:bCs/>
        </w:rPr>
        <w:t xml:space="preserve"> justified </w:t>
      </w:r>
      <w:r w:rsidR="00AA55A7">
        <w:rPr>
          <w:rFonts w:ascii="Garamond" w:hAnsi="Garamond"/>
          <w:bCs/>
        </w:rPr>
        <w:t xml:space="preserve">in terms of planning policy </w:t>
      </w:r>
      <w:r w:rsidR="00FB6A3D">
        <w:rPr>
          <w:rFonts w:ascii="Garamond" w:hAnsi="Garamond"/>
          <w:b/>
        </w:rPr>
        <w:t>[53]</w:t>
      </w:r>
      <w:r w:rsidR="00FB6A3D">
        <w:rPr>
          <w:rFonts w:ascii="Garamond" w:hAnsi="Garamond"/>
          <w:bCs/>
        </w:rPr>
        <w:t>.</w:t>
      </w:r>
    </w:p>
    <w:p w14:paraId="7C1C5C0B" w14:textId="77777777" w:rsidR="009621B7" w:rsidRPr="009621B7" w:rsidRDefault="009621B7" w:rsidP="00647FCA">
      <w:pPr>
        <w:ind w:left="360"/>
        <w:rPr>
          <w:rFonts w:ascii="Garamond" w:hAnsi="Garamond"/>
          <w:b/>
          <w:u w:val="single"/>
        </w:rPr>
      </w:pPr>
    </w:p>
    <w:p w14:paraId="6703FC8B" w14:textId="77777777" w:rsidR="009621B7" w:rsidRPr="00566BC2" w:rsidRDefault="00566BC2" w:rsidP="009621B7">
      <w:pPr>
        <w:rPr>
          <w:rFonts w:ascii="Garamond" w:hAnsi="Garamond"/>
          <w:i/>
        </w:rPr>
      </w:pPr>
      <w:r w:rsidRPr="00566BC2">
        <w:rPr>
          <w:rFonts w:ascii="Garamond" w:hAnsi="Garamond"/>
          <w:i/>
        </w:rPr>
        <w:t>References in square brackets are to paragraphs in the judgment</w:t>
      </w:r>
    </w:p>
    <w:p w14:paraId="4F0BB342" w14:textId="77777777" w:rsidR="00FA3D1D" w:rsidRDefault="00FA3D1D" w:rsidP="009621B7">
      <w:pPr>
        <w:rPr>
          <w:rFonts w:ascii="Garamond" w:hAnsi="Garamond"/>
        </w:rPr>
      </w:pPr>
    </w:p>
    <w:p w14:paraId="0EE8B7C8" w14:textId="77777777" w:rsidR="00A16C02" w:rsidRPr="00775EE3" w:rsidRDefault="00A16C02" w:rsidP="009621B7">
      <w:pPr>
        <w:rPr>
          <w:rFonts w:ascii="Garamond" w:hAnsi="Garamond"/>
          <w:b/>
          <w:u w:val="single"/>
        </w:rPr>
      </w:pPr>
      <w:r w:rsidRPr="00775EE3">
        <w:rPr>
          <w:rFonts w:ascii="Garamond" w:hAnsi="Garamond"/>
          <w:b/>
          <w:u w:val="single"/>
        </w:rPr>
        <w:t>NOTE</w:t>
      </w:r>
    </w:p>
    <w:p w14:paraId="10DF2E1B" w14:textId="77777777" w:rsidR="00A16C02" w:rsidRPr="00775EE3" w:rsidRDefault="00A16C02" w:rsidP="000C2004">
      <w:pPr>
        <w:jc w:val="both"/>
        <w:rPr>
          <w:rFonts w:ascii="Garamond" w:hAnsi="Garamond"/>
          <w:b/>
        </w:rPr>
      </w:pPr>
      <w:r w:rsidRPr="00775EE3">
        <w:rPr>
          <w:rFonts w:ascii="Garamond" w:hAnsi="Garamond"/>
          <w:b/>
        </w:rPr>
        <w:t>This summary is provided to assist in understanding the Court’s decision.  It does not form part of the reasons for the decision.  The full judgment of the Court is the only</w:t>
      </w:r>
      <w:r w:rsidR="004B0054">
        <w:rPr>
          <w:rFonts w:ascii="Garamond" w:hAnsi="Garamond"/>
          <w:b/>
        </w:rPr>
        <w:t xml:space="preserve"> authoritative document.   Judg</w:t>
      </w:r>
      <w:r w:rsidRPr="00775EE3">
        <w:rPr>
          <w:rFonts w:ascii="Garamond" w:hAnsi="Garamond"/>
          <w:b/>
        </w:rPr>
        <w:t>ments are public documents and are available at:</w:t>
      </w:r>
    </w:p>
    <w:p w14:paraId="5CF868FF" w14:textId="77777777" w:rsidR="006D6D23" w:rsidRPr="006D6D23" w:rsidRDefault="00EE62F9" w:rsidP="000C2004">
      <w:pPr>
        <w:jc w:val="both"/>
        <w:rPr>
          <w:rFonts w:ascii="Garamond" w:hAnsi="Garamond"/>
        </w:rPr>
      </w:pPr>
      <w:hyperlink r:id="rId12" w:history="1">
        <w:r w:rsidR="00677EF9" w:rsidRPr="00D87E58">
          <w:rPr>
            <w:rStyle w:val="Hyperlink"/>
            <w:rFonts w:ascii="Garamond" w:hAnsi="Garamond"/>
          </w:rPr>
          <w:t>http://supre</w:t>
        </w:r>
        <w:r w:rsidR="00305E6A">
          <w:rPr>
            <w:rStyle w:val="Hyperlink"/>
            <w:rFonts w:ascii="Garamond" w:hAnsi="Garamond"/>
          </w:rPr>
          <w:t>mecourt.uk/decided-cases/index.</w:t>
        </w:r>
        <w:r w:rsidR="00677EF9" w:rsidRPr="00D87E58">
          <w:rPr>
            <w:rStyle w:val="Hyperlink"/>
            <w:rFonts w:ascii="Garamond" w:hAnsi="Garamond"/>
          </w:rPr>
          <w:t>html</w:t>
        </w:r>
      </w:hyperlink>
      <w:r w:rsidR="00677EF9">
        <w:rPr>
          <w:rFonts w:ascii="Garamond" w:hAnsi="Garamond"/>
        </w:rPr>
        <w:t xml:space="preserve"> </w:t>
      </w:r>
      <w:r w:rsidR="00B73D9F">
        <w:rPr>
          <w:rFonts w:ascii="Garamond" w:hAnsi="Garamond"/>
        </w:rPr>
        <w:t xml:space="preserve"> </w:t>
      </w:r>
      <w:r w:rsidR="004F156B">
        <w:rPr>
          <w:rFonts w:ascii="Garamond" w:hAnsi="Garamond"/>
        </w:rPr>
        <w:t xml:space="preserve">  </w:t>
      </w:r>
    </w:p>
    <w:sectPr w:rsidR="006D6D23" w:rsidRPr="006D6D23" w:rsidSect="00437284">
      <w:footerReference w:type="default" r:id="rId13"/>
      <w:pgSz w:w="11906" w:h="16838" w:code="9"/>
      <w:pgMar w:top="567" w:right="964" w:bottom="964" w:left="232" w:header="0" w:footer="0" w:gutter="113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FC61EC" w14:textId="77777777" w:rsidR="00AC0AB4" w:rsidRDefault="00AC0AB4">
      <w:r>
        <w:separator/>
      </w:r>
    </w:p>
  </w:endnote>
  <w:endnote w:type="continuationSeparator" w:id="0">
    <w:p w14:paraId="296ADF04" w14:textId="77777777" w:rsidR="00AC0AB4" w:rsidRDefault="00AC0A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Shaker 2 Regular">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9489DE" w14:textId="77777777" w:rsidR="00762D19" w:rsidRDefault="00762D19" w:rsidP="00ED05C2">
    <w:pPr>
      <w:pStyle w:val="Footer"/>
      <w:jc w:val="center"/>
      <w:rPr>
        <w:rFonts w:ascii="Shaker 2 Regular" w:hAnsi="Shaker 2 Regular"/>
        <w:b/>
        <w:sz w:val="20"/>
      </w:rPr>
    </w:pPr>
    <w:r w:rsidRPr="00821EB9">
      <w:rPr>
        <w:rFonts w:ascii="Shaker 2 Regular" w:hAnsi="Shaker 2 Regular"/>
        <w:b/>
        <w:sz w:val="20"/>
      </w:rPr>
      <w:t>The Supreme Court of the United Kingdom</w:t>
    </w:r>
  </w:p>
  <w:p w14:paraId="4679F9AB" w14:textId="77777777" w:rsidR="00762D19" w:rsidRPr="00821EB9" w:rsidRDefault="00762D19" w:rsidP="00ED05C2">
    <w:pPr>
      <w:pStyle w:val="Footer"/>
      <w:jc w:val="center"/>
      <w:rPr>
        <w:rFonts w:ascii="Shaker 2 Regular" w:hAnsi="Shaker 2 Regular"/>
        <w:sz w:val="20"/>
      </w:rPr>
    </w:pPr>
    <w:r w:rsidRPr="00821EB9">
      <w:rPr>
        <w:rFonts w:ascii="Shaker 2 Regular" w:hAnsi="Shaker 2 Regular"/>
        <w:b/>
        <w:sz w:val="20"/>
      </w:rPr>
      <w:t xml:space="preserve"> </w:t>
    </w:r>
    <w:r w:rsidRPr="00821EB9">
      <w:rPr>
        <w:rFonts w:ascii="Shaker 2 Regular" w:hAnsi="Shaker 2 Regular"/>
        <w:sz w:val="20"/>
      </w:rPr>
      <w:t xml:space="preserve">Parliament Square London SW1P 3BD </w:t>
    </w:r>
    <w:r w:rsidRPr="00821EB9">
      <w:rPr>
        <w:rFonts w:ascii="Shaker 2 Regular" w:hAnsi="Shaker 2 Regular"/>
        <w:b/>
        <w:sz w:val="20"/>
      </w:rPr>
      <w:t xml:space="preserve">T: </w:t>
    </w:r>
    <w:r>
      <w:rPr>
        <w:rFonts w:ascii="Shaker 2 Regular" w:hAnsi="Shaker 2 Regular"/>
        <w:sz w:val="20"/>
      </w:rPr>
      <w:t>020 7960 1886/1887</w:t>
    </w:r>
    <w:r w:rsidRPr="00821EB9">
      <w:rPr>
        <w:rFonts w:ascii="Shaker 2 Regular" w:hAnsi="Shaker 2 Regular"/>
        <w:sz w:val="20"/>
      </w:rPr>
      <w:t xml:space="preserve"> </w:t>
    </w:r>
    <w:r w:rsidRPr="00821EB9">
      <w:rPr>
        <w:rFonts w:ascii="Shaker 2 Regular" w:hAnsi="Shaker 2 Regular"/>
        <w:b/>
        <w:sz w:val="20"/>
      </w:rPr>
      <w:t xml:space="preserve">F: </w:t>
    </w:r>
    <w:r w:rsidRPr="00821EB9">
      <w:rPr>
        <w:rFonts w:ascii="Shaker 2 Regular" w:hAnsi="Shaker 2 Regular"/>
        <w:sz w:val="20"/>
      </w:rPr>
      <w:t xml:space="preserve">020 7960 1901 </w:t>
    </w:r>
    <w:r w:rsidRPr="00821EB9">
      <w:rPr>
        <w:rFonts w:ascii="Shaker 2 Regular" w:hAnsi="Shaker 2 Regular"/>
        <w:b/>
        <w:sz w:val="20"/>
      </w:rPr>
      <w:t>www.supremecourt.uk</w:t>
    </w:r>
  </w:p>
  <w:p w14:paraId="506BDDE0" w14:textId="77777777" w:rsidR="00762D19" w:rsidRDefault="00762D1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41D0DE" w14:textId="77777777" w:rsidR="00AC0AB4" w:rsidRDefault="00AC0AB4">
      <w:r>
        <w:separator/>
      </w:r>
    </w:p>
  </w:footnote>
  <w:footnote w:type="continuationSeparator" w:id="0">
    <w:p w14:paraId="68E41F54" w14:textId="77777777" w:rsidR="00AC0AB4" w:rsidRDefault="00AC0AB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23324F"/>
    <w:multiLevelType w:val="hybridMultilevel"/>
    <w:tmpl w:val="504ABBC2"/>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C457263"/>
    <w:multiLevelType w:val="hybridMultilevel"/>
    <w:tmpl w:val="3F5641F8"/>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307B1BE8"/>
    <w:multiLevelType w:val="hybridMultilevel"/>
    <w:tmpl w:val="8CEA5E36"/>
    <w:lvl w:ilvl="0" w:tplc="08090001">
      <w:start w:val="1"/>
      <w:numFmt w:val="bullet"/>
      <w:lvlText w:val=""/>
      <w:lvlJc w:val="left"/>
      <w:pPr>
        <w:tabs>
          <w:tab w:val="num" w:pos="720"/>
        </w:tabs>
        <w:ind w:left="720" w:hanging="360"/>
      </w:pPr>
      <w:rPr>
        <w:rFonts w:ascii="Symbol" w:hAnsi="Symbol" w:hint="default"/>
      </w:rPr>
    </w:lvl>
    <w:lvl w:ilvl="1" w:tplc="08090003">
      <w:start w:val="1"/>
      <w:numFmt w:val="decimal"/>
      <w:lvlText w:val="%2."/>
      <w:lvlJc w:val="left"/>
      <w:pPr>
        <w:tabs>
          <w:tab w:val="num" w:pos="1440"/>
        </w:tabs>
        <w:ind w:left="1440" w:hanging="360"/>
      </w:pPr>
    </w:lvl>
    <w:lvl w:ilvl="2" w:tplc="08090005">
      <w:start w:val="1"/>
      <w:numFmt w:val="decimal"/>
      <w:lvlText w:val="%3."/>
      <w:lvlJc w:val="left"/>
      <w:pPr>
        <w:tabs>
          <w:tab w:val="num" w:pos="2160"/>
        </w:tabs>
        <w:ind w:left="2160" w:hanging="360"/>
      </w:pPr>
    </w:lvl>
    <w:lvl w:ilvl="3" w:tplc="08090001">
      <w:start w:val="1"/>
      <w:numFmt w:val="decimal"/>
      <w:lvlText w:val="%4."/>
      <w:lvlJc w:val="left"/>
      <w:pPr>
        <w:tabs>
          <w:tab w:val="num" w:pos="2880"/>
        </w:tabs>
        <w:ind w:left="2880" w:hanging="360"/>
      </w:pPr>
    </w:lvl>
    <w:lvl w:ilvl="4" w:tplc="08090003">
      <w:start w:val="1"/>
      <w:numFmt w:val="decimal"/>
      <w:lvlText w:val="%5."/>
      <w:lvlJc w:val="left"/>
      <w:pPr>
        <w:tabs>
          <w:tab w:val="num" w:pos="3600"/>
        </w:tabs>
        <w:ind w:left="3600" w:hanging="360"/>
      </w:pPr>
    </w:lvl>
    <w:lvl w:ilvl="5" w:tplc="08090005">
      <w:start w:val="1"/>
      <w:numFmt w:val="decimal"/>
      <w:lvlText w:val="%6."/>
      <w:lvlJc w:val="left"/>
      <w:pPr>
        <w:tabs>
          <w:tab w:val="num" w:pos="4320"/>
        </w:tabs>
        <w:ind w:left="4320" w:hanging="360"/>
      </w:pPr>
    </w:lvl>
    <w:lvl w:ilvl="6" w:tplc="08090001">
      <w:start w:val="1"/>
      <w:numFmt w:val="decimal"/>
      <w:lvlText w:val="%7."/>
      <w:lvlJc w:val="left"/>
      <w:pPr>
        <w:tabs>
          <w:tab w:val="num" w:pos="5040"/>
        </w:tabs>
        <w:ind w:left="5040" w:hanging="360"/>
      </w:pPr>
    </w:lvl>
    <w:lvl w:ilvl="7" w:tplc="08090003">
      <w:start w:val="1"/>
      <w:numFmt w:val="decimal"/>
      <w:lvlText w:val="%8."/>
      <w:lvlJc w:val="left"/>
      <w:pPr>
        <w:tabs>
          <w:tab w:val="num" w:pos="5760"/>
        </w:tabs>
        <w:ind w:left="5760" w:hanging="360"/>
      </w:pPr>
    </w:lvl>
    <w:lvl w:ilvl="8" w:tplc="08090005">
      <w:start w:val="1"/>
      <w:numFmt w:val="decimal"/>
      <w:lvlText w:val="%9."/>
      <w:lvlJc w:val="left"/>
      <w:pPr>
        <w:tabs>
          <w:tab w:val="num" w:pos="6480"/>
        </w:tabs>
        <w:ind w:left="6480" w:hanging="360"/>
      </w:pPr>
    </w:lvl>
  </w:abstractNum>
  <w:abstractNum w:abstractNumId="3" w15:restartNumberingAfterBreak="0">
    <w:nsid w:val="423702D4"/>
    <w:multiLevelType w:val="hybridMultilevel"/>
    <w:tmpl w:val="2C8AF2DE"/>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5A246ACF"/>
    <w:multiLevelType w:val="hybridMultilevel"/>
    <w:tmpl w:val="9ACE786C"/>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6FB07351"/>
    <w:multiLevelType w:val="hybridMultilevel"/>
    <w:tmpl w:val="41ACCCC0"/>
    <w:lvl w:ilvl="0" w:tplc="08090001">
      <w:start w:val="1"/>
      <w:numFmt w:val="bullet"/>
      <w:lvlText w:val=""/>
      <w:lvlJc w:val="left"/>
      <w:pPr>
        <w:tabs>
          <w:tab w:val="num" w:pos="1080"/>
        </w:tabs>
        <w:ind w:left="1080" w:hanging="360"/>
      </w:pPr>
      <w:rPr>
        <w:rFonts w:ascii="Symbol" w:hAnsi="Symbol" w:hint="default"/>
      </w:rPr>
    </w:lvl>
    <w:lvl w:ilvl="1" w:tplc="08090003" w:tentative="1">
      <w:start w:val="1"/>
      <w:numFmt w:val="bullet"/>
      <w:lvlText w:val="o"/>
      <w:lvlJc w:val="left"/>
      <w:pPr>
        <w:tabs>
          <w:tab w:val="num" w:pos="1800"/>
        </w:tabs>
        <w:ind w:left="1800" w:hanging="360"/>
      </w:pPr>
      <w:rPr>
        <w:rFonts w:ascii="Courier New" w:hAnsi="Courier New" w:cs="Courier New"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Courier New"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Courier New"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6" w15:restartNumberingAfterBreak="0">
    <w:nsid w:val="79911539"/>
    <w:multiLevelType w:val="hybridMultilevel"/>
    <w:tmpl w:val="CEDEA224"/>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3"/>
  </w:num>
  <w:num w:numId="3">
    <w:abstractNumId w:val="4"/>
  </w:num>
  <w:num w:numId="4">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05C2"/>
    <w:rsid w:val="000005FE"/>
    <w:rsid w:val="00007DFC"/>
    <w:rsid w:val="00011C68"/>
    <w:rsid w:val="00027162"/>
    <w:rsid w:val="000343D4"/>
    <w:rsid w:val="00037C0A"/>
    <w:rsid w:val="000575DB"/>
    <w:rsid w:val="0006381B"/>
    <w:rsid w:val="00064056"/>
    <w:rsid w:val="000869C7"/>
    <w:rsid w:val="00086F57"/>
    <w:rsid w:val="000948B2"/>
    <w:rsid w:val="000A048F"/>
    <w:rsid w:val="000A3CEC"/>
    <w:rsid w:val="000B15B2"/>
    <w:rsid w:val="000B3E81"/>
    <w:rsid w:val="000B7A7F"/>
    <w:rsid w:val="000C1070"/>
    <w:rsid w:val="000C2004"/>
    <w:rsid w:val="000C60CE"/>
    <w:rsid w:val="000D20A0"/>
    <w:rsid w:val="000D6187"/>
    <w:rsid w:val="000E2E7A"/>
    <w:rsid w:val="000E59A3"/>
    <w:rsid w:val="000E5BE7"/>
    <w:rsid w:val="000E6959"/>
    <w:rsid w:val="000F4B66"/>
    <w:rsid w:val="00105EAC"/>
    <w:rsid w:val="001210D5"/>
    <w:rsid w:val="001243AF"/>
    <w:rsid w:val="00125CC7"/>
    <w:rsid w:val="00134213"/>
    <w:rsid w:val="001418CE"/>
    <w:rsid w:val="00146BF3"/>
    <w:rsid w:val="0015103F"/>
    <w:rsid w:val="00156048"/>
    <w:rsid w:val="001561B2"/>
    <w:rsid w:val="001651EF"/>
    <w:rsid w:val="0017345B"/>
    <w:rsid w:val="00184EBD"/>
    <w:rsid w:val="001974C0"/>
    <w:rsid w:val="001A6C7E"/>
    <w:rsid w:val="001B1047"/>
    <w:rsid w:val="001C06D4"/>
    <w:rsid w:val="001C58E1"/>
    <w:rsid w:val="001C78CB"/>
    <w:rsid w:val="001D28F1"/>
    <w:rsid w:val="001E687F"/>
    <w:rsid w:val="001E790B"/>
    <w:rsid w:val="001F4EF0"/>
    <w:rsid w:val="001F73E1"/>
    <w:rsid w:val="00210AAC"/>
    <w:rsid w:val="00227560"/>
    <w:rsid w:val="00235154"/>
    <w:rsid w:val="00237476"/>
    <w:rsid w:val="0025011D"/>
    <w:rsid w:val="0025349D"/>
    <w:rsid w:val="00255561"/>
    <w:rsid w:val="00264C84"/>
    <w:rsid w:val="00267B49"/>
    <w:rsid w:val="002720EE"/>
    <w:rsid w:val="00282201"/>
    <w:rsid w:val="00282AF2"/>
    <w:rsid w:val="002B0950"/>
    <w:rsid w:val="002B0F59"/>
    <w:rsid w:val="002B3E29"/>
    <w:rsid w:val="002B631E"/>
    <w:rsid w:val="002D42B9"/>
    <w:rsid w:val="002D6325"/>
    <w:rsid w:val="002E30D8"/>
    <w:rsid w:val="002E340D"/>
    <w:rsid w:val="002E5DDA"/>
    <w:rsid w:val="002F1D15"/>
    <w:rsid w:val="002F5250"/>
    <w:rsid w:val="002F582D"/>
    <w:rsid w:val="002F7AFD"/>
    <w:rsid w:val="00304096"/>
    <w:rsid w:val="00305E6A"/>
    <w:rsid w:val="00307AC8"/>
    <w:rsid w:val="0031540A"/>
    <w:rsid w:val="00335010"/>
    <w:rsid w:val="003545E5"/>
    <w:rsid w:val="0036466A"/>
    <w:rsid w:val="0036557E"/>
    <w:rsid w:val="00365798"/>
    <w:rsid w:val="00367D86"/>
    <w:rsid w:val="003733F6"/>
    <w:rsid w:val="0037345C"/>
    <w:rsid w:val="003735B0"/>
    <w:rsid w:val="003808B5"/>
    <w:rsid w:val="0038189A"/>
    <w:rsid w:val="003A5502"/>
    <w:rsid w:val="003B7C5F"/>
    <w:rsid w:val="003D1915"/>
    <w:rsid w:val="003D59DA"/>
    <w:rsid w:val="003D7D7D"/>
    <w:rsid w:val="003E07E2"/>
    <w:rsid w:val="003E695C"/>
    <w:rsid w:val="003E7AC8"/>
    <w:rsid w:val="004049AF"/>
    <w:rsid w:val="00423FCF"/>
    <w:rsid w:val="00430F89"/>
    <w:rsid w:val="00437284"/>
    <w:rsid w:val="00442A95"/>
    <w:rsid w:val="0044315A"/>
    <w:rsid w:val="00443E3A"/>
    <w:rsid w:val="004470C3"/>
    <w:rsid w:val="00450B9A"/>
    <w:rsid w:val="00456127"/>
    <w:rsid w:val="004566C2"/>
    <w:rsid w:val="004671A0"/>
    <w:rsid w:val="00474DE9"/>
    <w:rsid w:val="0047770B"/>
    <w:rsid w:val="004834BF"/>
    <w:rsid w:val="00494BB6"/>
    <w:rsid w:val="00496941"/>
    <w:rsid w:val="004A2093"/>
    <w:rsid w:val="004A21E9"/>
    <w:rsid w:val="004A325F"/>
    <w:rsid w:val="004B0054"/>
    <w:rsid w:val="004B04E1"/>
    <w:rsid w:val="004B2973"/>
    <w:rsid w:val="004B301E"/>
    <w:rsid w:val="004B58B8"/>
    <w:rsid w:val="004B68D1"/>
    <w:rsid w:val="004E1CBE"/>
    <w:rsid w:val="004E511A"/>
    <w:rsid w:val="004F0C57"/>
    <w:rsid w:val="004F12B4"/>
    <w:rsid w:val="004F156B"/>
    <w:rsid w:val="004F2030"/>
    <w:rsid w:val="004F433A"/>
    <w:rsid w:val="004F4D57"/>
    <w:rsid w:val="004F56C7"/>
    <w:rsid w:val="004F7F4F"/>
    <w:rsid w:val="00500993"/>
    <w:rsid w:val="005012BD"/>
    <w:rsid w:val="0051344E"/>
    <w:rsid w:val="00513705"/>
    <w:rsid w:val="0053638E"/>
    <w:rsid w:val="00552EB7"/>
    <w:rsid w:val="00560F83"/>
    <w:rsid w:val="005653DD"/>
    <w:rsid w:val="0056560B"/>
    <w:rsid w:val="00566BC2"/>
    <w:rsid w:val="00570219"/>
    <w:rsid w:val="00572BB2"/>
    <w:rsid w:val="00572E9D"/>
    <w:rsid w:val="00576BF8"/>
    <w:rsid w:val="005812CC"/>
    <w:rsid w:val="00582CFA"/>
    <w:rsid w:val="00583A80"/>
    <w:rsid w:val="00585EF9"/>
    <w:rsid w:val="00587DCB"/>
    <w:rsid w:val="00591F3E"/>
    <w:rsid w:val="00594C6F"/>
    <w:rsid w:val="0059544C"/>
    <w:rsid w:val="005A4B73"/>
    <w:rsid w:val="005B29D6"/>
    <w:rsid w:val="005C3D84"/>
    <w:rsid w:val="005C5E34"/>
    <w:rsid w:val="005D4719"/>
    <w:rsid w:val="005F0D4D"/>
    <w:rsid w:val="005F0EF7"/>
    <w:rsid w:val="00607842"/>
    <w:rsid w:val="00616BEC"/>
    <w:rsid w:val="00621A5B"/>
    <w:rsid w:val="00630836"/>
    <w:rsid w:val="00647FCA"/>
    <w:rsid w:val="006526BE"/>
    <w:rsid w:val="00655BD8"/>
    <w:rsid w:val="00661C90"/>
    <w:rsid w:val="006667A0"/>
    <w:rsid w:val="00672D7C"/>
    <w:rsid w:val="00675EF7"/>
    <w:rsid w:val="00677EAB"/>
    <w:rsid w:val="00677EF9"/>
    <w:rsid w:val="0068413A"/>
    <w:rsid w:val="006859FE"/>
    <w:rsid w:val="00686FFE"/>
    <w:rsid w:val="006873DF"/>
    <w:rsid w:val="00692050"/>
    <w:rsid w:val="006B5F06"/>
    <w:rsid w:val="006C3102"/>
    <w:rsid w:val="006C402B"/>
    <w:rsid w:val="006D6D23"/>
    <w:rsid w:val="006E4743"/>
    <w:rsid w:val="006F1F8B"/>
    <w:rsid w:val="006F3FFF"/>
    <w:rsid w:val="006F5C37"/>
    <w:rsid w:val="0070274C"/>
    <w:rsid w:val="00705D9A"/>
    <w:rsid w:val="00712A0A"/>
    <w:rsid w:val="00714928"/>
    <w:rsid w:val="00723903"/>
    <w:rsid w:val="00725B27"/>
    <w:rsid w:val="00726188"/>
    <w:rsid w:val="00726A4B"/>
    <w:rsid w:val="007366C1"/>
    <w:rsid w:val="007401B5"/>
    <w:rsid w:val="00743D29"/>
    <w:rsid w:val="0075710B"/>
    <w:rsid w:val="00762D19"/>
    <w:rsid w:val="00765DB9"/>
    <w:rsid w:val="00767DDC"/>
    <w:rsid w:val="00776357"/>
    <w:rsid w:val="00790410"/>
    <w:rsid w:val="00790CA8"/>
    <w:rsid w:val="00796CA9"/>
    <w:rsid w:val="007A5E64"/>
    <w:rsid w:val="007B0B66"/>
    <w:rsid w:val="007B4C97"/>
    <w:rsid w:val="007B5513"/>
    <w:rsid w:val="007C2BEB"/>
    <w:rsid w:val="007C6D69"/>
    <w:rsid w:val="007D5535"/>
    <w:rsid w:val="007D5CD0"/>
    <w:rsid w:val="007D7C95"/>
    <w:rsid w:val="00800002"/>
    <w:rsid w:val="00807EC3"/>
    <w:rsid w:val="00835F34"/>
    <w:rsid w:val="008372E6"/>
    <w:rsid w:val="008510E2"/>
    <w:rsid w:val="008607AC"/>
    <w:rsid w:val="00864E04"/>
    <w:rsid w:val="00864FE0"/>
    <w:rsid w:val="0088293B"/>
    <w:rsid w:val="00887FD7"/>
    <w:rsid w:val="008A3990"/>
    <w:rsid w:val="008C21BC"/>
    <w:rsid w:val="008C484E"/>
    <w:rsid w:val="008C51B4"/>
    <w:rsid w:val="008D2543"/>
    <w:rsid w:val="008E122F"/>
    <w:rsid w:val="008E243C"/>
    <w:rsid w:val="008E7422"/>
    <w:rsid w:val="008F2544"/>
    <w:rsid w:val="008F398F"/>
    <w:rsid w:val="00902FC6"/>
    <w:rsid w:val="00903E5A"/>
    <w:rsid w:val="00904B67"/>
    <w:rsid w:val="009103C7"/>
    <w:rsid w:val="0091496F"/>
    <w:rsid w:val="00915158"/>
    <w:rsid w:val="00923E57"/>
    <w:rsid w:val="00937F9E"/>
    <w:rsid w:val="00944C22"/>
    <w:rsid w:val="009478FC"/>
    <w:rsid w:val="00947CAA"/>
    <w:rsid w:val="00947E58"/>
    <w:rsid w:val="0095048D"/>
    <w:rsid w:val="00950ADC"/>
    <w:rsid w:val="00950F43"/>
    <w:rsid w:val="009621B7"/>
    <w:rsid w:val="00962D2C"/>
    <w:rsid w:val="00967718"/>
    <w:rsid w:val="00973F99"/>
    <w:rsid w:val="009817E0"/>
    <w:rsid w:val="009819AC"/>
    <w:rsid w:val="00981F3A"/>
    <w:rsid w:val="00987C66"/>
    <w:rsid w:val="0099095B"/>
    <w:rsid w:val="00991EAB"/>
    <w:rsid w:val="0099253E"/>
    <w:rsid w:val="009A0F19"/>
    <w:rsid w:val="009B0FC3"/>
    <w:rsid w:val="009B7301"/>
    <w:rsid w:val="009D3B45"/>
    <w:rsid w:val="009D71A1"/>
    <w:rsid w:val="009E0904"/>
    <w:rsid w:val="009E5175"/>
    <w:rsid w:val="009F0C75"/>
    <w:rsid w:val="009F0F5C"/>
    <w:rsid w:val="00A03C54"/>
    <w:rsid w:val="00A048C4"/>
    <w:rsid w:val="00A13032"/>
    <w:rsid w:val="00A16C02"/>
    <w:rsid w:val="00A23DA5"/>
    <w:rsid w:val="00A24542"/>
    <w:rsid w:val="00A24BD0"/>
    <w:rsid w:val="00A33577"/>
    <w:rsid w:val="00A33A7D"/>
    <w:rsid w:val="00A34A22"/>
    <w:rsid w:val="00A37225"/>
    <w:rsid w:val="00A406EA"/>
    <w:rsid w:val="00A40988"/>
    <w:rsid w:val="00A40BE5"/>
    <w:rsid w:val="00A411FC"/>
    <w:rsid w:val="00A428A6"/>
    <w:rsid w:val="00A43942"/>
    <w:rsid w:val="00A56E26"/>
    <w:rsid w:val="00A615EE"/>
    <w:rsid w:val="00A6715B"/>
    <w:rsid w:val="00A70C5E"/>
    <w:rsid w:val="00A739C5"/>
    <w:rsid w:val="00A754A1"/>
    <w:rsid w:val="00A767B6"/>
    <w:rsid w:val="00A80EDC"/>
    <w:rsid w:val="00A811D0"/>
    <w:rsid w:val="00A825BE"/>
    <w:rsid w:val="00A82CB4"/>
    <w:rsid w:val="00A842CB"/>
    <w:rsid w:val="00AA55A7"/>
    <w:rsid w:val="00AB073C"/>
    <w:rsid w:val="00AB48FE"/>
    <w:rsid w:val="00AB7971"/>
    <w:rsid w:val="00AC0AB4"/>
    <w:rsid w:val="00AC6429"/>
    <w:rsid w:val="00AC7F69"/>
    <w:rsid w:val="00AE3873"/>
    <w:rsid w:val="00AF3C18"/>
    <w:rsid w:val="00B0430D"/>
    <w:rsid w:val="00B05DF0"/>
    <w:rsid w:val="00B14355"/>
    <w:rsid w:val="00B24A03"/>
    <w:rsid w:val="00B30ABB"/>
    <w:rsid w:val="00B33E4F"/>
    <w:rsid w:val="00B45FA6"/>
    <w:rsid w:val="00B520AA"/>
    <w:rsid w:val="00B57604"/>
    <w:rsid w:val="00B578FA"/>
    <w:rsid w:val="00B63922"/>
    <w:rsid w:val="00B646D4"/>
    <w:rsid w:val="00B72AF0"/>
    <w:rsid w:val="00B72E0B"/>
    <w:rsid w:val="00B73D9F"/>
    <w:rsid w:val="00B84C16"/>
    <w:rsid w:val="00B85028"/>
    <w:rsid w:val="00BA601D"/>
    <w:rsid w:val="00BC02C7"/>
    <w:rsid w:val="00BC4188"/>
    <w:rsid w:val="00BD081F"/>
    <w:rsid w:val="00BD5724"/>
    <w:rsid w:val="00BD7708"/>
    <w:rsid w:val="00BE4557"/>
    <w:rsid w:val="00BF1818"/>
    <w:rsid w:val="00BF3ED1"/>
    <w:rsid w:val="00BF4594"/>
    <w:rsid w:val="00BF64A9"/>
    <w:rsid w:val="00BF691C"/>
    <w:rsid w:val="00C0454B"/>
    <w:rsid w:val="00C05929"/>
    <w:rsid w:val="00C257C1"/>
    <w:rsid w:val="00C54BBA"/>
    <w:rsid w:val="00C558C3"/>
    <w:rsid w:val="00C629D8"/>
    <w:rsid w:val="00C7235E"/>
    <w:rsid w:val="00C74995"/>
    <w:rsid w:val="00C77830"/>
    <w:rsid w:val="00C82E85"/>
    <w:rsid w:val="00C97A13"/>
    <w:rsid w:val="00CB52EC"/>
    <w:rsid w:val="00CC0C46"/>
    <w:rsid w:val="00CC0E89"/>
    <w:rsid w:val="00CC16EF"/>
    <w:rsid w:val="00CC6D7F"/>
    <w:rsid w:val="00CD0FA2"/>
    <w:rsid w:val="00CD1016"/>
    <w:rsid w:val="00CE1E8B"/>
    <w:rsid w:val="00CE6663"/>
    <w:rsid w:val="00D00291"/>
    <w:rsid w:val="00D23271"/>
    <w:rsid w:val="00D23BD3"/>
    <w:rsid w:val="00D248D5"/>
    <w:rsid w:val="00D266DC"/>
    <w:rsid w:val="00D26C41"/>
    <w:rsid w:val="00D35702"/>
    <w:rsid w:val="00D37CD6"/>
    <w:rsid w:val="00D43CEA"/>
    <w:rsid w:val="00D50509"/>
    <w:rsid w:val="00D53EAB"/>
    <w:rsid w:val="00D56BFF"/>
    <w:rsid w:val="00D615A8"/>
    <w:rsid w:val="00D651DA"/>
    <w:rsid w:val="00D7478F"/>
    <w:rsid w:val="00D804CA"/>
    <w:rsid w:val="00D820BC"/>
    <w:rsid w:val="00D8298C"/>
    <w:rsid w:val="00D9381B"/>
    <w:rsid w:val="00D9494D"/>
    <w:rsid w:val="00DA2DE0"/>
    <w:rsid w:val="00DA4C36"/>
    <w:rsid w:val="00DA676E"/>
    <w:rsid w:val="00DB33C8"/>
    <w:rsid w:val="00DB50BA"/>
    <w:rsid w:val="00DC0B86"/>
    <w:rsid w:val="00DC236A"/>
    <w:rsid w:val="00DC259A"/>
    <w:rsid w:val="00DC6C01"/>
    <w:rsid w:val="00DD1BC9"/>
    <w:rsid w:val="00DD775A"/>
    <w:rsid w:val="00DE2739"/>
    <w:rsid w:val="00DF5C22"/>
    <w:rsid w:val="00E0183F"/>
    <w:rsid w:val="00E22C24"/>
    <w:rsid w:val="00E256C3"/>
    <w:rsid w:val="00E3474E"/>
    <w:rsid w:val="00E422C0"/>
    <w:rsid w:val="00E50432"/>
    <w:rsid w:val="00E60AF2"/>
    <w:rsid w:val="00E70857"/>
    <w:rsid w:val="00E751BE"/>
    <w:rsid w:val="00E8271D"/>
    <w:rsid w:val="00EA463F"/>
    <w:rsid w:val="00EA66A5"/>
    <w:rsid w:val="00EA693A"/>
    <w:rsid w:val="00EB279C"/>
    <w:rsid w:val="00EB6B3C"/>
    <w:rsid w:val="00EC2F18"/>
    <w:rsid w:val="00EC4B44"/>
    <w:rsid w:val="00EC59A7"/>
    <w:rsid w:val="00ED036D"/>
    <w:rsid w:val="00ED05C2"/>
    <w:rsid w:val="00ED3C95"/>
    <w:rsid w:val="00EE6B74"/>
    <w:rsid w:val="00EF1192"/>
    <w:rsid w:val="00F01FFF"/>
    <w:rsid w:val="00F10633"/>
    <w:rsid w:val="00F12CAF"/>
    <w:rsid w:val="00F13255"/>
    <w:rsid w:val="00F20B34"/>
    <w:rsid w:val="00F21813"/>
    <w:rsid w:val="00F22C75"/>
    <w:rsid w:val="00F3021A"/>
    <w:rsid w:val="00F315B0"/>
    <w:rsid w:val="00F4541E"/>
    <w:rsid w:val="00F536FD"/>
    <w:rsid w:val="00F719D0"/>
    <w:rsid w:val="00F72BA0"/>
    <w:rsid w:val="00F74507"/>
    <w:rsid w:val="00F75AEE"/>
    <w:rsid w:val="00F81A2B"/>
    <w:rsid w:val="00F90003"/>
    <w:rsid w:val="00F90D1C"/>
    <w:rsid w:val="00F92973"/>
    <w:rsid w:val="00F966A2"/>
    <w:rsid w:val="00FA1F1C"/>
    <w:rsid w:val="00FA3D1D"/>
    <w:rsid w:val="00FB0DCF"/>
    <w:rsid w:val="00FB2923"/>
    <w:rsid w:val="00FB6A3D"/>
    <w:rsid w:val="00FB75A0"/>
    <w:rsid w:val="00FC38B1"/>
    <w:rsid w:val="00FC436D"/>
    <w:rsid w:val="00FD3DE5"/>
    <w:rsid w:val="00FE1FEF"/>
    <w:rsid w:val="00FE22D2"/>
    <w:rsid w:val="00FF2067"/>
    <w:rsid w:val="00FF2866"/>
    <w:rsid w:val="00FF329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8178F67"/>
  <w14:defaultImageDpi w14:val="300"/>
  <w15:chartTrackingRefBased/>
  <w15:docId w15:val="{9898053B-8CCB-43EB-9074-88E682FF13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Typewriter" w:semiHidden="1" w:unhideWhenUsed="1"/>
    <w:lsdException w:name="Normal T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ED05C2"/>
    <w:pPr>
      <w:tabs>
        <w:tab w:val="center" w:pos="4153"/>
        <w:tab w:val="right" w:pos="8306"/>
      </w:tabs>
    </w:pPr>
  </w:style>
  <w:style w:type="paragraph" w:styleId="Footer">
    <w:name w:val="footer"/>
    <w:basedOn w:val="Normal"/>
    <w:link w:val="FooterChar"/>
    <w:rsid w:val="00ED05C2"/>
    <w:pPr>
      <w:tabs>
        <w:tab w:val="center" w:pos="4153"/>
        <w:tab w:val="right" w:pos="8306"/>
      </w:tabs>
    </w:pPr>
  </w:style>
  <w:style w:type="character" w:customStyle="1" w:styleId="FooterChar">
    <w:name w:val="Footer Char"/>
    <w:link w:val="Footer"/>
    <w:rsid w:val="00ED05C2"/>
    <w:rPr>
      <w:sz w:val="24"/>
      <w:szCs w:val="24"/>
      <w:lang w:val="en-GB" w:eastAsia="en-GB" w:bidi="ar-SA"/>
    </w:rPr>
  </w:style>
  <w:style w:type="paragraph" w:styleId="BalloonText">
    <w:name w:val="Balloon Text"/>
    <w:basedOn w:val="Normal"/>
    <w:semiHidden/>
    <w:rsid w:val="00ED036D"/>
    <w:rPr>
      <w:rFonts w:ascii="Tahoma" w:hAnsi="Tahoma" w:cs="Tahoma"/>
      <w:sz w:val="16"/>
      <w:szCs w:val="16"/>
    </w:rPr>
  </w:style>
  <w:style w:type="character" w:styleId="Strong">
    <w:name w:val="Strong"/>
    <w:qFormat/>
    <w:rsid w:val="000F4B66"/>
    <w:rPr>
      <w:b/>
      <w:bCs/>
    </w:rPr>
  </w:style>
  <w:style w:type="character" w:styleId="Hyperlink">
    <w:name w:val="Hyperlink"/>
    <w:rsid w:val="00A16C0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0660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upremecourt.uk/decided-cases/index.shtml"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AB251F3824E8E4BABF966FB1FF33114" ma:contentTypeVersion="4" ma:contentTypeDescription="Create a new document." ma:contentTypeScope="" ma:versionID="34e0ca7b94d4cacc273154739476b6c7">
  <xsd:schema xmlns:xsd="http://www.w3.org/2001/XMLSchema" xmlns:xs="http://www.w3.org/2001/XMLSchema" xmlns:p="http://schemas.microsoft.com/office/2006/metadata/properties" xmlns:ns2="d1912800-d0d5-4897-aa13-fa15486e9ce2" targetNamespace="http://schemas.microsoft.com/office/2006/metadata/properties" ma:root="true" ma:fieldsID="2460a5e349f4dfc73fc5b4ebdcfd4041" ns2:_="">
    <xsd:import namespace="d1912800-d0d5-4897-aa13-fa15486e9ce2"/>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912800-d0d5-4897-aa13-fa15486e9ce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4397B7-7681-4432-B946-06B2B013BB9A}"/>
</file>

<file path=customXml/itemProps2.xml><?xml version="1.0" encoding="utf-8"?>
<ds:datastoreItem xmlns:ds="http://schemas.openxmlformats.org/officeDocument/2006/customXml" ds:itemID="{D1964D42-5E6A-4E0B-B37D-2D677AF93392}">
  <ds:schemaRefs>
    <ds:schemaRef ds:uri="http://schemas.microsoft.com/sharepoint/v3/contenttype/forms"/>
  </ds:schemaRefs>
</ds:datastoreItem>
</file>

<file path=customXml/itemProps3.xml><?xml version="1.0" encoding="utf-8"?>
<ds:datastoreItem xmlns:ds="http://schemas.openxmlformats.org/officeDocument/2006/customXml" ds:itemID="{3EC32187-0112-4DBD-855D-C61F54D33427}">
  <ds:schemaRefs>
    <ds:schemaRef ds:uri="http://purl.org/dc/elements/1.1/"/>
    <ds:schemaRef ds:uri="140032f5-d6ca-4b4b-bdc9-c30c318b5b30"/>
    <ds:schemaRef ds:uri="http://purl.org/dc/dcmitype/"/>
    <ds:schemaRef ds:uri="http://schemas.microsoft.com/office/infopath/2007/PartnerControls"/>
    <ds:schemaRef ds:uri="http://purl.org/dc/terms/"/>
    <ds:schemaRef ds:uri="http://schemas.microsoft.com/office/2006/metadata/properties"/>
    <ds:schemaRef ds:uri="http://schemas.microsoft.com/office/2006/documentManagement/types"/>
    <ds:schemaRef ds:uri="http://schemas.openxmlformats.org/package/2006/metadata/core-properties"/>
    <ds:schemaRef ds:uri="http://www.w3.org/XML/1998/namespace"/>
  </ds:schemaRefs>
</ds:datastoreItem>
</file>

<file path=customXml/itemProps4.xml><?xml version="1.0" encoding="utf-8"?>
<ds:datastoreItem xmlns:ds="http://schemas.openxmlformats.org/officeDocument/2006/customXml" ds:itemID="{DCC5B975-90CA-4D5D-98CF-BCD581BCCC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Pages>
  <Words>905</Words>
  <Characters>4833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R (on the application of Wright) (Respondent) v Resilient Energy Severndale Ltd and Forest of Dean District Council (Appellants)</vt:lpstr>
    </vt:vector>
  </TitlesOfParts>
  <Company>The Supreme Court (UKSC)</Company>
  <LinksUpToDate>false</LinksUpToDate>
  <CharactersWithSpaces>5727</CharactersWithSpaces>
  <SharedDoc>false</SharedDoc>
  <HLinks>
    <vt:vector size="6" baseType="variant">
      <vt:variant>
        <vt:i4>655380</vt:i4>
      </vt:variant>
      <vt:variant>
        <vt:i4>0</vt:i4>
      </vt:variant>
      <vt:variant>
        <vt:i4>0</vt:i4>
      </vt:variant>
      <vt:variant>
        <vt:i4>5</vt:i4>
      </vt:variant>
      <vt:variant>
        <vt:lpwstr>http://supremecourt.uk/decided-cases/index.shtml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 (on the application of Wright) (Respondent) v Resilient Energy Severndale Ltd and Forest of Dean District Council (Appellants)</dc:title>
  <dc:subject>Judgment handed down on Wednesday 20 November 2019</dc:subject>
  <dc:creator>The Supreme Court (UKSC)</dc:creator>
  <cp:keywords>[2017] EWCA Civ 2102; UKSC 2018/0007; [2019] UKSC 53</cp:keywords>
  <dc:description/>
  <cp:lastModifiedBy>Anita Homji</cp:lastModifiedBy>
  <cp:revision>4</cp:revision>
  <cp:lastPrinted>2019-11-14T14:52:00Z</cp:lastPrinted>
  <dcterms:created xsi:type="dcterms:W3CDTF">2019-11-18T13:23:00Z</dcterms:created>
  <dcterms:modified xsi:type="dcterms:W3CDTF">2019-11-18T13:28:00Z</dcterms:modified>
  <cp:category>Decided cases; Press Summary</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0x010100AAB251F3824E8E4BABF966FB1FF33114</vt:lpwstr>
  </property>
  <property fmtid="{D5CDD505-2E9C-101B-9397-08002B2CF9AE}" pid="3" name="CaseName">
    <vt:lpwstr>R (on the application of Wright) (Respondent) v Resilient Energy Severndale Ltd and Forest of Dean District Council (Appellants)</vt:lpwstr>
  </property>
  <property fmtid="{D5CDD505-2E9C-101B-9397-08002B2CF9AE}" pid="4" name="HandDownDate">
    <vt:lpwstr>20 November 2019</vt:lpwstr>
  </property>
  <property fmtid="{D5CDD505-2E9C-101B-9397-08002B2CF9AE}" pid="5" name="CaseID">
    <vt:lpwstr>UKSC 53</vt:lpwstr>
  </property>
  <property fmtid="{D5CDD505-2E9C-101B-9397-08002B2CF9AE}" pid="6" name="NeutralCitationNumber">
    <vt:lpwstr>[2019] UKSC 53</vt:lpwstr>
  </property>
</Properties>
</file>