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9DADB" w14:textId="77777777" w:rsidR="008B2884" w:rsidRPr="001D1D3C" w:rsidRDefault="008E0E65" w:rsidP="008B2884">
      <w:r w:rsidRPr="001D1D3C">
        <w:rPr>
          <w:noProof/>
        </w:rPr>
        <w:drawing>
          <wp:anchor distT="0" distB="0" distL="114300" distR="114300" simplePos="0" relativeHeight="251662336" behindDoc="0" locked="0" layoutInCell="1" allowOverlap="1" wp14:anchorId="665EBCD6" wp14:editId="6B097224">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DC533" w14:textId="77777777" w:rsidR="008B2884" w:rsidRPr="001D1D3C" w:rsidRDefault="008B2884" w:rsidP="008B2884"/>
    <w:p w14:paraId="34D2ED80" w14:textId="77777777" w:rsidR="008B2884" w:rsidRPr="001D1D3C" w:rsidRDefault="008B2884" w:rsidP="008B2884"/>
    <w:p w14:paraId="1AEE1547" w14:textId="77777777" w:rsidR="008B2884" w:rsidRPr="001D1D3C" w:rsidRDefault="008B2884" w:rsidP="008B2884"/>
    <w:p w14:paraId="3AB30D19" w14:textId="77777777" w:rsidR="008B2884" w:rsidRPr="001D1D3C" w:rsidRDefault="008B2884" w:rsidP="008B2884"/>
    <w:p w14:paraId="629669A7" w14:textId="2AFAE9E4" w:rsidR="008B2884" w:rsidRPr="001D1D3C" w:rsidRDefault="008B2884" w:rsidP="008B2884">
      <w:pPr>
        <w:jc w:val="left"/>
      </w:pPr>
    </w:p>
    <w:p w14:paraId="3F601552" w14:textId="64DD22E8" w:rsidR="008B2884" w:rsidRDefault="008B2884" w:rsidP="008B2884">
      <w:pPr>
        <w:jc w:val="left"/>
      </w:pPr>
      <w:r w:rsidRPr="008B2884">
        <w:t xml:space="preserve">Neutral </w:t>
      </w:r>
      <w:r w:rsidR="00F1730C">
        <w:t>C</w:t>
      </w:r>
      <w:r w:rsidRPr="008B2884">
        <w:t xml:space="preserve">itation: </w:t>
      </w:r>
      <w:r w:rsidR="00151415" w:rsidRPr="00151415">
        <w:t>[2022] UKFTT 00226 (TC)</w:t>
      </w:r>
    </w:p>
    <w:p w14:paraId="641EB99D" w14:textId="669CC59D" w:rsidR="008B2884" w:rsidRPr="008B2884" w:rsidRDefault="008B2884" w:rsidP="008B2884">
      <w:pPr>
        <w:jc w:val="right"/>
      </w:pPr>
      <w:r w:rsidRPr="008B2884">
        <w:t>Case Number: TC</w:t>
      </w:r>
      <w:r w:rsidR="00E20BC5">
        <w:t>08547</w:t>
      </w:r>
    </w:p>
    <w:p w14:paraId="09C3992D" w14:textId="77777777" w:rsidR="008B2884" w:rsidRDefault="008B2884" w:rsidP="008B2884">
      <w:pPr>
        <w:jc w:val="left"/>
        <w:rPr>
          <w:b/>
          <w:bCs/>
        </w:rPr>
      </w:pPr>
      <w:r w:rsidRPr="008B2884">
        <w:rPr>
          <w:b/>
          <w:bCs/>
        </w:rPr>
        <w:t>FIRST-TIER TRIBUNAL</w:t>
      </w:r>
    </w:p>
    <w:p w14:paraId="2FD7FE5C" w14:textId="77777777" w:rsidR="008B2884" w:rsidRPr="008B2884" w:rsidRDefault="008B2884" w:rsidP="008B2884">
      <w:pPr>
        <w:jc w:val="left"/>
        <w:rPr>
          <w:b/>
          <w:bCs/>
        </w:rPr>
      </w:pPr>
      <w:r w:rsidRPr="008B2884">
        <w:rPr>
          <w:b/>
          <w:bCs/>
        </w:rPr>
        <w:t>TAX CHAMBER</w:t>
      </w:r>
    </w:p>
    <w:p w14:paraId="0C45CCF1" w14:textId="5E0FB4AE" w:rsidR="008B2884" w:rsidRDefault="00541207" w:rsidP="006135FF">
      <w:pPr>
        <w:ind w:left="4395"/>
        <w:jc w:val="right"/>
      </w:pPr>
      <w:r>
        <w:t>Taylor House, London</w:t>
      </w:r>
    </w:p>
    <w:p w14:paraId="6CD3F1E5" w14:textId="77777777" w:rsidR="008B2884" w:rsidRDefault="008B2884" w:rsidP="008B2884">
      <w:pPr>
        <w:jc w:val="right"/>
      </w:pPr>
    </w:p>
    <w:p w14:paraId="19F3CED0" w14:textId="30E16587" w:rsidR="008B2884" w:rsidRDefault="008B2884" w:rsidP="008B2884">
      <w:pPr>
        <w:jc w:val="right"/>
      </w:pPr>
      <w:r>
        <w:t>Appeal reference: TC/20</w:t>
      </w:r>
      <w:r w:rsidR="00541207">
        <w:t>18/07239</w:t>
      </w:r>
    </w:p>
    <w:p w14:paraId="3951B557" w14:textId="77777777" w:rsidR="006135FF" w:rsidRPr="008B2884" w:rsidRDefault="006135FF" w:rsidP="008B2884">
      <w:pPr>
        <w:jc w:val="right"/>
      </w:pPr>
    </w:p>
    <w:p w14:paraId="0EA691CA" w14:textId="3163932E" w:rsidR="008B2884" w:rsidRPr="008B2884" w:rsidRDefault="00541207" w:rsidP="008B2884">
      <w:pPr>
        <w:rPr>
          <w:i/>
          <w:iCs/>
        </w:rPr>
      </w:pPr>
      <w:r w:rsidRPr="00E652BB">
        <w:rPr>
          <w:i/>
          <w:iCs/>
        </w:rPr>
        <w:t>VAT: charitable body undertaking paid for and free crash tests – whether all activities were economic/business – yes – whether input tax should be adjusted as attributable to non-business – no – ALLOWED</w:t>
      </w:r>
    </w:p>
    <w:p w14:paraId="2733BB4A" w14:textId="77777777" w:rsidR="008B2884" w:rsidRDefault="008B2884" w:rsidP="008B2884">
      <w:pPr>
        <w:jc w:val="right"/>
      </w:pPr>
    </w:p>
    <w:p w14:paraId="06A4D59C" w14:textId="77777777" w:rsidR="008B2884" w:rsidRDefault="008B2884" w:rsidP="008B2884">
      <w:pPr>
        <w:jc w:val="center"/>
        <w:rPr>
          <w:b/>
          <w:bCs/>
        </w:rPr>
      </w:pPr>
    </w:p>
    <w:p w14:paraId="7CA37F56" w14:textId="599D5B75" w:rsidR="008B2884" w:rsidRDefault="008B2884" w:rsidP="00EF7019">
      <w:pPr>
        <w:ind w:left="4395"/>
        <w:jc w:val="right"/>
        <w:rPr>
          <w:b/>
          <w:bCs/>
        </w:rPr>
      </w:pPr>
      <w:r>
        <w:rPr>
          <w:b/>
          <w:bCs/>
        </w:rPr>
        <w:t>Heard on</w:t>
      </w:r>
      <w:r w:rsidR="000C049A">
        <w:rPr>
          <w:b/>
          <w:bCs/>
        </w:rPr>
        <w:t>:</w:t>
      </w:r>
      <w:r>
        <w:rPr>
          <w:b/>
          <w:bCs/>
        </w:rPr>
        <w:t xml:space="preserve"> </w:t>
      </w:r>
      <w:r w:rsidR="00541207">
        <w:t>23 and 24 May 2022</w:t>
      </w:r>
    </w:p>
    <w:p w14:paraId="2758F2E4" w14:textId="4CC0EB95" w:rsidR="008B2884" w:rsidRDefault="008B2884" w:rsidP="008B2884">
      <w:pPr>
        <w:jc w:val="right"/>
      </w:pPr>
      <w:r>
        <w:rPr>
          <w:b/>
          <w:bCs/>
        </w:rPr>
        <w:t xml:space="preserve">Judgment </w:t>
      </w:r>
      <w:r w:rsidR="000D1009">
        <w:rPr>
          <w:b/>
          <w:bCs/>
        </w:rPr>
        <w:t>date</w:t>
      </w:r>
      <w:r>
        <w:rPr>
          <w:b/>
          <w:bCs/>
        </w:rPr>
        <w:t xml:space="preserve">: </w:t>
      </w:r>
      <w:r w:rsidR="00E20BC5">
        <w:t>22 July</w:t>
      </w:r>
      <w:r>
        <w:t xml:space="preserve"> 20</w:t>
      </w:r>
      <w:r w:rsidR="00E20BC5">
        <w:t>22</w:t>
      </w:r>
    </w:p>
    <w:p w14:paraId="1A6AD6FE" w14:textId="77777777" w:rsidR="008B2884" w:rsidRDefault="008B2884" w:rsidP="008B2884">
      <w:pPr>
        <w:jc w:val="center"/>
      </w:pPr>
    </w:p>
    <w:p w14:paraId="0FC690AA" w14:textId="77777777" w:rsidR="008B2884" w:rsidRDefault="008B2884" w:rsidP="008B2884">
      <w:pPr>
        <w:jc w:val="center"/>
        <w:rPr>
          <w:b/>
          <w:bCs/>
        </w:rPr>
      </w:pPr>
    </w:p>
    <w:p w14:paraId="4FA87AAF" w14:textId="77777777" w:rsidR="008B2884" w:rsidRDefault="008B2884" w:rsidP="008B2884">
      <w:pPr>
        <w:jc w:val="center"/>
        <w:rPr>
          <w:b/>
          <w:bCs/>
        </w:rPr>
      </w:pPr>
      <w:r>
        <w:rPr>
          <w:b/>
          <w:bCs/>
        </w:rPr>
        <w:t>Before</w:t>
      </w:r>
    </w:p>
    <w:p w14:paraId="0D777CDF" w14:textId="77777777" w:rsidR="008B2884" w:rsidRPr="008B2884" w:rsidRDefault="008B2884" w:rsidP="008B2884">
      <w:pPr>
        <w:jc w:val="center"/>
        <w:rPr>
          <w:b/>
          <w:bCs/>
        </w:rPr>
      </w:pPr>
    </w:p>
    <w:p w14:paraId="3BFE1CB4" w14:textId="15C8974E" w:rsidR="008B2884" w:rsidRPr="008B2884" w:rsidRDefault="008B2884" w:rsidP="008B2884">
      <w:pPr>
        <w:jc w:val="center"/>
        <w:rPr>
          <w:b/>
          <w:bCs/>
        </w:rPr>
      </w:pPr>
      <w:r w:rsidRPr="008B2884">
        <w:rPr>
          <w:b/>
          <w:bCs/>
        </w:rPr>
        <w:t xml:space="preserve">TRIBUNAL JUDGE </w:t>
      </w:r>
      <w:r w:rsidR="00541207">
        <w:rPr>
          <w:b/>
          <w:bCs/>
        </w:rPr>
        <w:t>AMANDA BROWN QC</w:t>
      </w:r>
    </w:p>
    <w:p w14:paraId="1E9FE6E1" w14:textId="3FE3BD11" w:rsidR="008B2884" w:rsidRPr="008B2884" w:rsidRDefault="00541207" w:rsidP="008B2884">
      <w:pPr>
        <w:jc w:val="center"/>
        <w:rPr>
          <w:b/>
          <w:bCs/>
        </w:rPr>
      </w:pPr>
      <w:r>
        <w:rPr>
          <w:b/>
          <w:bCs/>
        </w:rPr>
        <w:t>MARK BUFFE</w:t>
      </w:r>
      <w:r w:rsidR="00575025">
        <w:rPr>
          <w:b/>
          <w:bCs/>
        </w:rPr>
        <w:t>R</w:t>
      </w:r>
      <w:r>
        <w:rPr>
          <w:b/>
          <w:bCs/>
        </w:rPr>
        <w:t>Y</w:t>
      </w:r>
    </w:p>
    <w:p w14:paraId="77691622" w14:textId="77777777" w:rsidR="008B2884" w:rsidRDefault="008B2884" w:rsidP="008B2884">
      <w:pPr>
        <w:jc w:val="center"/>
      </w:pPr>
    </w:p>
    <w:p w14:paraId="158312BC" w14:textId="77777777" w:rsidR="008B2884" w:rsidRDefault="008B2884" w:rsidP="008B2884">
      <w:pPr>
        <w:jc w:val="center"/>
      </w:pPr>
    </w:p>
    <w:p w14:paraId="60727DDA" w14:textId="77777777" w:rsidR="002C0A0E" w:rsidRDefault="008B2884" w:rsidP="008B2884">
      <w:pPr>
        <w:jc w:val="center"/>
        <w:rPr>
          <w:b/>
        </w:rPr>
      </w:pPr>
      <w:r>
        <w:rPr>
          <w:b/>
        </w:rPr>
        <w:t>Between</w:t>
      </w:r>
    </w:p>
    <w:p w14:paraId="2352FFF2" w14:textId="77777777" w:rsidR="008B2884" w:rsidRDefault="008B2884" w:rsidP="008B2884">
      <w:pPr>
        <w:jc w:val="center"/>
        <w:rPr>
          <w:b/>
        </w:rPr>
      </w:pPr>
    </w:p>
    <w:p w14:paraId="4231A208" w14:textId="4088AF63" w:rsidR="008B2884" w:rsidRDefault="00541207" w:rsidP="008B2884">
      <w:pPr>
        <w:jc w:val="center"/>
        <w:rPr>
          <w:b/>
        </w:rPr>
      </w:pPr>
      <w:r>
        <w:rPr>
          <w:b/>
        </w:rPr>
        <w:t>THE TOWARDS ZERO FOUNDAITON</w:t>
      </w:r>
    </w:p>
    <w:p w14:paraId="56BD4760" w14:textId="4FA0A868" w:rsidR="00541207" w:rsidRDefault="00541207" w:rsidP="008B2884">
      <w:pPr>
        <w:jc w:val="center"/>
      </w:pPr>
      <w:r>
        <w:rPr>
          <w:b/>
        </w:rPr>
        <w:t>(formerly GLOBAL NEW CAR ASSESSMENT PROGRAMME)</w:t>
      </w:r>
    </w:p>
    <w:p w14:paraId="0521F2D0" w14:textId="77777777" w:rsidR="008B2884" w:rsidRDefault="008B2884" w:rsidP="008B2884">
      <w:pPr>
        <w:jc w:val="right"/>
        <w:rPr>
          <w:b/>
        </w:rPr>
      </w:pPr>
      <w:r>
        <w:rPr>
          <w:b/>
        </w:rPr>
        <w:t>Appellant</w:t>
      </w:r>
    </w:p>
    <w:p w14:paraId="026CCA3E" w14:textId="77777777" w:rsidR="008B2884" w:rsidRDefault="008B2884" w:rsidP="008B2884">
      <w:pPr>
        <w:jc w:val="center"/>
        <w:rPr>
          <w:b/>
        </w:rPr>
      </w:pPr>
      <w:r>
        <w:rPr>
          <w:b/>
        </w:rPr>
        <w:t>and</w:t>
      </w:r>
    </w:p>
    <w:p w14:paraId="2297543D" w14:textId="77777777" w:rsidR="008B2884" w:rsidRDefault="008B2884" w:rsidP="008B2884">
      <w:pPr>
        <w:jc w:val="center"/>
        <w:rPr>
          <w:b/>
        </w:rPr>
      </w:pPr>
    </w:p>
    <w:p w14:paraId="228765FB" w14:textId="77777777" w:rsidR="008B2884" w:rsidRDefault="008B2884" w:rsidP="008B2884">
      <w:pPr>
        <w:jc w:val="center"/>
        <w:rPr>
          <w:b/>
        </w:rPr>
      </w:pPr>
      <w:r w:rsidRPr="008B2884">
        <w:rPr>
          <w:b/>
        </w:rPr>
        <w:t>THE COMMISSIONERS FOR HER MAJESTY’S REVENUE AND CUSTOMS</w:t>
      </w:r>
    </w:p>
    <w:p w14:paraId="3F60130B" w14:textId="77777777" w:rsidR="008B2884" w:rsidRDefault="008B2884" w:rsidP="008B2884">
      <w:pPr>
        <w:jc w:val="right"/>
        <w:rPr>
          <w:b/>
        </w:rPr>
      </w:pPr>
      <w:r>
        <w:rPr>
          <w:b/>
        </w:rPr>
        <w:t>Respondents</w:t>
      </w:r>
    </w:p>
    <w:p w14:paraId="63C76410" w14:textId="77777777" w:rsidR="002C0A0E" w:rsidRPr="002C0A0E" w:rsidRDefault="002C0A0E" w:rsidP="008B7307">
      <w:pPr>
        <w:jc w:val="left"/>
        <w:rPr>
          <w:b/>
        </w:rPr>
      </w:pPr>
    </w:p>
    <w:p w14:paraId="73569632" w14:textId="77777777" w:rsidR="00157CBD" w:rsidRPr="008B2884" w:rsidRDefault="008B2884" w:rsidP="00157CBD">
      <w:pPr>
        <w:rPr>
          <w:b/>
          <w:u w:val="single"/>
        </w:rPr>
      </w:pPr>
      <w:r w:rsidRPr="008B2884">
        <w:rPr>
          <w:b/>
          <w:u w:val="single"/>
        </w:rPr>
        <w:t>Representation:</w:t>
      </w:r>
    </w:p>
    <w:p w14:paraId="5BCCFAF1" w14:textId="77777777" w:rsidR="008B2884" w:rsidRDefault="008B2884" w:rsidP="00157CBD">
      <w:pPr>
        <w:rPr>
          <w:b/>
        </w:rPr>
      </w:pPr>
    </w:p>
    <w:p w14:paraId="6AE52BDF" w14:textId="6298BFDD" w:rsidR="00630D17" w:rsidRDefault="008B2884" w:rsidP="00630D17">
      <w:pPr>
        <w:tabs>
          <w:tab w:val="left" w:pos="2410"/>
        </w:tabs>
        <w:ind w:left="2268" w:hanging="2268"/>
        <w:rPr>
          <w:bCs/>
        </w:rPr>
      </w:pPr>
      <w:r w:rsidRPr="00F1730C">
        <w:rPr>
          <w:bCs/>
        </w:rPr>
        <w:t>F</w:t>
      </w:r>
      <w:r w:rsidR="00157CBD" w:rsidRPr="00F1730C">
        <w:rPr>
          <w:bCs/>
        </w:rPr>
        <w:t>or the Appellant</w:t>
      </w:r>
      <w:r w:rsidRPr="00F1730C">
        <w:rPr>
          <w:bCs/>
        </w:rPr>
        <w:t>:</w:t>
      </w:r>
      <w:r w:rsidRPr="00F1730C">
        <w:rPr>
          <w:bCs/>
        </w:rPr>
        <w:tab/>
      </w:r>
      <w:r w:rsidR="00541207">
        <w:rPr>
          <w:bCs/>
        </w:rPr>
        <w:t>Mr L Allen, barrister of Miscon de Reya</w:t>
      </w:r>
    </w:p>
    <w:p w14:paraId="0E688102" w14:textId="77777777" w:rsidR="00630D17" w:rsidRDefault="00630D17" w:rsidP="00630D17">
      <w:pPr>
        <w:tabs>
          <w:tab w:val="left" w:pos="2410"/>
        </w:tabs>
        <w:ind w:left="2268" w:hanging="2268"/>
        <w:rPr>
          <w:bCs/>
        </w:rPr>
      </w:pPr>
    </w:p>
    <w:p w14:paraId="7127A595" w14:textId="20528B2E" w:rsidR="00157CBD" w:rsidRPr="00F1730C" w:rsidRDefault="000C049A" w:rsidP="00630D17">
      <w:pPr>
        <w:tabs>
          <w:tab w:val="left" w:pos="2410"/>
        </w:tabs>
        <w:ind w:left="2268" w:hanging="2268"/>
        <w:rPr>
          <w:bCs/>
        </w:rPr>
      </w:pPr>
      <w:r>
        <w:rPr>
          <w:bCs/>
        </w:rPr>
        <w:t>F</w:t>
      </w:r>
      <w:r w:rsidR="008B2884" w:rsidRPr="00F1730C">
        <w:rPr>
          <w:bCs/>
        </w:rPr>
        <w:t>or the Respondents:</w:t>
      </w:r>
      <w:r w:rsidR="00157CBD" w:rsidRPr="00F1730C">
        <w:rPr>
          <w:bCs/>
        </w:rPr>
        <w:t xml:space="preserve"> </w:t>
      </w:r>
      <w:r w:rsidR="008B2884" w:rsidRPr="00F1730C">
        <w:rPr>
          <w:bCs/>
        </w:rPr>
        <w:tab/>
      </w:r>
      <w:r w:rsidR="00541207">
        <w:rPr>
          <w:bCs/>
        </w:rPr>
        <w:t xml:space="preserve">Ms O Donovan </w:t>
      </w:r>
      <w:r w:rsidR="00F478CC" w:rsidRPr="00F1730C">
        <w:rPr>
          <w:bCs/>
        </w:rPr>
        <w:t>litigator of HM Revenue and Customs’ Solicitor’s Office</w:t>
      </w:r>
    </w:p>
    <w:p w14:paraId="19082D6F" w14:textId="77777777" w:rsidR="00CD5D96" w:rsidRDefault="00CD5D96" w:rsidP="00157CBD"/>
    <w:p w14:paraId="69C3A8CE" w14:textId="77777777" w:rsidR="001965D5" w:rsidRDefault="001965D5" w:rsidP="00157CBD">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122FCA7E" w14:textId="77777777" w:rsidR="001965D5" w:rsidRPr="00F937EA" w:rsidRDefault="001965D5" w:rsidP="00F937EA">
      <w:pPr>
        <w:jc w:val="center"/>
        <w:rPr>
          <w:b/>
        </w:rPr>
      </w:pPr>
      <w:r w:rsidRPr="00F937EA">
        <w:rPr>
          <w:b/>
        </w:rPr>
        <w:lastRenderedPageBreak/>
        <w:t>DECISION</w:t>
      </w:r>
    </w:p>
    <w:p w14:paraId="4E780D94" w14:textId="77777777" w:rsidR="008B2884" w:rsidRDefault="00231EFC" w:rsidP="00F937EA">
      <w:pPr>
        <w:pStyle w:val="Taxheading1"/>
      </w:pPr>
      <w:r w:rsidRPr="00F937EA">
        <w:t>Introduction</w:t>
      </w:r>
    </w:p>
    <w:p w14:paraId="6148F4C4" w14:textId="77777777" w:rsidR="00A07199" w:rsidRDefault="004C3616" w:rsidP="008B2884">
      <w:pPr>
        <w:pStyle w:val="Taxbodytext1"/>
      </w:pPr>
      <w:r>
        <w:t>This appeal concerns</w:t>
      </w:r>
      <w:r w:rsidR="00A07199">
        <w:t>:</w:t>
      </w:r>
    </w:p>
    <w:p w14:paraId="269482EC" w14:textId="6C38D220" w:rsidR="00A07199" w:rsidRDefault="00A07199" w:rsidP="00A07199">
      <w:pPr>
        <w:pStyle w:val="Taxbodytext2"/>
      </w:pPr>
      <w:r>
        <w:t xml:space="preserve">A </w:t>
      </w:r>
      <w:r w:rsidR="00BB3C3C">
        <w:t>ruling issued</w:t>
      </w:r>
      <w:r w:rsidR="007045D0">
        <w:t xml:space="preserve"> by HM Revenue &amp; Customs (</w:t>
      </w:r>
      <w:r w:rsidR="007045D0">
        <w:rPr>
          <w:b/>
          <w:bCs/>
        </w:rPr>
        <w:t>HMRC</w:t>
      </w:r>
      <w:r w:rsidR="007045D0">
        <w:t xml:space="preserve">) </w:t>
      </w:r>
      <w:r w:rsidR="00BB3C3C">
        <w:t xml:space="preserve">on 29 September 20217 </w:t>
      </w:r>
      <w:r w:rsidR="000A662A">
        <w:t xml:space="preserve">that safety tests carried out by </w:t>
      </w:r>
      <w:r w:rsidR="007045D0">
        <w:t>The Towards Zero Foundation (</w:t>
      </w:r>
      <w:r w:rsidR="007045D0">
        <w:rPr>
          <w:b/>
          <w:bCs/>
        </w:rPr>
        <w:t>Appellant</w:t>
      </w:r>
      <w:r w:rsidR="007045D0">
        <w:t>)</w:t>
      </w:r>
      <w:r w:rsidR="000A662A">
        <w:t xml:space="preserve"> for which no charge was made </w:t>
      </w:r>
      <w:r>
        <w:t xml:space="preserve">represented a non-business activity; and </w:t>
      </w:r>
    </w:p>
    <w:p w14:paraId="4CFD6BEC" w14:textId="541209AD" w:rsidR="00763B5F" w:rsidRPr="008B2884" w:rsidRDefault="004C3616" w:rsidP="00A244C4">
      <w:pPr>
        <w:pStyle w:val="Taxbodytext2"/>
      </w:pPr>
      <w:r>
        <w:t xml:space="preserve">assessments for prescribed accounting periods </w:t>
      </w:r>
      <w:r w:rsidR="00473AA2">
        <w:t>08/14 to 05/18</w:t>
      </w:r>
      <w:r>
        <w:t xml:space="preserve"> dated </w:t>
      </w:r>
      <w:r w:rsidR="00473AA2">
        <w:t>26 July 2</w:t>
      </w:r>
      <w:r w:rsidR="007045D0">
        <w:t>0</w:t>
      </w:r>
      <w:r w:rsidR="00473AA2">
        <w:t>18</w:t>
      </w:r>
      <w:r>
        <w:t xml:space="preserve"> in the total sum of £</w:t>
      </w:r>
      <w:r w:rsidRPr="00C20584">
        <w:t>1</w:t>
      </w:r>
      <w:r w:rsidR="00506538" w:rsidRPr="00C20584">
        <w:t>52,311</w:t>
      </w:r>
      <w:r>
        <w:t xml:space="preserve"> in respect of </w:t>
      </w:r>
      <w:r w:rsidR="007045D0">
        <w:t xml:space="preserve">residual </w:t>
      </w:r>
      <w:r>
        <w:t>input tax</w:t>
      </w:r>
      <w:r w:rsidR="00100C67">
        <w:t xml:space="preserve"> considered to be </w:t>
      </w:r>
      <w:r w:rsidR="00A244C4">
        <w:t>properly attributable to the non-business activity and thereby overclaimed by</w:t>
      </w:r>
      <w:r w:rsidR="007045D0">
        <w:t xml:space="preserve"> the Appellant</w:t>
      </w:r>
      <w:r>
        <w:t>.</w:t>
      </w:r>
    </w:p>
    <w:p w14:paraId="62FA76D9" w14:textId="23B67665" w:rsidR="00B20CD9" w:rsidRDefault="00B20CD9" w:rsidP="00F937EA">
      <w:pPr>
        <w:pStyle w:val="Taxheading1"/>
      </w:pPr>
      <w:r>
        <w:t>Background</w:t>
      </w:r>
    </w:p>
    <w:p w14:paraId="29E8B43E" w14:textId="24B8F7C8" w:rsidR="00B20CD9" w:rsidRDefault="00B20CD9" w:rsidP="00B20CD9">
      <w:pPr>
        <w:pStyle w:val="Taxbodytext1"/>
      </w:pPr>
      <w:r>
        <w:t xml:space="preserve">The Appellant was established as a charity in 2012.  Its </w:t>
      </w:r>
      <w:r w:rsidR="005F2637">
        <w:t xml:space="preserve">primary objective </w:t>
      </w:r>
      <w:r w:rsidR="007920A8">
        <w:t>is to achieve zero road traffic fatalities</w:t>
      </w:r>
      <w:r w:rsidR="003314E9">
        <w:t xml:space="preserve"> principally through the operation of New Car Assessment Programmes (</w:t>
      </w:r>
      <w:r w:rsidR="003314E9">
        <w:rPr>
          <w:b/>
          <w:bCs/>
        </w:rPr>
        <w:t>NCAP</w:t>
      </w:r>
      <w:r w:rsidR="003314E9">
        <w:t>).</w:t>
      </w:r>
    </w:p>
    <w:p w14:paraId="217A9137" w14:textId="77777777" w:rsidR="00867BD3" w:rsidRDefault="00B20CD9" w:rsidP="00B20CD9">
      <w:pPr>
        <w:pStyle w:val="Taxbodytext1"/>
      </w:pPr>
      <w:r>
        <w:t xml:space="preserve">The first </w:t>
      </w:r>
      <w:r w:rsidR="003314E9">
        <w:t xml:space="preserve">NCAP </w:t>
      </w:r>
      <w:r>
        <w:t xml:space="preserve">was established </w:t>
      </w:r>
      <w:r w:rsidR="00005DF3">
        <w:t xml:space="preserve">in 1979 in the US </w:t>
      </w:r>
      <w:r>
        <w:t xml:space="preserve">as a collaboration between governmental bodies with a view to improving car safety.  </w:t>
      </w:r>
      <w:r w:rsidR="003151AB">
        <w:t xml:space="preserve">The NCAP gives manufacturers the opportunity to independently evidence </w:t>
      </w:r>
      <w:r w:rsidR="00613849">
        <w:t xml:space="preserve">how well the cars they produce </w:t>
      </w:r>
      <w:r w:rsidR="00867BD3">
        <w:t>perform beyond legislative safety standards.</w:t>
      </w:r>
    </w:p>
    <w:p w14:paraId="71B61C92" w14:textId="7E050415" w:rsidR="00B20CD9" w:rsidRDefault="00B20CD9" w:rsidP="00B20CD9">
      <w:pPr>
        <w:pStyle w:val="Taxbodytext1"/>
      </w:pPr>
      <w:r>
        <w:t xml:space="preserve">In </w:t>
      </w:r>
      <w:r w:rsidR="00005DF3">
        <w:t>1997 Euro NCAP was established as a multi stakeholder non-profit making entity in Belgium.  The Appellant was established with a view to seeding and establishing NCAPs regionally across the globe.  At all times material to this appeal there are NCAPs fully established in China, Australia, Japan, Korea, Malaysia (ASEAC)</w:t>
      </w:r>
      <w:r w:rsidR="00097008">
        <w:t>.</w:t>
      </w:r>
    </w:p>
    <w:p w14:paraId="2CB30C8B" w14:textId="01D1BAF6" w:rsidR="00097008" w:rsidRDefault="004609A6" w:rsidP="00B20CD9">
      <w:pPr>
        <w:pStyle w:val="Taxbodytext1"/>
      </w:pPr>
      <w:r>
        <w:t>In summary</w:t>
      </w:r>
      <w:r w:rsidR="00D24A00">
        <w:t xml:space="preserve">, </w:t>
      </w:r>
      <w:r w:rsidR="00AC6A7B">
        <w:t xml:space="preserve">in each jurisdiction where a </w:t>
      </w:r>
      <w:r w:rsidR="00D24A00">
        <w:t>NCAP</w:t>
      </w:r>
      <w:r w:rsidR="00AC6A7B">
        <w:t xml:space="preserve"> is to be established the Appellant will purchase and crash test </w:t>
      </w:r>
      <w:r w:rsidR="00DC5AEC">
        <w:t xml:space="preserve">individual models of car manufactured for sale in that jurisdiction.  The initial testing is undertaken </w:t>
      </w:r>
      <w:r w:rsidR="003757F1">
        <w:t xml:space="preserve">on vehicles purchased by the Appellant </w:t>
      </w:r>
      <w:r w:rsidR="00903509">
        <w:t>by way of a “mystery shopping” exercise</w:t>
      </w:r>
      <w:r w:rsidR="00D86A3E">
        <w:t>; both the purchases and the testing is funded</w:t>
      </w:r>
      <w:r w:rsidR="00F23B8B">
        <w:t xml:space="preserve"> by the </w:t>
      </w:r>
      <w:r w:rsidR="007B5183">
        <w:t>Appellant</w:t>
      </w:r>
      <w:r w:rsidR="00903509">
        <w:t>.  The results of the tests (usually giving rise to substandard or unsatisfactory outcomes) are published</w:t>
      </w:r>
      <w:r w:rsidR="00BD7870">
        <w:t xml:space="preserve"> and </w:t>
      </w:r>
      <w:r w:rsidR="00BD6392">
        <w:t>socialised</w:t>
      </w:r>
      <w:r w:rsidR="00A92372">
        <w:t xml:space="preserve">. These results inform and influence customer buying behaviour </w:t>
      </w:r>
      <w:r w:rsidR="00B2457F">
        <w:t>which in turn drives manufacturers to improve the safety features</w:t>
      </w:r>
      <w:r w:rsidR="009C7D28">
        <w:t xml:space="preserve">.  Having improved safety in this way the </w:t>
      </w:r>
      <w:r w:rsidR="00C31097">
        <w:t>manufactures proactively seek (and pay for) further testing</w:t>
      </w:r>
      <w:r w:rsidR="00BD7870">
        <w:t>, utilising the improved ratings in the market.</w:t>
      </w:r>
      <w:r w:rsidR="002C5589">
        <w:t xml:space="preserve"> </w:t>
      </w:r>
      <w:r w:rsidR="00D24A00">
        <w:t xml:space="preserve"> </w:t>
      </w:r>
    </w:p>
    <w:p w14:paraId="03CE991E" w14:textId="3E35105D" w:rsidR="00D4639A" w:rsidRDefault="00D4639A" w:rsidP="00B20CD9">
      <w:pPr>
        <w:pStyle w:val="Taxbodytext1"/>
      </w:pPr>
      <w:r>
        <w:t xml:space="preserve">HMRC </w:t>
      </w:r>
      <w:r w:rsidR="00E4476A">
        <w:t xml:space="preserve">began enquiries into the Appellant’s VAT recovery as part of a broader charitable sector exercise </w:t>
      </w:r>
      <w:r w:rsidR="004770A2">
        <w:t xml:space="preserve">to establish whether the Appellant was appropriately restricting input tax </w:t>
      </w:r>
      <w:r w:rsidR="00340E79">
        <w:t>attributable to non-business activities.</w:t>
      </w:r>
      <w:r w:rsidR="004770A2">
        <w:t xml:space="preserve"> </w:t>
      </w:r>
    </w:p>
    <w:p w14:paraId="2A4118AC" w14:textId="4A1BDFBF" w:rsidR="006447CB" w:rsidRDefault="006447CB" w:rsidP="00B20CD9">
      <w:pPr>
        <w:pStyle w:val="Taxbodytext1"/>
      </w:pPr>
      <w:r>
        <w:t xml:space="preserve">There was no dispute between the parties that the </w:t>
      </w:r>
      <w:r w:rsidR="008A5F1A">
        <w:t>testing undertaken and paid for by the manufacturers was a business activity involving the making of taxable supplies</w:t>
      </w:r>
      <w:r w:rsidR="007B1E1A">
        <w:t xml:space="preserve"> giving rise to input tax recovery.  </w:t>
      </w:r>
      <w:r w:rsidR="00340E79">
        <w:t>H</w:t>
      </w:r>
      <w:r w:rsidR="00160660">
        <w:t xml:space="preserve">owever, HMRC considered that </w:t>
      </w:r>
      <w:r w:rsidR="007B1E1A">
        <w:t xml:space="preserve">the </w:t>
      </w:r>
      <w:r w:rsidR="00016DE1">
        <w:t xml:space="preserve">initial testing </w:t>
      </w:r>
      <w:r w:rsidR="00431EAE">
        <w:t xml:space="preserve">funded by the Appellant </w:t>
      </w:r>
      <w:r w:rsidR="00016DE1">
        <w:t xml:space="preserve">represented a non-business activity to which </w:t>
      </w:r>
      <w:r w:rsidR="003A29DA">
        <w:t xml:space="preserve">residual </w:t>
      </w:r>
      <w:r w:rsidR="00016DE1">
        <w:t xml:space="preserve">input tax </w:t>
      </w:r>
      <w:r w:rsidR="003A29DA">
        <w:t xml:space="preserve">(incurred in connection with the Appellant’s activities generally and as a whole) </w:t>
      </w:r>
      <w:r w:rsidR="00160660">
        <w:t>should</w:t>
      </w:r>
      <w:r w:rsidR="00431EAE">
        <w:t>, in part</w:t>
      </w:r>
      <w:r w:rsidR="000050FA">
        <w:t>,</w:t>
      </w:r>
      <w:r w:rsidR="00160660">
        <w:t xml:space="preserve"> be </w:t>
      </w:r>
      <w:r w:rsidR="00016DE1">
        <w:t>attribut</w:t>
      </w:r>
      <w:r w:rsidR="00431EAE">
        <w:t>ed</w:t>
      </w:r>
      <w:r w:rsidR="006F3CDB">
        <w:t xml:space="preserve">.  They raised the assessments </w:t>
      </w:r>
      <w:r w:rsidR="000050FA">
        <w:t>by reference to</w:t>
      </w:r>
      <w:r w:rsidR="006F3CDB">
        <w:t xml:space="preserve"> the information available </w:t>
      </w:r>
      <w:r w:rsidR="000050FA">
        <w:t xml:space="preserve">on the basis </w:t>
      </w:r>
      <w:r w:rsidR="006F3CDB">
        <w:t>that there should be a 40% restriction on general overhead input tax recovery</w:t>
      </w:r>
      <w:r w:rsidR="00961CF4">
        <w:t>.</w:t>
      </w:r>
    </w:p>
    <w:p w14:paraId="3373D4BA" w14:textId="203C466D" w:rsidR="006F3CDB" w:rsidRDefault="006F3CDB" w:rsidP="00B20CD9">
      <w:pPr>
        <w:pStyle w:val="Taxbodytext1"/>
      </w:pPr>
      <w:r>
        <w:t xml:space="preserve">The Appellant </w:t>
      </w:r>
      <w:r w:rsidR="00B52600">
        <w:t>disputes that it is engaged in any non-business activity and the validity of the assessments.</w:t>
      </w:r>
    </w:p>
    <w:p w14:paraId="33E26957" w14:textId="6E9F5E65" w:rsidR="00961CF4" w:rsidRDefault="00BB275E" w:rsidP="00961CF4">
      <w:pPr>
        <w:pStyle w:val="Taxheading1"/>
      </w:pPr>
      <w:r>
        <w:t>F</w:t>
      </w:r>
      <w:r w:rsidR="00961CF4">
        <w:t>indings of fact</w:t>
      </w:r>
    </w:p>
    <w:p w14:paraId="358B295F" w14:textId="5BA82FE7" w:rsidR="00961CF4" w:rsidRDefault="00961CF4" w:rsidP="00961CF4">
      <w:pPr>
        <w:pStyle w:val="Taxbodytext1"/>
      </w:pPr>
      <w:r>
        <w:t xml:space="preserve">The Tribunal was provided with a </w:t>
      </w:r>
      <w:r w:rsidR="00FE7BD0">
        <w:t>significant</w:t>
      </w:r>
      <w:r>
        <w:t xml:space="preserve"> volume of documents the vast majority of which were not directly referenced by either party</w:t>
      </w:r>
      <w:r w:rsidR="00597C41">
        <w:t xml:space="preserve">.  </w:t>
      </w:r>
      <w:r w:rsidR="001E1CE4">
        <w:t>David Ward (</w:t>
      </w:r>
      <w:r w:rsidR="00D44DE7">
        <w:t xml:space="preserve">president of the Appellant) </w:t>
      </w:r>
      <w:r w:rsidR="00D44DE7">
        <w:lastRenderedPageBreak/>
        <w:t xml:space="preserve">provided three witness statements </w:t>
      </w:r>
      <w:r w:rsidR="006E1AD6">
        <w:t>and gave oral testimony</w:t>
      </w:r>
      <w:r w:rsidR="00BF2E5A">
        <w:t xml:space="preserve">. </w:t>
      </w:r>
      <w:r w:rsidR="00B21076">
        <w:t xml:space="preserve"> HMRC cross examined Mr Ward but such cross examination was limited to </w:t>
      </w:r>
      <w:r w:rsidR="00BF2E5A">
        <w:t>the evidence as it pertained to the quantum and timing of the assessments and not the substantive evidence</w:t>
      </w:r>
      <w:r w:rsidR="007D4B28">
        <w:t xml:space="preserve"> regarding the operations of the Appellant</w:t>
      </w:r>
      <w:r w:rsidR="00632478">
        <w:t>.</w:t>
      </w:r>
      <w:r w:rsidR="0074492B">
        <w:t xml:space="preserve">  </w:t>
      </w:r>
    </w:p>
    <w:p w14:paraId="05CB0EEF" w14:textId="40795AF6" w:rsidR="00632478" w:rsidRDefault="00632478" w:rsidP="00961CF4">
      <w:pPr>
        <w:pStyle w:val="Taxbodytext1"/>
      </w:pPr>
      <w:r>
        <w:t>From the documents and witness evidence the Tribunal finds the following facts</w:t>
      </w:r>
      <w:r w:rsidR="0074492B">
        <w:t xml:space="preserve"> relevant to the determination of the dispute between the parties</w:t>
      </w:r>
      <w:r>
        <w:t>:</w:t>
      </w:r>
    </w:p>
    <w:p w14:paraId="7B801A55" w14:textId="44C29728" w:rsidR="00632478" w:rsidRDefault="00D15D09" w:rsidP="00970634">
      <w:pPr>
        <w:pStyle w:val="Taxbodytext2"/>
      </w:pPr>
      <w:r>
        <w:t xml:space="preserve">The NCAP was originally established </w:t>
      </w:r>
      <w:r w:rsidR="00A879B8">
        <w:t xml:space="preserve">and continues to have the objective of carrying out vehicle crash tests which are more stringent than </w:t>
      </w:r>
      <w:r w:rsidR="007D4B28">
        <w:t xml:space="preserve">those </w:t>
      </w:r>
      <w:r w:rsidR="000B05B1">
        <w:t>required by regulation and to make the results of those tests publicly available</w:t>
      </w:r>
      <w:r w:rsidR="00FA28B0">
        <w:t xml:space="preserve"> with a view to encouraging a market for safety</w:t>
      </w:r>
      <w:r w:rsidR="002A2254">
        <w:t>.</w:t>
      </w:r>
    </w:p>
    <w:p w14:paraId="3D276B81" w14:textId="554B62CB" w:rsidR="002A2254" w:rsidRDefault="00594A79" w:rsidP="00970634">
      <w:pPr>
        <w:pStyle w:val="Taxbodytext2"/>
      </w:pPr>
      <w:r>
        <w:t>NCAPs</w:t>
      </w:r>
      <w:r w:rsidR="00EF799C">
        <w:t xml:space="preserve"> have been established </w:t>
      </w:r>
      <w:r w:rsidR="00C26107">
        <w:t xml:space="preserve">both </w:t>
      </w:r>
      <w:r w:rsidR="00EF799C">
        <w:t xml:space="preserve">exclusively through governmental </w:t>
      </w:r>
      <w:r w:rsidR="003A7B0B">
        <w:t xml:space="preserve">support or as multi-party initiatives between </w:t>
      </w:r>
      <w:r w:rsidR="00FC0D3B">
        <w:t>public authorities and consumer advocacy groups.</w:t>
      </w:r>
    </w:p>
    <w:p w14:paraId="019CB6E4" w14:textId="4819E4C1" w:rsidR="00FC0D3B" w:rsidRDefault="00FC0D3B" w:rsidP="00970634">
      <w:pPr>
        <w:pStyle w:val="Taxbodytext2"/>
      </w:pPr>
      <w:r>
        <w:t>The effect of NCAPs ha</w:t>
      </w:r>
      <w:r w:rsidR="003C7CCD">
        <w:t>s been to improve vehicle safety in the jurisdictions in which they are established</w:t>
      </w:r>
      <w:r w:rsidR="005C3A64">
        <w:t>.</w:t>
      </w:r>
    </w:p>
    <w:p w14:paraId="1BD81053" w14:textId="630428C6" w:rsidR="003A155C" w:rsidRDefault="00D51F16" w:rsidP="00F062B0">
      <w:pPr>
        <w:pStyle w:val="Taxbodytext2"/>
      </w:pPr>
      <w:r>
        <w:t>Initially t</w:t>
      </w:r>
      <w:r w:rsidR="00700495">
        <w:t>hrough</w:t>
      </w:r>
      <w:r w:rsidR="00853E86">
        <w:t xml:space="preserve"> </w:t>
      </w:r>
      <w:r w:rsidR="005D6C05">
        <w:t xml:space="preserve">the use of </w:t>
      </w:r>
      <w:r w:rsidR="00853E86">
        <w:t>philanthropic don</w:t>
      </w:r>
      <w:r w:rsidR="00700495">
        <w:t>ation</w:t>
      </w:r>
      <w:r w:rsidR="005D6C05">
        <w:t>s,</w:t>
      </w:r>
      <w:r>
        <w:t xml:space="preserve"> the Appellant </w:t>
      </w:r>
      <w:r w:rsidR="006D6E43">
        <w:t>provide</w:t>
      </w:r>
      <w:r>
        <w:t>s</w:t>
      </w:r>
      <w:r w:rsidR="006D6E43">
        <w:t xml:space="preserve"> financial and technical support in order to </w:t>
      </w:r>
      <w:r w:rsidR="00700495">
        <w:t>initiate pilot NCAPs in new jurisdictions</w:t>
      </w:r>
      <w:r w:rsidR="007D4B28">
        <w:t>.  In the period covered by the appeal NCAPs have been seeded in</w:t>
      </w:r>
      <w:r w:rsidR="005D6C05">
        <w:t xml:space="preserve"> south</w:t>
      </w:r>
      <w:r w:rsidR="007C72C2">
        <w:t>-</w:t>
      </w:r>
      <w:r w:rsidR="005D6C05">
        <w:t>east Asia, Latin America</w:t>
      </w:r>
      <w:r w:rsidR="00597954">
        <w:t>, India and South Africa</w:t>
      </w:r>
      <w:r w:rsidR="008B69B2">
        <w:t xml:space="preserve">.  </w:t>
      </w:r>
      <w:r w:rsidR="00FE347E">
        <w:t xml:space="preserve">New jurisdictions for establishment of a programme are identified by the Appellant </w:t>
      </w:r>
      <w:r w:rsidR="004C05C9">
        <w:t>by reference to road fatality statistics</w:t>
      </w:r>
      <w:r w:rsidR="002D2DA9">
        <w:t xml:space="preserve">.  </w:t>
      </w:r>
      <w:r w:rsidR="008B69B2">
        <w:t xml:space="preserve">The Appellant funds </w:t>
      </w:r>
      <w:r w:rsidR="00836E51">
        <w:t>local NCAPs</w:t>
      </w:r>
      <w:r w:rsidR="00AB39ED">
        <w:t xml:space="preserve"> in relation to </w:t>
      </w:r>
      <w:r w:rsidR="008B69B2">
        <w:t>the initial purchase of vehicles to be tested</w:t>
      </w:r>
      <w:r w:rsidR="0076619E">
        <w:t xml:space="preserve">.  </w:t>
      </w:r>
    </w:p>
    <w:p w14:paraId="480B1A8E" w14:textId="35D44677" w:rsidR="00500FDD" w:rsidRDefault="00F062B0" w:rsidP="00F062B0">
      <w:pPr>
        <w:pStyle w:val="Taxbodytext2"/>
      </w:pPr>
      <w:r>
        <w:t xml:space="preserve">In the start up phase for an NCAP it is necessary to test vehicles without manufacturer support </w:t>
      </w:r>
      <w:r w:rsidR="0005657E">
        <w:t xml:space="preserve">as the independence of the testing programme is critical </w:t>
      </w:r>
      <w:r>
        <w:t>in order to establish consumer credibility</w:t>
      </w:r>
      <w:r w:rsidR="00500FDD">
        <w:t xml:space="preserve">. </w:t>
      </w:r>
      <w:r w:rsidR="00AC2999">
        <w:t xml:space="preserve">  These </w:t>
      </w:r>
      <w:r w:rsidR="007D4B28">
        <w:t xml:space="preserve">initial </w:t>
      </w:r>
      <w:r w:rsidR="00AC2999">
        <w:t>tests are funded by the Appellant</w:t>
      </w:r>
      <w:r w:rsidR="00205D74">
        <w:t>.</w:t>
      </w:r>
    </w:p>
    <w:p w14:paraId="7DF3B838" w14:textId="6203B29B" w:rsidR="00AB518C" w:rsidRPr="00961CF4" w:rsidRDefault="00AB518C" w:rsidP="00AB518C">
      <w:pPr>
        <w:pStyle w:val="Taxbodytext2"/>
      </w:pPr>
      <w:r>
        <w:t xml:space="preserve">The testing programme typically involves a number of crash tests </w:t>
      </w:r>
      <w:r w:rsidR="00147B5F">
        <w:t xml:space="preserve">on a particular </w:t>
      </w:r>
      <w:r>
        <w:t xml:space="preserve">model </w:t>
      </w:r>
      <w:r w:rsidR="00147B5F">
        <w:t xml:space="preserve">of car </w:t>
      </w:r>
      <w:r>
        <w:t>through which forward and side impact</w:t>
      </w:r>
      <w:r w:rsidR="0064624F">
        <w:t xml:space="preserve"> to the vehicle</w:t>
      </w:r>
      <w:r>
        <w:t xml:space="preserve"> </w:t>
      </w:r>
      <w:r w:rsidR="0061520F">
        <w:t>is</w:t>
      </w:r>
      <w:r>
        <w:t xml:space="preserve"> monitored.  The tests use instrumented dummies to measure the crash forces that can lead to injury.</w:t>
      </w:r>
      <w:r w:rsidR="00533BA8">
        <w:t xml:space="preserve">  The testing facilities used by the Appellant are not located in the UK</w:t>
      </w:r>
      <w:r w:rsidR="008145D6">
        <w:t>.</w:t>
      </w:r>
    </w:p>
    <w:p w14:paraId="18F54658" w14:textId="00FBECA0" w:rsidR="009F58EB" w:rsidRDefault="00500FDD" w:rsidP="00F062B0">
      <w:pPr>
        <w:pStyle w:val="Taxbodytext2"/>
      </w:pPr>
      <w:r>
        <w:t xml:space="preserve">The early phase of testing frequently </w:t>
      </w:r>
      <w:r w:rsidR="00D6556E">
        <w:t>exposes that the vehicles manufactured in a</w:t>
      </w:r>
      <w:r w:rsidR="00F335A8">
        <w:t xml:space="preserve">n </w:t>
      </w:r>
      <w:r w:rsidR="00D6556E">
        <w:t xml:space="preserve">economy </w:t>
      </w:r>
      <w:r w:rsidR="00F335A8">
        <w:t xml:space="preserve">with historically low car (or certainly new car) ownership, </w:t>
      </w:r>
      <w:r w:rsidR="00D6556E">
        <w:t>perform poorly</w:t>
      </w:r>
      <w:r w:rsidR="00F335A8">
        <w:t xml:space="preserve">.  </w:t>
      </w:r>
      <w:r w:rsidR="00A43A45">
        <w:t xml:space="preserve">It is often the case that in these emerging markets the vehicles manufactured </w:t>
      </w:r>
      <w:r w:rsidR="009F58EB">
        <w:t xml:space="preserve">do not meet the minimum safety standards set by the United Nations.  </w:t>
      </w:r>
      <w:r w:rsidR="00BC554B">
        <w:t xml:space="preserve">As a consequence </w:t>
      </w:r>
      <w:r w:rsidR="009E6258">
        <w:t>it is rarely in the manufacturers’ interests to obtain the first baseline safety assessment.</w:t>
      </w:r>
    </w:p>
    <w:p w14:paraId="21BD0304" w14:textId="304E7F3B" w:rsidR="00CC3D83" w:rsidRDefault="009F58EB" w:rsidP="00F062B0">
      <w:pPr>
        <w:pStyle w:val="Taxbodytext2"/>
      </w:pPr>
      <w:r>
        <w:t xml:space="preserve">The Appellant </w:t>
      </w:r>
      <w:r w:rsidR="005E6613">
        <w:t xml:space="preserve">generates publicity of the results though social media, </w:t>
      </w:r>
      <w:r w:rsidR="00452033">
        <w:t>news coverage, trade press etc. (examples of which were available to the Tribunal)</w:t>
      </w:r>
      <w:r w:rsidR="005424F4">
        <w:t xml:space="preserve">.  </w:t>
      </w:r>
      <w:r w:rsidR="00B249ED">
        <w:t xml:space="preserve">Informed customers look to purchase the safest vehicles they can afford to buy </w:t>
      </w:r>
      <w:r w:rsidR="007671C0">
        <w:t xml:space="preserve">by reference to the data produced and disseminated by the Appellant </w:t>
      </w:r>
      <w:r w:rsidR="00141E32">
        <w:t xml:space="preserve">and thereby </w:t>
      </w:r>
      <w:r w:rsidR="009E6258">
        <w:t>drive</w:t>
      </w:r>
      <w:r w:rsidR="00141E32">
        <w:t xml:space="preserve"> manufacturers to improve the safety standard of the models available at each price point</w:t>
      </w:r>
      <w:r w:rsidR="00CC3D83">
        <w:t>.</w:t>
      </w:r>
    </w:p>
    <w:p w14:paraId="690A9832" w14:textId="6FD0FA90" w:rsidR="00CE226A" w:rsidRDefault="00C2792F" w:rsidP="00F062B0">
      <w:pPr>
        <w:pStyle w:val="Taxbodytext2"/>
      </w:pPr>
      <w:r>
        <w:t>After a number of test phases manufacturer performance improves</w:t>
      </w:r>
      <w:r w:rsidR="000B37A8">
        <w:t xml:space="preserve"> as vehicle models </w:t>
      </w:r>
      <w:r w:rsidR="00BE6132">
        <w:t>incorporate increasing effective safety features as standard</w:t>
      </w:r>
      <w:r w:rsidR="00360C4E">
        <w:t xml:space="preserve">. </w:t>
      </w:r>
      <w:r>
        <w:t xml:space="preserve"> </w:t>
      </w:r>
      <w:r w:rsidR="00360C4E">
        <w:t>M</w:t>
      </w:r>
      <w:r w:rsidR="000D016D">
        <w:t xml:space="preserve">anufacturers </w:t>
      </w:r>
      <w:r w:rsidR="00360C4E">
        <w:t xml:space="preserve">then </w:t>
      </w:r>
      <w:r w:rsidR="00E71993">
        <w:t xml:space="preserve">proactively seek </w:t>
      </w:r>
      <w:r w:rsidR="00DB1614">
        <w:t xml:space="preserve">and make payment for the </w:t>
      </w:r>
      <w:r w:rsidR="00E71993">
        <w:t>testing of the</w:t>
      </w:r>
      <w:r w:rsidR="00DB1614">
        <w:t>se</w:t>
      </w:r>
      <w:r w:rsidR="00E71993">
        <w:t xml:space="preserve"> </w:t>
      </w:r>
      <w:r w:rsidR="00DB1614">
        <w:t>improved</w:t>
      </w:r>
      <w:r w:rsidR="00E71993">
        <w:t xml:space="preserve"> models</w:t>
      </w:r>
      <w:r w:rsidR="00196674">
        <w:t xml:space="preserve">.  In essence the manufacturers want to show the market </w:t>
      </w:r>
      <w:r w:rsidR="00A65D27">
        <w:t>that safety has been improved deriving commercial advantage from that improvement.</w:t>
      </w:r>
      <w:r w:rsidR="00732BE6">
        <w:t xml:space="preserve"> </w:t>
      </w:r>
      <w:r w:rsidR="004D22C1">
        <w:t xml:space="preserve"> Such manufacturers will use the improved ratings in their own marketing of the vehicles.</w:t>
      </w:r>
      <w:r w:rsidR="00732BE6">
        <w:t xml:space="preserve"> </w:t>
      </w:r>
      <w:r w:rsidR="009E6258">
        <w:t xml:space="preserve"> By way of example the Renault Kwid when originally launched in India in 2016 received a zero-star rating, however, when the revised model was launched in 2018 it had 4 air bags, Renault </w:t>
      </w:r>
      <w:r w:rsidR="00640A42">
        <w:t>paid for a safety test thereby credentialising the improvement in safety</w:t>
      </w:r>
      <w:r w:rsidR="009E6258">
        <w:t>.</w:t>
      </w:r>
    </w:p>
    <w:p w14:paraId="2469A63E" w14:textId="3E53954F" w:rsidR="00C26107" w:rsidRDefault="00657F98" w:rsidP="00F062B0">
      <w:pPr>
        <w:pStyle w:val="Taxbodytext2"/>
      </w:pPr>
      <w:r>
        <w:t>As the market</w:t>
      </w:r>
      <w:r w:rsidR="005C2B74">
        <w:t xml:space="preserve"> sophistication increases the NCAP </w:t>
      </w:r>
      <w:r w:rsidR="008335FF">
        <w:t xml:space="preserve">star </w:t>
      </w:r>
      <w:r w:rsidR="00BB5749">
        <w:t>ratings for vehicles are used by the manufacturers in promotion of the vehicles</w:t>
      </w:r>
      <w:r w:rsidR="00373A0A">
        <w:t xml:space="preserve">.  </w:t>
      </w:r>
      <w:r w:rsidR="00F70F00">
        <w:t xml:space="preserve">They are also a feature in independent evaluation of </w:t>
      </w:r>
      <w:r w:rsidR="00B8655C">
        <w:t>vehicles, f</w:t>
      </w:r>
      <w:r w:rsidR="00373A0A">
        <w:t xml:space="preserve">or example </w:t>
      </w:r>
      <w:r w:rsidR="00002505">
        <w:rPr>
          <w:i/>
          <w:iCs/>
        </w:rPr>
        <w:t xml:space="preserve">Which? </w:t>
      </w:r>
      <w:r w:rsidR="00002505">
        <w:t xml:space="preserve">And </w:t>
      </w:r>
      <w:r w:rsidR="00002505">
        <w:rPr>
          <w:i/>
          <w:iCs/>
        </w:rPr>
        <w:t>What Car</w:t>
      </w:r>
      <w:r w:rsidR="00002505">
        <w:t xml:space="preserve"> magazines </w:t>
      </w:r>
      <w:r w:rsidR="0054513E">
        <w:t xml:space="preserve">include the Euro NCAP </w:t>
      </w:r>
      <w:r w:rsidR="00F63CF0">
        <w:t xml:space="preserve">ratings </w:t>
      </w:r>
      <w:r w:rsidR="00791544">
        <w:t>in all vehicle reviews</w:t>
      </w:r>
      <w:r w:rsidR="00207C7E">
        <w:t xml:space="preserve">. </w:t>
      </w:r>
      <w:r w:rsidR="00F63CF0">
        <w:t xml:space="preserve"> </w:t>
      </w:r>
    </w:p>
    <w:p w14:paraId="6CA2DB99" w14:textId="42FB3B56" w:rsidR="00D66BA5" w:rsidRDefault="00424871" w:rsidP="00F062B0">
      <w:pPr>
        <w:pStyle w:val="Taxbodytext2"/>
      </w:pPr>
      <w:r>
        <w:t xml:space="preserve">The aim of the Appellant is for each jurisdictional NCAP to </w:t>
      </w:r>
      <w:r w:rsidR="00205D74">
        <w:t xml:space="preserve">ultimately </w:t>
      </w:r>
      <w:r>
        <w:t xml:space="preserve">become self-funding through manufacturer </w:t>
      </w:r>
      <w:r w:rsidR="001405D0">
        <w:t>testing fees</w:t>
      </w:r>
      <w:r w:rsidR="00205F78">
        <w:t xml:space="preserve"> and for the</w:t>
      </w:r>
      <w:r w:rsidR="00C608FA">
        <w:t xml:space="preserve"> NCAP to the</w:t>
      </w:r>
      <w:r w:rsidR="00466756">
        <w:t xml:space="preserve">n </w:t>
      </w:r>
      <w:r w:rsidR="00C608FA">
        <w:t xml:space="preserve"> operate independently from the Appellant</w:t>
      </w:r>
      <w:r w:rsidR="00FC14CD">
        <w:t xml:space="preserve">.  This method of establishment is proving successful.  </w:t>
      </w:r>
      <w:r w:rsidR="0022383D">
        <w:t xml:space="preserve">By 2018, </w:t>
      </w:r>
      <w:r w:rsidR="00FC14CD">
        <w:t>Safer Cars for India</w:t>
      </w:r>
      <w:r w:rsidR="0022383D">
        <w:t>, had</w:t>
      </w:r>
      <w:r w:rsidR="007B3050">
        <w:t xml:space="preserve"> awarded its first </w:t>
      </w:r>
      <w:r w:rsidR="00486F2A">
        <w:t>5-star</w:t>
      </w:r>
      <w:r w:rsidR="007B3050">
        <w:t xml:space="preserve"> rating for a car and manufacturer funded testing was commonplace</w:t>
      </w:r>
      <w:r w:rsidR="00F63371">
        <w:t xml:space="preserve">.  In parallel the Indian Government </w:t>
      </w:r>
      <w:r w:rsidR="00C6426E">
        <w:t>improved the regulated safety environment mandating the minimum UN crash test standards</w:t>
      </w:r>
      <w:r w:rsidR="00E06121">
        <w:t xml:space="preserve">.  Similarly, for Latin America </w:t>
      </w:r>
      <w:r w:rsidR="00D20AE8">
        <w:t xml:space="preserve">by 2019 83% of the testing undertaken </w:t>
      </w:r>
      <w:r w:rsidR="00156176">
        <w:t>had become manufacturer funded.</w:t>
      </w:r>
    </w:p>
    <w:p w14:paraId="0F0656E7" w14:textId="5B95B0D3" w:rsidR="00651BBE" w:rsidRDefault="00483425" w:rsidP="00F062B0">
      <w:pPr>
        <w:pStyle w:val="Taxbodytext2"/>
      </w:pPr>
      <w:r>
        <w:t>I</w:t>
      </w:r>
      <w:r w:rsidR="00DB1614">
        <w:t>n a jurisdiction with an established and mature programme</w:t>
      </w:r>
      <w:r w:rsidR="00DD66B3">
        <w:t xml:space="preserve"> of </w:t>
      </w:r>
      <w:r w:rsidR="00504188">
        <w:t>manufacturer funded testing</w:t>
      </w:r>
      <w:r w:rsidR="00E46394">
        <w:t>,</w:t>
      </w:r>
      <w:r w:rsidR="00504188">
        <w:t xml:space="preserve"> non-</w:t>
      </w:r>
      <w:r w:rsidR="00E46394">
        <w:t xml:space="preserve">manufacturer </w:t>
      </w:r>
      <w:r w:rsidR="00504188">
        <w:t xml:space="preserve">requested testing will </w:t>
      </w:r>
      <w:r w:rsidR="001216B4">
        <w:t xml:space="preserve">periodically </w:t>
      </w:r>
      <w:r w:rsidR="00504188">
        <w:t>continue to be undertaken</w:t>
      </w:r>
      <w:r w:rsidR="004131A7">
        <w:t xml:space="preserve"> </w:t>
      </w:r>
      <w:r w:rsidR="001440F2">
        <w:t>to maintain independence</w:t>
      </w:r>
      <w:r w:rsidR="00F71DC7">
        <w:t>, particularly in weakly regulated markets</w:t>
      </w:r>
      <w:r>
        <w:t xml:space="preserve"> and to ensure that </w:t>
      </w:r>
      <w:r w:rsidR="00135750">
        <w:t>under-performing models are still rated</w:t>
      </w:r>
      <w:r w:rsidR="00F71DC7">
        <w:t>.</w:t>
      </w:r>
      <w:r w:rsidR="00E46394">
        <w:t xml:space="preserve">  100% manufacturer funded testing </w:t>
      </w:r>
      <w:r w:rsidR="00DD3E56">
        <w:t xml:space="preserve">will therefore never be the aim of an established NCAP.  For the autonomous NCAPs the </w:t>
      </w:r>
      <w:r w:rsidR="00673D21">
        <w:t>“free” tests are undertaken for the benefit of the programme as a whole and the cost is met</w:t>
      </w:r>
      <w:r w:rsidR="00CC16E0">
        <w:t xml:space="preserve"> as a general cost of providing the taxable supplies of manufacturer funded tests.</w:t>
      </w:r>
    </w:p>
    <w:p w14:paraId="05CCB33F" w14:textId="7E72656D" w:rsidR="000D513A" w:rsidRDefault="00782EB2" w:rsidP="00F062B0">
      <w:pPr>
        <w:pStyle w:val="Taxbodytext2"/>
      </w:pPr>
      <w:r>
        <w:t xml:space="preserve">For the jurisdictions </w:t>
      </w:r>
      <w:r w:rsidR="00054962">
        <w:t>under establishment in the periods covered by the assessment (south-east Asia, Latin America, India and South Africa)</w:t>
      </w:r>
      <w:r w:rsidR="00495D1A">
        <w:t xml:space="preserve"> it is the Appellant which has made supplies of testing to the manufacturers who have paid </w:t>
      </w:r>
      <w:r w:rsidR="00153F64">
        <w:t>for such tests.  The income generated from such testing has increased year on year</w:t>
      </w:r>
      <w:r w:rsidR="002128EE">
        <w:t xml:space="preserve"> and it is not disputed that such income is consideration for a supply of taxable services (albeit that the place of supply of such services is </w:t>
      </w:r>
      <w:r w:rsidR="00A302FB">
        <w:t>that of the manufacturer in question and not the UK)</w:t>
      </w:r>
      <w:r w:rsidR="001E3982">
        <w:t>.</w:t>
      </w:r>
    </w:p>
    <w:p w14:paraId="765BBECA" w14:textId="46A438C4" w:rsidR="003A29DA" w:rsidRDefault="003A29DA" w:rsidP="00F062B0">
      <w:pPr>
        <w:pStyle w:val="Taxbodytext2"/>
      </w:pPr>
      <w:r>
        <w:t xml:space="preserve">The </w:t>
      </w:r>
      <w:r w:rsidR="00AD40DF">
        <w:t xml:space="preserve">majority of the costs incurred by the Appellant </w:t>
      </w:r>
      <w:r w:rsidR="007E22A9">
        <w:t>are non-UK costs</w:t>
      </w:r>
      <w:r w:rsidR="00104240">
        <w:t xml:space="preserve"> i.e. the cost of purchasing the vehicles to be tested and the </w:t>
      </w:r>
      <w:r w:rsidR="00B61940">
        <w:t xml:space="preserve">conduct of the tests are non-UK </w:t>
      </w:r>
      <w:r w:rsidR="001D36BD">
        <w:t>costs,</w:t>
      </w:r>
      <w:r w:rsidR="00B61940">
        <w:t xml:space="preserve"> and no UK VAT is incurred in connection with them.  However, as the </w:t>
      </w:r>
      <w:r>
        <w:t>Appellant</w:t>
      </w:r>
      <w:r w:rsidR="00B61940">
        <w:t xml:space="preserve"> is established in and operated from the UK</w:t>
      </w:r>
      <w:r w:rsidR="008E6185">
        <w:t xml:space="preserve"> it </w:t>
      </w:r>
      <w:r>
        <w:t xml:space="preserve">incurs input tax in </w:t>
      </w:r>
      <w:r w:rsidR="008E6185">
        <w:t>connection with its overhead running costs</w:t>
      </w:r>
      <w:r w:rsidR="00B46BA1">
        <w:t xml:space="preserve">, particularly </w:t>
      </w:r>
      <w:r w:rsidR="00BC3904">
        <w:t>marketing and consultancy costs</w:t>
      </w:r>
      <w:r w:rsidR="008E6185">
        <w:t>.  It is the recovery of these costs which are at issue in this appeal.</w:t>
      </w:r>
      <w:r>
        <w:t xml:space="preserve"> </w:t>
      </w:r>
    </w:p>
    <w:p w14:paraId="42EA34E1" w14:textId="174489C2" w:rsidR="004F5F35" w:rsidRDefault="004F5F35" w:rsidP="00F937EA">
      <w:pPr>
        <w:pStyle w:val="Taxheading1"/>
      </w:pPr>
      <w:r>
        <w:t>Legislation</w:t>
      </w:r>
    </w:p>
    <w:p w14:paraId="3D6379EF" w14:textId="4FD9F552" w:rsidR="0041701D" w:rsidRDefault="0041701D" w:rsidP="004F5F35">
      <w:pPr>
        <w:pStyle w:val="Taxbodytext1"/>
      </w:pPr>
      <w:r>
        <w:t>Article 2(1) Principal VAT Directive (</w:t>
      </w:r>
      <w:r>
        <w:rPr>
          <w:b/>
          <w:bCs/>
        </w:rPr>
        <w:t>PVD</w:t>
      </w:r>
      <w:r>
        <w:t xml:space="preserve">) provides that “the supply of goods for a consideration within the territory of a Member State by a taxable person action as such” shall be subject to VAT.  </w:t>
      </w:r>
    </w:p>
    <w:p w14:paraId="77A526F3" w14:textId="1D10C120" w:rsidR="0041701D" w:rsidRDefault="0041701D" w:rsidP="004F5F35">
      <w:pPr>
        <w:pStyle w:val="Taxbodytext1"/>
      </w:pPr>
      <w:r>
        <w:t>“Taxable person” is defined in Article 9 PVD as “any person who, independently</w:t>
      </w:r>
      <w:r w:rsidR="00A728F4">
        <w:t>, carries out in any place any economic activity, whatever the purpose or results of that activity”.</w:t>
      </w:r>
    </w:p>
    <w:p w14:paraId="3B65A64D" w14:textId="6D827FCC" w:rsidR="004F5F35" w:rsidRDefault="00B96E37" w:rsidP="004F5F35">
      <w:pPr>
        <w:pStyle w:val="Taxbodytext1"/>
      </w:pPr>
      <w:r>
        <w:t>Section</w:t>
      </w:r>
      <w:r w:rsidR="006572CA">
        <w:t>s</w:t>
      </w:r>
      <w:r>
        <w:t xml:space="preserve"> 4 </w:t>
      </w:r>
      <w:r w:rsidR="006572CA">
        <w:t xml:space="preserve">and 5 </w:t>
      </w:r>
      <w:r>
        <w:t xml:space="preserve">Value Added Taxes Act 1994 </w:t>
      </w:r>
      <w:r w:rsidR="006572CA">
        <w:t>(</w:t>
      </w:r>
      <w:r w:rsidR="006572CA">
        <w:rPr>
          <w:b/>
          <w:bCs/>
        </w:rPr>
        <w:t>VATA</w:t>
      </w:r>
      <w:r w:rsidR="006572CA">
        <w:t>) prov</w:t>
      </w:r>
      <w:r w:rsidR="00CC2DE9">
        <w:t xml:space="preserve">ide the domestic implementation of Articles 2 and 9 </w:t>
      </w:r>
      <w:r w:rsidR="00CD13B9">
        <w:t>though the language adopted replaces eco</w:t>
      </w:r>
      <w:r w:rsidR="008B0A7F">
        <w:t>nomic activity with “business”.</w:t>
      </w:r>
    </w:p>
    <w:p w14:paraId="49C73425" w14:textId="703F43D5" w:rsidR="006572CA" w:rsidRPr="004F5F35" w:rsidRDefault="008B0A7F" w:rsidP="004F5F35">
      <w:pPr>
        <w:pStyle w:val="Taxbodytext1"/>
      </w:pPr>
      <w:r>
        <w:t xml:space="preserve">Articles 168 PVD and the domestic implementation </w:t>
      </w:r>
      <w:r w:rsidR="00786080">
        <w:t>in s</w:t>
      </w:r>
      <w:r w:rsidR="006572CA">
        <w:t>ection 26</w:t>
      </w:r>
      <w:r w:rsidR="00786080">
        <w:t xml:space="preserve"> provides for a taxable person to credit as input tax </w:t>
      </w:r>
      <w:r w:rsidR="00E64282">
        <w:t xml:space="preserve">in respect of so much of the </w:t>
      </w:r>
      <w:r w:rsidR="00786080">
        <w:t xml:space="preserve">VAT it incurs </w:t>
      </w:r>
      <w:r w:rsidR="00E64282">
        <w:t xml:space="preserve">on supplies made to it as </w:t>
      </w:r>
      <w:r w:rsidR="00276053">
        <w:t>is attributable to taxable supplies made by it.</w:t>
      </w:r>
    </w:p>
    <w:p w14:paraId="3D17B302" w14:textId="4A3F166A" w:rsidR="00A728F4" w:rsidRDefault="00A728F4" w:rsidP="00F937EA">
      <w:pPr>
        <w:pStyle w:val="Taxheading1"/>
      </w:pPr>
      <w:r>
        <w:t>Relevant case law</w:t>
      </w:r>
    </w:p>
    <w:p w14:paraId="714BCA14" w14:textId="52FB0DF5" w:rsidR="00CB610F" w:rsidRPr="00CB610F" w:rsidRDefault="00CB610F" w:rsidP="00CB610F">
      <w:pPr>
        <w:pStyle w:val="Taxheading2"/>
      </w:pPr>
      <w:r>
        <w:t>Wakefield College</w:t>
      </w:r>
    </w:p>
    <w:p w14:paraId="1A26F08F" w14:textId="76FA9D94" w:rsidR="00A728F4" w:rsidRDefault="000F1DDC" w:rsidP="00A728F4">
      <w:pPr>
        <w:pStyle w:val="Taxbodytext1"/>
      </w:pPr>
      <w:r>
        <w:t>The</w:t>
      </w:r>
      <w:r w:rsidR="003843F7">
        <w:t xml:space="preserve"> case </w:t>
      </w:r>
      <w:r w:rsidR="00365704">
        <w:t xml:space="preserve">of </w:t>
      </w:r>
      <w:r w:rsidR="00365704">
        <w:rPr>
          <w:i/>
          <w:iCs/>
        </w:rPr>
        <w:t xml:space="preserve">Wakefield College v HMRC </w:t>
      </w:r>
      <w:r w:rsidR="00365704">
        <w:t xml:space="preserve">[2018] EWCA Civ </w:t>
      </w:r>
      <w:r w:rsidR="007520D5">
        <w:t>952</w:t>
      </w:r>
      <w:r>
        <w:t xml:space="preserve"> </w:t>
      </w:r>
      <w:r w:rsidR="00365704">
        <w:t>provides the latest author</w:t>
      </w:r>
      <w:r w:rsidR="00460C5E">
        <w:t>itative test by reference to which the question as to whether an activity constitute</w:t>
      </w:r>
      <w:r w:rsidR="00C205A9">
        <w:t>s a business or economic activity</w:t>
      </w:r>
      <w:r w:rsidR="00CC16E0">
        <w:t xml:space="preserve"> is determined</w:t>
      </w:r>
      <w:r w:rsidR="00C205A9">
        <w:t>.  In that judgment the Court of Appeal consider</w:t>
      </w:r>
      <w:r w:rsidR="00CC16E0">
        <w:t>ed</w:t>
      </w:r>
      <w:r w:rsidR="00C205A9">
        <w:t xml:space="preserve"> the relevant case law</w:t>
      </w:r>
      <w:r w:rsidR="006E1823">
        <w:t xml:space="preserve"> of the Court of Justice of the European Union (</w:t>
      </w:r>
      <w:r w:rsidR="006E1823">
        <w:rPr>
          <w:b/>
          <w:bCs/>
        </w:rPr>
        <w:t>CJEU</w:t>
      </w:r>
      <w:r w:rsidR="006E1823">
        <w:t>)</w:t>
      </w:r>
      <w:r w:rsidR="00C205A9">
        <w:t>.</w:t>
      </w:r>
    </w:p>
    <w:p w14:paraId="25BAB800" w14:textId="62EBE402" w:rsidR="0060287A" w:rsidRDefault="0054068D" w:rsidP="003B4F38">
      <w:pPr>
        <w:pStyle w:val="Taxbodytext1"/>
      </w:pPr>
      <w:r>
        <w:t xml:space="preserve">From </w:t>
      </w:r>
      <w:r w:rsidRPr="0060287A">
        <w:rPr>
          <w:i/>
          <w:iCs/>
        </w:rPr>
        <w:t xml:space="preserve">Wakefield </w:t>
      </w:r>
      <w:r>
        <w:t xml:space="preserve">it is clear that </w:t>
      </w:r>
      <w:r w:rsidR="00480D4C">
        <w:t xml:space="preserve">in order to </w:t>
      </w:r>
      <w:r w:rsidR="0095785F">
        <w:t>carry on a business or economic activity a trader must make supplies for a consideration</w:t>
      </w:r>
      <w:r w:rsidR="0060287A">
        <w:t xml:space="preserve"> </w:t>
      </w:r>
      <w:r w:rsidR="000D0E36">
        <w:t xml:space="preserve">(Article 2) </w:t>
      </w:r>
      <w:r w:rsidR="0060287A">
        <w:t xml:space="preserve">with the purpose of </w:t>
      </w:r>
      <w:r w:rsidR="000D0E36">
        <w:t>obtaining income therefrom (Article 9).</w:t>
      </w:r>
    </w:p>
    <w:p w14:paraId="4CBA7F15" w14:textId="397B1C6B" w:rsidR="00DE692E" w:rsidRDefault="00AB52C8" w:rsidP="00DE692E">
      <w:pPr>
        <w:pStyle w:val="Taxbodytext1"/>
      </w:pPr>
      <w:r>
        <w:t>The Article 9 limb of the analysis is to be determined b</w:t>
      </w:r>
      <w:r w:rsidR="0076689A">
        <w:t xml:space="preserve">y reference to all of the objective circumstances </w:t>
      </w:r>
      <w:r>
        <w:t xml:space="preserve">and is “a wide-ranging, not a narrow, enquiry” (paragraph </w:t>
      </w:r>
      <w:r w:rsidR="00BC5E96">
        <w:t xml:space="preserve">[55] of </w:t>
      </w:r>
      <w:r w:rsidR="00BC5E96">
        <w:rPr>
          <w:i/>
          <w:iCs/>
        </w:rPr>
        <w:t>Wakefield</w:t>
      </w:r>
      <w:r w:rsidR="00BC5E96">
        <w:t>)</w:t>
      </w:r>
      <w:r w:rsidR="00DA507C">
        <w:t>.</w:t>
      </w:r>
      <w:r w:rsidR="0074148C">
        <w:t xml:space="preserve"> </w:t>
      </w:r>
    </w:p>
    <w:p w14:paraId="09226235" w14:textId="365FC02A" w:rsidR="00CB610F" w:rsidRDefault="00CB610F" w:rsidP="00CB610F">
      <w:pPr>
        <w:pStyle w:val="Taxheading2"/>
      </w:pPr>
      <w:r>
        <w:t>Ghent Coal</w:t>
      </w:r>
    </w:p>
    <w:p w14:paraId="3BE8C1FF" w14:textId="04534247" w:rsidR="008C550D" w:rsidRDefault="008C550D" w:rsidP="00DE692E">
      <w:pPr>
        <w:pStyle w:val="Taxbodytext1"/>
      </w:pPr>
      <w:r>
        <w:rPr>
          <w:i/>
          <w:iCs/>
        </w:rPr>
        <w:t xml:space="preserve">Belgium v Ghent Coal Terminal NV </w:t>
      </w:r>
      <w:r>
        <w:t>C-37/95</w:t>
      </w:r>
      <w:r>
        <w:rPr>
          <w:i/>
          <w:iCs/>
        </w:rPr>
        <w:t xml:space="preserve"> </w:t>
      </w:r>
      <w:r w:rsidR="00E81C45">
        <w:t xml:space="preserve">concerned the question of recovery of input tax incurred </w:t>
      </w:r>
      <w:r w:rsidR="008E4DD8">
        <w:t xml:space="preserve">in the investment phase of establishing a coal terminal.  </w:t>
      </w:r>
      <w:r w:rsidR="008263F1">
        <w:t xml:space="preserve">In the period </w:t>
      </w:r>
      <w:r w:rsidR="00C7130B">
        <w:t xml:space="preserve">1981 – 83 work was carried out on land </w:t>
      </w:r>
      <w:r w:rsidR="00FD67C7">
        <w:t xml:space="preserve">but in March 1983 Ghent Coal was required to exchange the land </w:t>
      </w:r>
      <w:r w:rsidR="003635F2">
        <w:t xml:space="preserve">and never used original site.  It was not disputed that the investment would have been used in taxable transactions but for the </w:t>
      </w:r>
      <w:r w:rsidR="00CD5C82">
        <w:t xml:space="preserve">unforeseen </w:t>
      </w:r>
      <w:r w:rsidR="008A128F">
        <w:t xml:space="preserve">circumstances which arose.  However, the tax authorities demanded repayment of the VAT recovered </w:t>
      </w:r>
      <w:r w:rsidR="004706EF">
        <w:t>on the grounds that the goods and services in question had never been actually used in making taxable supplies.</w:t>
      </w:r>
    </w:p>
    <w:p w14:paraId="38E597D1" w14:textId="02016510" w:rsidR="004706EF" w:rsidRDefault="004706EF" w:rsidP="00DE692E">
      <w:pPr>
        <w:pStyle w:val="Taxbodytext1"/>
      </w:pPr>
      <w:r>
        <w:t>The C</w:t>
      </w:r>
      <w:r w:rsidR="00DA7713">
        <w:t xml:space="preserve">ourt determined </w:t>
      </w:r>
      <w:r w:rsidR="00E60FB4">
        <w:t xml:space="preserve">that </w:t>
      </w:r>
      <w:r w:rsidR="00A30B80">
        <w:t xml:space="preserve">a taxable person is </w:t>
      </w:r>
      <w:r w:rsidR="007C024E">
        <w:t xml:space="preserve">entitled to recover VAT on costs incurred </w:t>
      </w:r>
      <w:r w:rsidR="001F419F">
        <w:t>which are used or which were intended to be used in making taxable supplies in the course or furtherance of the business/economic activity.  The fact that the business intention could not be fulfilled did not preclude a right of recovery</w:t>
      </w:r>
      <w:r w:rsidR="00B46BA1">
        <w:t>.</w:t>
      </w:r>
    </w:p>
    <w:p w14:paraId="0A8EC559" w14:textId="7CD1B4A7" w:rsidR="00CB610F" w:rsidRDefault="00CB610F" w:rsidP="00CB610F">
      <w:pPr>
        <w:pStyle w:val="Taxheading2"/>
      </w:pPr>
      <w:r>
        <w:t>Sveda</w:t>
      </w:r>
    </w:p>
    <w:p w14:paraId="5E35E002" w14:textId="77777777" w:rsidR="00DE4F78" w:rsidRDefault="00B5686F" w:rsidP="00CB6303">
      <w:pPr>
        <w:pStyle w:val="Taxbodytext1"/>
      </w:pPr>
      <w:r w:rsidRPr="005F009B">
        <w:rPr>
          <w:i/>
          <w:iCs/>
        </w:rPr>
        <w:t xml:space="preserve">Sveda UAB v </w:t>
      </w:r>
      <w:r w:rsidR="005F009B" w:rsidRPr="005F009B">
        <w:rPr>
          <w:i/>
          <w:iCs/>
        </w:rPr>
        <w:t>Valstybine˙ mokescˇiu˛inspekcija prie Lietuvos Respublikos finansu˛ ministerijos</w:t>
      </w:r>
      <w:r w:rsidRPr="005F009B">
        <w:rPr>
          <w:i/>
          <w:iCs/>
        </w:rPr>
        <w:t xml:space="preserve"> </w:t>
      </w:r>
      <w:r>
        <w:t>C-126/14</w:t>
      </w:r>
      <w:r w:rsidR="00847D87">
        <w:t xml:space="preserve"> concerned recovery of input tax incurred by Sveda on </w:t>
      </w:r>
      <w:r w:rsidR="00F76038">
        <w:t xml:space="preserve">costs incurred in connection with the construction of a </w:t>
      </w:r>
      <w:r w:rsidR="00121221">
        <w:t>“Baltic mythology recreational/discovery path”</w:t>
      </w:r>
      <w:r w:rsidR="00A528DF">
        <w:t xml:space="preserve">.  The path was substantially funded by </w:t>
      </w:r>
      <w:r w:rsidR="00197345">
        <w:t>the ministry of agriculture and Sveda was required to provide public access free of charge to the path</w:t>
      </w:r>
      <w:r w:rsidR="009911B4">
        <w:t xml:space="preserve">.  Sveda intended to carry out the independent economic activity of </w:t>
      </w:r>
      <w:r w:rsidR="00697F78">
        <w:t>offering the sale of food and souvenirs to path users.</w:t>
      </w:r>
      <w:r w:rsidR="009906AA">
        <w:t xml:space="preserve">  Input tax on the construction costs were denied by the Lithuanian tax authorities </w:t>
      </w:r>
      <w:r w:rsidR="007912CC">
        <w:t xml:space="preserve">on the basis that such costs were properly attributed to </w:t>
      </w:r>
      <w:r w:rsidR="00EA29D1">
        <w:t>non-economic activities (i.e. the free access to path users)</w:t>
      </w:r>
      <w:r w:rsidR="009A2D49">
        <w:t xml:space="preserve"> and not directly linked to the economic activities of food and souvenir sales.</w:t>
      </w:r>
    </w:p>
    <w:p w14:paraId="140C5B97" w14:textId="5645EC46" w:rsidR="00CB610F" w:rsidRPr="00CB610F" w:rsidRDefault="00DE4F78" w:rsidP="00CB6303">
      <w:pPr>
        <w:pStyle w:val="Taxbodytext1"/>
      </w:pPr>
      <w:r>
        <w:t xml:space="preserve">The CJEU held that </w:t>
      </w:r>
      <w:r w:rsidR="008840AD">
        <w:t xml:space="preserve">the construction costs in question formed part of the general overheads of the economic activity </w:t>
      </w:r>
      <w:r w:rsidR="003264B2">
        <w:t xml:space="preserve">to be carried on by Sveda.  The path was </w:t>
      </w:r>
      <w:r w:rsidR="00C87974">
        <w:t>intended</w:t>
      </w:r>
      <w:r w:rsidR="003264B2">
        <w:t xml:space="preserve"> to attract visit</w:t>
      </w:r>
      <w:r w:rsidR="00C87974">
        <w:t>or</w:t>
      </w:r>
      <w:r w:rsidR="003264B2">
        <w:t xml:space="preserve">s and encourage them to buy </w:t>
      </w:r>
      <w:r w:rsidR="00C87974">
        <w:t xml:space="preserve">the </w:t>
      </w:r>
      <w:r w:rsidR="003264B2">
        <w:t xml:space="preserve">foods and services </w:t>
      </w:r>
      <w:r w:rsidR="00C87974">
        <w:t>offered by Sveda</w:t>
      </w:r>
      <w:r w:rsidR="00496DAF">
        <w:t xml:space="preserve"> </w:t>
      </w:r>
      <w:r w:rsidR="00125549">
        <w:t xml:space="preserve">and as such </w:t>
      </w:r>
      <w:r w:rsidR="00496DAF">
        <w:t xml:space="preserve">the necessary direct and immediate link </w:t>
      </w:r>
      <w:r w:rsidR="00125549">
        <w:t>between the costs and the intended taxable supplies was established (see paragraphs [28] – [29] of the judgment).</w:t>
      </w:r>
    </w:p>
    <w:p w14:paraId="27F6BF10" w14:textId="26CDB7FA" w:rsidR="006572CA" w:rsidRDefault="006572CA" w:rsidP="00F937EA">
      <w:pPr>
        <w:pStyle w:val="Taxheading1"/>
      </w:pPr>
      <w:r>
        <w:t>Parties submissions</w:t>
      </w:r>
    </w:p>
    <w:p w14:paraId="44605606" w14:textId="6C188C4D" w:rsidR="00E85502" w:rsidRDefault="001873A3" w:rsidP="00E85502">
      <w:pPr>
        <w:pStyle w:val="Taxbodytext1"/>
      </w:pPr>
      <w:r>
        <w:t xml:space="preserve">The Appellant contends that </w:t>
      </w:r>
      <w:r w:rsidR="00C77BBA">
        <w:t>it is engaged exclusively in business activities, namely the provision of manufacturer funded testing</w:t>
      </w:r>
      <w:r w:rsidR="00A43E50">
        <w:t xml:space="preserve"> </w:t>
      </w:r>
      <w:r w:rsidR="003657BF">
        <w:t xml:space="preserve">and that the testing of </w:t>
      </w:r>
      <w:r w:rsidR="00E85502">
        <w:t>vehicles from its own resources represents a necessary investment for the establishment of that business activity</w:t>
      </w:r>
      <w:r w:rsidR="005520BB">
        <w:t>.  As such all residual input tax incurred is attributed to its taxable business activities and fully recoverable.</w:t>
      </w:r>
    </w:p>
    <w:p w14:paraId="2889D8D0" w14:textId="5C56120C" w:rsidR="00224A36" w:rsidRDefault="004A7F90" w:rsidP="00B91EF5">
      <w:pPr>
        <w:pStyle w:val="Taxbodytext1"/>
      </w:pPr>
      <w:r>
        <w:t>By reference to the unchallenged evidence of Mr Ward</w:t>
      </w:r>
      <w:r w:rsidR="00B91EF5">
        <w:t xml:space="preserve">, and drawing a parallel to the circumstances in </w:t>
      </w:r>
      <w:r w:rsidR="00B91EF5">
        <w:rPr>
          <w:i/>
          <w:iCs/>
        </w:rPr>
        <w:t>Ghent Coal</w:t>
      </w:r>
      <w:r w:rsidR="00B91EF5">
        <w:t>,</w:t>
      </w:r>
      <w:r>
        <w:t xml:space="preserve"> </w:t>
      </w:r>
      <w:r w:rsidR="0033633E">
        <w:t xml:space="preserve">the Appellant submitted that the “free” testing </w:t>
      </w:r>
      <w:r w:rsidR="002F2D69">
        <w:t>needed to be undertaken so as to create a market for manufacturer funded testing</w:t>
      </w:r>
      <w:r w:rsidR="007105DC">
        <w:t xml:space="preserve">.  The period of investment, on the evidence, was </w:t>
      </w:r>
      <w:r w:rsidR="00D211AC">
        <w:t xml:space="preserve">up to </w:t>
      </w:r>
      <w:r w:rsidR="007105DC">
        <w:t>3 – 4 years</w:t>
      </w:r>
      <w:r w:rsidR="00441E16">
        <w:t xml:space="preserve"> </w:t>
      </w:r>
      <w:r w:rsidR="001C1A01">
        <w:t xml:space="preserve">in which a series of crash tests needed to be conducted at the Appellant’s cost in order to establish the base line for </w:t>
      </w:r>
      <w:r w:rsidR="007F6D1E">
        <w:t xml:space="preserve">safety improvements and to establish the consumer impetus for manufacturers to make the necessary improvements in safety features </w:t>
      </w:r>
      <w:r w:rsidR="0001664F">
        <w:t>for newer models and to want to proactively seek testing to establish and leverage that improvement</w:t>
      </w:r>
      <w:r w:rsidR="00D211AC">
        <w:t>.</w:t>
      </w:r>
    </w:p>
    <w:p w14:paraId="6CFF4F37" w14:textId="28A05CB2" w:rsidR="005579B1" w:rsidRDefault="007A4FB0" w:rsidP="00B91EF5">
      <w:pPr>
        <w:pStyle w:val="Taxbodytext1"/>
      </w:pPr>
      <w:r>
        <w:t xml:space="preserve">It was denied that the charitable/philanthropic objective of improving road safety so as to reduce and ultimately eliminate safety related road </w:t>
      </w:r>
      <w:r w:rsidR="00270BEB">
        <w:t xml:space="preserve">fatalities </w:t>
      </w:r>
      <w:r w:rsidR="004B07E3">
        <w:t xml:space="preserve">had the effect that the activities undertaken were for a non-business purpose.  The Appellant submitted that it was predominantly involved in making taxable supplies for consideration </w:t>
      </w:r>
      <w:r w:rsidR="001042BB">
        <w:t xml:space="preserve">relying on HMRC’s own assessment that 60% </w:t>
      </w:r>
      <w:r w:rsidR="00D10F00">
        <w:t>of the input tax was attributed to the manufacturer funded tests</w:t>
      </w:r>
      <w:r w:rsidR="00CE75E0">
        <w:t>.  The Appellant also disputes that an</w:t>
      </w:r>
      <w:r w:rsidR="002B13E2">
        <w:t>y</w:t>
      </w:r>
      <w:r w:rsidR="00CE75E0">
        <w:t xml:space="preserve"> contention that its articles of association preclude it undertaking a permanent trading activity </w:t>
      </w:r>
      <w:r w:rsidR="002B13E2">
        <w:t xml:space="preserve">represents a basis for contending that the non-manufacturer funded </w:t>
      </w:r>
      <w:r w:rsidR="0006133A">
        <w:t xml:space="preserve">tests </w:t>
      </w:r>
      <w:r w:rsidR="009F756D">
        <w:t xml:space="preserve">are a non-business activity.  They point out that HMRC accept that the manufacturer funded tests are </w:t>
      </w:r>
      <w:r w:rsidR="0025115F">
        <w:t>a business activity.</w:t>
      </w:r>
    </w:p>
    <w:p w14:paraId="2C550598" w14:textId="1AB78C2A" w:rsidR="00224A36" w:rsidRDefault="0016329B" w:rsidP="00A355C4">
      <w:pPr>
        <w:pStyle w:val="Taxbodytext1"/>
      </w:pPr>
      <w:r>
        <w:t>The Appellant contended t</w:t>
      </w:r>
      <w:r w:rsidR="005E74F8">
        <w:t xml:space="preserve">hat there was a direct link between the </w:t>
      </w:r>
      <w:r w:rsidR="001D36BD">
        <w:t>self-funded</w:t>
      </w:r>
      <w:r w:rsidR="005E74F8">
        <w:t xml:space="preserve"> tests and the manufacturer funded testing such that </w:t>
      </w:r>
      <w:r w:rsidR="0006133A">
        <w:t xml:space="preserve">there is </w:t>
      </w:r>
      <w:r w:rsidR="00CB610F">
        <w:t>a single business activity.</w:t>
      </w:r>
      <w:r w:rsidR="007B57B5">
        <w:t xml:space="preserve">  The Appellant reinforced that it was only as a consequence of the non-manufacturer funded testing and the promotion of the poor results that manufacturers </w:t>
      </w:r>
      <w:r w:rsidR="007D2661">
        <w:t>proceed to buying the testing services</w:t>
      </w:r>
      <w:r w:rsidR="004B1EDB">
        <w:t>.</w:t>
      </w:r>
      <w:r w:rsidR="00CB610F">
        <w:t xml:space="preserve">  </w:t>
      </w:r>
      <w:r w:rsidR="00224A36">
        <w:t xml:space="preserve">Principal reliance was placed by the Appellant on the CJEU judgment in </w:t>
      </w:r>
      <w:r w:rsidR="00224A36" w:rsidRPr="00CB610F">
        <w:rPr>
          <w:i/>
          <w:iCs/>
        </w:rPr>
        <w:t>Sveda</w:t>
      </w:r>
      <w:r w:rsidR="00125549">
        <w:t xml:space="preserve"> in this regard.</w:t>
      </w:r>
    </w:p>
    <w:p w14:paraId="3F49BCFB" w14:textId="3B202018" w:rsidR="003C4E40" w:rsidRDefault="00125549" w:rsidP="00A355C4">
      <w:pPr>
        <w:pStyle w:val="Taxbodytext1"/>
      </w:pPr>
      <w:r>
        <w:t xml:space="preserve">The Appellant also drew a parallel to the analysis </w:t>
      </w:r>
      <w:r w:rsidR="00DE6CDD">
        <w:t xml:space="preserve">adopted by the Tribunal in </w:t>
      </w:r>
      <w:r w:rsidR="00DE6CDD">
        <w:rPr>
          <w:i/>
          <w:iCs/>
        </w:rPr>
        <w:t xml:space="preserve">Durham Cathedral v HMRC </w:t>
      </w:r>
      <w:r w:rsidR="00DE6CDD">
        <w:t>[</w:t>
      </w:r>
      <w:r w:rsidR="00E0656B">
        <w:t xml:space="preserve">2016] UKFTT 750 (TC) which concerned </w:t>
      </w:r>
      <w:r w:rsidR="00467E6B">
        <w:t xml:space="preserve">input tax incurred in connection with the repair and maintenance of a bridge leading to the cathedral.  </w:t>
      </w:r>
      <w:r w:rsidR="00F44223">
        <w:t>In that case the taxpayer under</w:t>
      </w:r>
      <w:r w:rsidR="00466756">
        <w:t>took</w:t>
      </w:r>
      <w:r w:rsidR="00F44223">
        <w:t xml:space="preserve"> both economic/business and </w:t>
      </w:r>
      <w:r w:rsidR="00C16666">
        <w:t>non-economic activities from the cathedral building to which the bridge provided access.</w:t>
      </w:r>
      <w:r w:rsidR="00B25816">
        <w:t xml:space="preserve">  </w:t>
      </w:r>
      <w:r w:rsidR="00A63292">
        <w:t xml:space="preserve">The bridge provided access to the </w:t>
      </w:r>
      <w:r w:rsidR="000737BB">
        <w:t xml:space="preserve">peninsula on which the cathedral was stood but users of the bridge may, or may not, access the cathedral </w:t>
      </w:r>
      <w:r w:rsidR="00CC315E">
        <w:t xml:space="preserve">and </w:t>
      </w:r>
      <w:r w:rsidR="00AA4C43">
        <w:t>only some of those who accessed the cathedral would be the recipient of taxable s</w:t>
      </w:r>
      <w:r w:rsidR="00BB78E5">
        <w:t xml:space="preserve">upplies.  HMRC </w:t>
      </w:r>
      <w:r w:rsidR="008C6270">
        <w:t>had denied input tax recovery for the works on the basis that they were attributable to</w:t>
      </w:r>
      <w:r w:rsidR="0051137A">
        <w:t xml:space="preserve"> the non-business activities of that taxpayer.</w:t>
      </w:r>
      <w:r w:rsidR="00CC315E">
        <w:t xml:space="preserve"> </w:t>
      </w:r>
      <w:r w:rsidR="00B25816">
        <w:t xml:space="preserve">The FTT determined that whilst there was no direct and immediate link to any particular taxable supply </w:t>
      </w:r>
      <w:r w:rsidR="00A55540">
        <w:t xml:space="preserve">the costs represented </w:t>
      </w:r>
      <w:r w:rsidR="00231062">
        <w:t xml:space="preserve">a component of both the non-business and business activities carried on </w:t>
      </w:r>
      <w:r w:rsidR="00783671">
        <w:t>and a proportion of the costs were recoverable</w:t>
      </w:r>
      <w:r w:rsidR="00CE798F">
        <w:t>.</w:t>
      </w:r>
      <w:r w:rsidR="009A7D39">
        <w:t xml:space="preserve">  </w:t>
      </w:r>
      <w:r w:rsidR="00476482">
        <w:t xml:space="preserve">However, the Appellant contended that in its case there was no non-business activity undertaken </w:t>
      </w:r>
      <w:r w:rsidR="00E60268">
        <w:t>(for the reasons set out above) and accordingly, the input tax on general overheads was fully recoverable</w:t>
      </w:r>
      <w:r w:rsidR="00015CB4">
        <w:t>.</w:t>
      </w:r>
    </w:p>
    <w:p w14:paraId="3FCE4CDE" w14:textId="638BED47" w:rsidR="00710164" w:rsidRDefault="002C5E02" w:rsidP="00690638">
      <w:pPr>
        <w:pStyle w:val="Taxbodytext1"/>
      </w:pPr>
      <w:r>
        <w:t xml:space="preserve">HMRC contend that the Appellant is engaged in both business and non-business activities and, as such, pursuant to section 26 VATA </w:t>
      </w:r>
      <w:r w:rsidR="003A29DA">
        <w:t xml:space="preserve">the residual input </w:t>
      </w:r>
      <w:r w:rsidR="008E6185">
        <w:t>tax incurred should, in part, be irrecoverable.</w:t>
      </w:r>
      <w:r w:rsidR="00690638">
        <w:t xml:space="preserve">  This is on the basis that as the non-manufacturer funded tests are, by their nature, provided for free, those tests cannot represent a supply for consideration </w:t>
      </w:r>
      <w:r w:rsidR="002109A4">
        <w:t>and are not therefore supplies capable of representing a business act</w:t>
      </w:r>
      <w:r w:rsidR="00BF71CA">
        <w:t>ivity</w:t>
      </w:r>
      <w:r w:rsidR="0046028F">
        <w:t xml:space="preserve"> applying the </w:t>
      </w:r>
      <w:r w:rsidR="0046028F">
        <w:rPr>
          <w:i/>
          <w:iCs/>
        </w:rPr>
        <w:t xml:space="preserve">Wakefield </w:t>
      </w:r>
      <w:r w:rsidR="0046028F">
        <w:t>tests</w:t>
      </w:r>
      <w:r w:rsidR="00BF71CA">
        <w:t>.  Further, the purpose for which the tests are carried out are</w:t>
      </w:r>
      <w:r w:rsidR="008E2A66">
        <w:t xml:space="preserve"> in order to meet the Appellant’s charitable/philanthropic objectives.</w:t>
      </w:r>
    </w:p>
    <w:p w14:paraId="6D60F21B" w14:textId="68232FE2" w:rsidR="00D1282C" w:rsidRDefault="00710164" w:rsidP="00690638">
      <w:pPr>
        <w:pStyle w:val="Taxbodytext1"/>
      </w:pPr>
      <w:r>
        <w:t xml:space="preserve">On the basis that the Appellant is engaged in activities which are both economic and non-economic in nature </w:t>
      </w:r>
      <w:r w:rsidR="00FC12F0">
        <w:t xml:space="preserve">HMRC submit that input tax </w:t>
      </w:r>
      <w:r w:rsidR="005223F3">
        <w:t xml:space="preserve">on overheads </w:t>
      </w:r>
      <w:r w:rsidR="00FC12F0">
        <w:t>is required to be restricted</w:t>
      </w:r>
      <w:r w:rsidR="00D1282C">
        <w:t>.</w:t>
      </w:r>
    </w:p>
    <w:p w14:paraId="6ACD23B9" w14:textId="77777777" w:rsidR="00D1282C" w:rsidRDefault="00D1282C" w:rsidP="00D1282C">
      <w:pPr>
        <w:pStyle w:val="Taxheading1"/>
      </w:pPr>
      <w:r>
        <w:t>Discussion</w:t>
      </w:r>
    </w:p>
    <w:p w14:paraId="5592B966" w14:textId="20A4A536" w:rsidR="008E6185" w:rsidRDefault="00655849" w:rsidP="00914523">
      <w:pPr>
        <w:pStyle w:val="Taxbodytext1"/>
      </w:pPr>
      <w:r>
        <w:t xml:space="preserve">There is no dispute that </w:t>
      </w:r>
      <w:r w:rsidR="00D6244D">
        <w:t>certain of the crash tests undertaken by the Appellant are provided for no consideration</w:t>
      </w:r>
      <w:r w:rsidR="00F456F3">
        <w:t xml:space="preserve"> and thus do not represent supplies of services made for consideration</w:t>
      </w:r>
      <w:r w:rsidR="005E56D5">
        <w:t xml:space="preserve"> (the position for the established NCAPs is likely to be different with the price paid by manufacturers also potentially representing </w:t>
      </w:r>
      <w:r w:rsidR="00290F4C">
        <w:t>consideration for the “free” tests undertaken for the credibility and benefit of the programme as a whole)</w:t>
      </w:r>
      <w:r w:rsidR="00F456F3">
        <w:t xml:space="preserve">.  </w:t>
      </w:r>
      <w:r w:rsidR="00290F4C">
        <w:t>Thus, for the Appellant</w:t>
      </w:r>
      <w:r w:rsidR="00A65065">
        <w:t xml:space="preserve"> </w:t>
      </w:r>
      <w:r w:rsidR="00E42846">
        <w:t xml:space="preserve">taken in isolation, the provision of “free” tests </w:t>
      </w:r>
      <w:r w:rsidR="00760FAC">
        <w:t xml:space="preserve">cannot represent a business activity of the Appellant.  </w:t>
      </w:r>
      <w:r w:rsidR="0084305A">
        <w:t>In isolation this</w:t>
      </w:r>
      <w:r w:rsidR="00760FAC">
        <w:t xml:space="preserve"> “free” testing does not meet with </w:t>
      </w:r>
      <w:r w:rsidR="00760FAC">
        <w:rPr>
          <w:i/>
          <w:iCs/>
        </w:rPr>
        <w:t>Wakefield</w:t>
      </w:r>
      <w:r w:rsidR="00760FAC">
        <w:t xml:space="preserve"> test</w:t>
      </w:r>
      <w:r w:rsidR="00070D17">
        <w:t>.</w:t>
      </w:r>
      <w:r w:rsidR="00914523">
        <w:t xml:space="preserve">  </w:t>
      </w:r>
      <w:r w:rsidR="00070D17">
        <w:t xml:space="preserve">However, and despite the Tribunal having raised the application of </w:t>
      </w:r>
      <w:r w:rsidR="00070D17" w:rsidRPr="00914523">
        <w:rPr>
          <w:i/>
          <w:iCs/>
        </w:rPr>
        <w:t>Wakefield</w:t>
      </w:r>
      <w:r w:rsidR="00070D17">
        <w:t xml:space="preserve">, </w:t>
      </w:r>
      <w:r w:rsidR="005A7F00">
        <w:t xml:space="preserve">the dispute cannot be determined by reference to the application of the </w:t>
      </w:r>
      <w:r w:rsidR="005A7F00" w:rsidRPr="00914523">
        <w:rPr>
          <w:i/>
          <w:iCs/>
        </w:rPr>
        <w:t>Wakefield</w:t>
      </w:r>
      <w:r w:rsidR="005A7F00">
        <w:t xml:space="preserve"> analysis</w:t>
      </w:r>
      <w:r w:rsidR="00914523">
        <w:t xml:space="preserve"> as, on reflection, that analysis is properly focused on </w:t>
      </w:r>
      <w:r w:rsidR="003434A8">
        <w:t xml:space="preserve">whether </w:t>
      </w:r>
      <w:r w:rsidR="009871A7">
        <w:t xml:space="preserve">any </w:t>
      </w:r>
      <w:r w:rsidR="003434A8">
        <w:t>charges made</w:t>
      </w:r>
      <w:r w:rsidR="005B4764">
        <w:t xml:space="preserve"> by a taxpayer</w:t>
      </w:r>
      <w:r w:rsidR="003434A8">
        <w:t xml:space="preserve">, firstly represent consideration (in the sense of representing a reciprocal payment for </w:t>
      </w:r>
      <w:r w:rsidR="00A161E0">
        <w:t xml:space="preserve">the provision of goods/services) and secondly whether the receipt of the charges represents </w:t>
      </w:r>
      <w:r w:rsidR="00442809">
        <w:t xml:space="preserve">income or remuneration in the sense of constituting a business activity and are thereby subject to </w:t>
      </w:r>
      <w:r w:rsidR="00DF2DA0">
        <w:t>a charge to output tax</w:t>
      </w:r>
      <w:r w:rsidR="00914523">
        <w:t>.</w:t>
      </w:r>
      <w:r w:rsidR="008E2A66">
        <w:t xml:space="preserve"> </w:t>
      </w:r>
    </w:p>
    <w:p w14:paraId="4C5B7AD3" w14:textId="5FA1ADE4" w:rsidR="00914523" w:rsidRDefault="00DF2DA0" w:rsidP="00914523">
      <w:pPr>
        <w:pStyle w:val="Taxbodytext1"/>
      </w:pPr>
      <w:r>
        <w:t xml:space="preserve">In </w:t>
      </w:r>
      <w:r w:rsidR="0084305A">
        <w:t>this case the critical question is whether the “free” testing represents an independent activity at all a</w:t>
      </w:r>
      <w:r w:rsidR="004642EE">
        <w:t xml:space="preserve">nd if </w:t>
      </w:r>
      <w:r w:rsidR="005B4764">
        <w:t>they do</w:t>
      </w:r>
      <w:r w:rsidR="004642EE">
        <w:t xml:space="preserve"> represent an indep</w:t>
      </w:r>
      <w:r w:rsidR="001E2790">
        <w:t>enden</w:t>
      </w:r>
      <w:r w:rsidR="004642EE">
        <w:t>t activity</w:t>
      </w:r>
      <w:r w:rsidR="001E2790">
        <w:t xml:space="preserve"> whether the </w:t>
      </w:r>
      <w:r w:rsidR="00CF46F6">
        <w:t>input tax in</w:t>
      </w:r>
      <w:r w:rsidR="00B63F1E">
        <w:t xml:space="preserve">curred in connection with general overhead expenditure should be attributed to </w:t>
      </w:r>
      <w:r w:rsidR="00C57976">
        <w:t>that activity</w:t>
      </w:r>
      <w:r w:rsidR="00E3525B">
        <w:t>.</w:t>
      </w:r>
    </w:p>
    <w:p w14:paraId="474D83FD" w14:textId="6C3A7CC9" w:rsidR="00042816" w:rsidRDefault="00C45D30" w:rsidP="00914523">
      <w:pPr>
        <w:pStyle w:val="Taxbodytext1"/>
      </w:pPr>
      <w:r>
        <w:t xml:space="preserve">On the basis of the uncontested evidence </w:t>
      </w:r>
      <w:r w:rsidR="001A64B0">
        <w:t>of Mr Ward, as supported by the documentary material available</w:t>
      </w:r>
      <w:r w:rsidR="0070134D">
        <w:t xml:space="preserve">, it is clear that </w:t>
      </w:r>
      <w:r w:rsidR="00EF74DD">
        <w:t xml:space="preserve">manufacturers </w:t>
      </w:r>
      <w:r w:rsidR="002F20BC">
        <w:t>would not proactively seek to have vehicles tested without an initial unfavourable baseline</w:t>
      </w:r>
      <w:r w:rsidR="008F4122">
        <w:t xml:space="preserve"> assessment.  Manufactures work within the legal and regulatory framework in each jurisdiction and, presumably, aim to m</w:t>
      </w:r>
      <w:r w:rsidR="00FD14F0">
        <w:t>anufacture the most competitively priced vehicles at each price point</w:t>
      </w:r>
      <w:r w:rsidR="001719CC">
        <w:t xml:space="preserve">.  It is not until consumers and/or regulators/legislators demand </w:t>
      </w:r>
      <w:r w:rsidR="00BC2C14">
        <w:t xml:space="preserve">a higher safety standard </w:t>
      </w:r>
      <w:r w:rsidR="00CA79E3">
        <w:t xml:space="preserve">at each relevant price point that manufacturers design </w:t>
      </w:r>
      <w:r w:rsidR="00466756">
        <w:t xml:space="preserve">vehicles </w:t>
      </w:r>
      <w:r w:rsidR="00CA79E3">
        <w:t xml:space="preserve">to meet that </w:t>
      </w:r>
      <w:r w:rsidR="002B6F72">
        <w:t>higher standard.</w:t>
      </w:r>
      <w:r w:rsidR="00C843AD">
        <w:t xml:space="preserve">  Once improvements have been made the manufacturers then wish to proactively demonstrate that improvement</w:t>
      </w:r>
      <w:r w:rsidR="00556A35">
        <w:t xml:space="preserve"> by obtaining a higher test result which they can then use to credentialise the vehicle.</w:t>
      </w:r>
    </w:p>
    <w:p w14:paraId="29B39B5A" w14:textId="4724FE5B" w:rsidR="00167F6E" w:rsidRDefault="00867696" w:rsidP="00B44FC2">
      <w:pPr>
        <w:pStyle w:val="Taxbodytext1"/>
      </w:pPr>
      <w:r>
        <w:t xml:space="preserve">Through the purchase and testing of new entrant vehicles in each market jurisdiction the Appellant </w:t>
      </w:r>
      <w:r w:rsidR="00F01B87">
        <w:t xml:space="preserve">can establish a baseline of safety for vehicle production in that market.  </w:t>
      </w:r>
      <w:r w:rsidR="005E6763">
        <w:t xml:space="preserve">This is an investment it makes </w:t>
      </w:r>
      <w:r w:rsidR="00E81240">
        <w:t xml:space="preserve">with the </w:t>
      </w:r>
      <w:r w:rsidR="00453FE1">
        <w:t xml:space="preserve">underlying objective of </w:t>
      </w:r>
      <w:r w:rsidR="008B6742">
        <w:t xml:space="preserve">driving better vehicle safety, </w:t>
      </w:r>
      <w:r w:rsidR="005E6763">
        <w:t xml:space="preserve">but which </w:t>
      </w:r>
      <w:r w:rsidR="00C62EED">
        <w:t xml:space="preserve">forms the </w:t>
      </w:r>
      <w:r w:rsidR="008B6742">
        <w:t xml:space="preserve">foundation from which to </w:t>
      </w:r>
      <w:r w:rsidR="00B664E0">
        <w:t xml:space="preserve">make </w:t>
      </w:r>
      <w:r w:rsidR="008B4DE8">
        <w:t>taxable supplies of testing</w:t>
      </w:r>
      <w:r w:rsidR="00C62EED">
        <w:t xml:space="preserve">. </w:t>
      </w:r>
      <w:r w:rsidR="00B44FC2">
        <w:t xml:space="preserve">  In this regard, the position is materially indistinguishable from that in </w:t>
      </w:r>
      <w:r w:rsidR="00B44FC2">
        <w:rPr>
          <w:i/>
          <w:iCs/>
        </w:rPr>
        <w:t>Sveda</w:t>
      </w:r>
      <w:r w:rsidR="00925788">
        <w:t>.  The testing costs represent a necessary precursor to making taxable supplies</w:t>
      </w:r>
      <w:r w:rsidR="00065252">
        <w:t xml:space="preserve"> and are directly</w:t>
      </w:r>
      <w:r w:rsidR="00167F6E">
        <w:t>.</w:t>
      </w:r>
    </w:p>
    <w:p w14:paraId="7B69E99B" w14:textId="1EFE2D7A" w:rsidR="00691B65" w:rsidRDefault="00167F6E" w:rsidP="00B44FC2">
      <w:pPr>
        <w:pStyle w:val="Taxbodytext1"/>
      </w:pPr>
      <w:r>
        <w:t xml:space="preserve">As such the Appellant is not engaged in any separate non-business activity and all </w:t>
      </w:r>
      <w:r w:rsidR="0007344F">
        <w:t xml:space="preserve">general overhead input tax must </w:t>
      </w:r>
      <w:r w:rsidR="00273271">
        <w:t xml:space="preserve">therefore </w:t>
      </w:r>
      <w:r w:rsidR="0007344F">
        <w:t xml:space="preserve">be exclusively attributed to the </w:t>
      </w:r>
      <w:r w:rsidR="00273271">
        <w:t xml:space="preserve">only </w:t>
      </w:r>
      <w:r w:rsidR="0007344F">
        <w:t>activit</w:t>
      </w:r>
      <w:r w:rsidR="00273271">
        <w:t>y</w:t>
      </w:r>
      <w:r w:rsidR="0007344F">
        <w:t xml:space="preserve"> carried on</w:t>
      </w:r>
      <w:r w:rsidR="00273271">
        <w:t>, namely the business activity of making taxable supplies of crash testing to manufacturers</w:t>
      </w:r>
      <w:r w:rsidR="00691B65">
        <w:t>.</w:t>
      </w:r>
    </w:p>
    <w:p w14:paraId="04426869" w14:textId="6EDCA450" w:rsidR="00454897" w:rsidRDefault="00691B65" w:rsidP="00B44FC2">
      <w:pPr>
        <w:pStyle w:val="Taxbodytext1"/>
      </w:pPr>
      <w:r>
        <w:t xml:space="preserve">That this conclusion is correct is reinforced by reference to the Court of Appeal judgment in </w:t>
      </w:r>
      <w:r>
        <w:rPr>
          <w:i/>
          <w:iCs/>
        </w:rPr>
        <w:t xml:space="preserve">HMRC v Associated Newspapers Ltd </w:t>
      </w:r>
      <w:r>
        <w:t>[2017] EWCA Civ 54</w:t>
      </w:r>
      <w:r w:rsidR="00454897">
        <w:t>.</w:t>
      </w:r>
    </w:p>
    <w:p w14:paraId="13BB7BC4" w14:textId="02FA776E" w:rsidR="00A33E58" w:rsidRDefault="00454897" w:rsidP="00A33E58">
      <w:pPr>
        <w:pStyle w:val="Taxbodytext1"/>
      </w:pPr>
      <w:r>
        <w:t xml:space="preserve">The Associated Newspapers case concerned </w:t>
      </w:r>
      <w:r w:rsidR="00ED70B1">
        <w:t xml:space="preserve">(in part) the recovery of input tax incurred by the taxpayer in connection with a promotion scheme pursuant to which </w:t>
      </w:r>
      <w:r w:rsidR="00C32138">
        <w:t xml:space="preserve">the taxpayer bought in retail gift vouchers and provided them </w:t>
      </w:r>
      <w:r w:rsidR="00DD362E">
        <w:t xml:space="preserve">for free </w:t>
      </w:r>
      <w:r w:rsidR="00C32138">
        <w:t xml:space="preserve">to </w:t>
      </w:r>
      <w:r w:rsidR="00AB12C2">
        <w:t>readers meeting the conditions of the promotion scheme</w:t>
      </w:r>
      <w:r w:rsidR="00DD362E">
        <w:t>.  In a second limb to the dispute HMRC contended that if input tax was to be recovered in connection with the purchase of the voucher output tax was due when they were given away.</w:t>
      </w:r>
      <w:r w:rsidR="007622E7">
        <w:t xml:space="preserve">  The </w:t>
      </w:r>
      <w:r w:rsidR="00991D91">
        <w:t xml:space="preserve">Court of Appeal (upholding the Upper Tribunal) determined (as contended by the </w:t>
      </w:r>
      <w:r w:rsidR="007622E7">
        <w:t>taxpayer</w:t>
      </w:r>
      <w:r w:rsidR="00991D91">
        <w:t>)</w:t>
      </w:r>
      <w:r w:rsidR="007622E7">
        <w:t xml:space="preserve"> that </w:t>
      </w:r>
      <w:r w:rsidR="00991D91">
        <w:t xml:space="preserve">the evidence </w:t>
      </w:r>
      <w:r w:rsidR="009D4CA9">
        <w:t xml:space="preserve">had established that </w:t>
      </w:r>
      <w:r w:rsidR="007622E7">
        <w:t xml:space="preserve">despite the fact that the vouchers were given away the input tax incurred on their purchase was a general </w:t>
      </w:r>
      <w:r w:rsidR="005B4C5B">
        <w:t>overhead cost of and directly linked to the suppl</w:t>
      </w:r>
      <w:r w:rsidR="00991D91">
        <w:t>y of newspapers.</w:t>
      </w:r>
      <w:r w:rsidR="00F01B87">
        <w:t xml:space="preserve"> </w:t>
      </w:r>
      <w:r w:rsidR="009D4CA9">
        <w:t xml:space="preserve">  </w:t>
      </w:r>
      <w:r w:rsidR="00714461">
        <w:t xml:space="preserve">Despite there being a causal link between the purchase of the voucher and it being given away there was nevertheless an economic link </w:t>
      </w:r>
      <w:r w:rsidR="00A33E58">
        <w:t>between the cost of the voucher and the distribution of the newspapers</w:t>
      </w:r>
      <w:r w:rsidR="00F74483">
        <w:t>.</w:t>
      </w:r>
    </w:p>
    <w:p w14:paraId="07A1F5D2" w14:textId="3F618495" w:rsidR="002B6F72" w:rsidRDefault="009D4CA9" w:rsidP="00B44FC2">
      <w:pPr>
        <w:pStyle w:val="Taxbodytext1"/>
      </w:pPr>
      <w:r>
        <w:t xml:space="preserve">The Court further held that </w:t>
      </w:r>
      <w:r w:rsidR="007C20E1">
        <w:t>no output tax charge was due on the free provision of the voucher</w:t>
      </w:r>
      <w:r w:rsidR="0091163A">
        <w:t xml:space="preserve">.  The Court rejected HMRC’s contention that to permit input tax recovery without an associated output tax </w:t>
      </w:r>
      <w:r w:rsidR="009C7E08">
        <w:t xml:space="preserve">charge breached the principle of fiscal neutrality </w:t>
      </w:r>
      <w:r w:rsidR="00B07400">
        <w:t>on the basis that the input tax was recoverable on the basis that it</w:t>
      </w:r>
      <w:r w:rsidR="00934075">
        <w:t xml:space="preserve"> was an overhead of the business of supplying newspapers and the free provision of the vouchers was “fiscally irrelevant” to the right of deduction.</w:t>
      </w:r>
      <w:r w:rsidR="002307BF">
        <w:t xml:space="preserve">  As the vouchers were given away for a business purpose </w:t>
      </w:r>
      <w:r w:rsidR="00FC5938">
        <w:t xml:space="preserve">they did not otherwise fall within the charge to output tax </w:t>
      </w:r>
      <w:r w:rsidR="00FF0B24">
        <w:t>where goods/services are put to private/non-business purposes.</w:t>
      </w:r>
    </w:p>
    <w:p w14:paraId="1B282A83" w14:textId="36EEF582" w:rsidR="00FF0B24" w:rsidRDefault="00C57976" w:rsidP="00B44FC2">
      <w:pPr>
        <w:pStyle w:val="Taxbodytext1"/>
      </w:pPr>
      <w:r>
        <w:t xml:space="preserve">Similarly, in the present case, the Tribunal considers that the </w:t>
      </w:r>
      <w:r w:rsidR="003C056C">
        <w:t>provision of free testing is an inherent and integral part of the Appellant’s business activity giving rise and as such there is no basis on which to restrict input tax.</w:t>
      </w:r>
    </w:p>
    <w:p w14:paraId="084D44D6" w14:textId="5D6C9A49" w:rsidR="00884A94" w:rsidRDefault="00884A94" w:rsidP="00B44FC2">
      <w:pPr>
        <w:pStyle w:val="Taxbodytext1"/>
      </w:pPr>
      <w:r>
        <w:t>The above conclusion is not affected by the restriction in the Appellant’s articles of association precluding it from engaging in a trading activity.  That is a standard article for a charity and concerns its direct tax status</w:t>
      </w:r>
      <w:r w:rsidR="00E821A2">
        <w:t xml:space="preserve">.  Charities are no precluded from being engaged in a business activity for VAT purposes by reference to such a clause.  Had there been any force in that argument it would also </w:t>
      </w:r>
      <w:r w:rsidR="00466756">
        <w:t xml:space="preserve">have </w:t>
      </w:r>
      <w:r w:rsidR="00E821A2">
        <w:t>vitiated HMRC’s accepted position on the manufacturer funded testing.</w:t>
      </w:r>
    </w:p>
    <w:p w14:paraId="09237B5D" w14:textId="7F18609B" w:rsidR="00A82CDD" w:rsidRDefault="00A82CDD" w:rsidP="00A82CDD">
      <w:pPr>
        <w:pStyle w:val="Taxheading1"/>
      </w:pPr>
      <w:r>
        <w:t>Disposition</w:t>
      </w:r>
    </w:p>
    <w:p w14:paraId="653F1D0E" w14:textId="574362DD" w:rsidR="00A82CDD" w:rsidRDefault="00536462" w:rsidP="00A82CDD">
      <w:pPr>
        <w:pStyle w:val="Taxbodytext1"/>
      </w:pPr>
      <w:r>
        <w:t xml:space="preserve">For the reasons set out above the Tribunal </w:t>
      </w:r>
      <w:r w:rsidR="00FC501D">
        <w:t>determines</w:t>
      </w:r>
      <w:r>
        <w:t xml:space="preserve"> that there is no separate activity associated with the “free” provision of testing services and all input tax incurred is attributable to the accepted business activity of </w:t>
      </w:r>
      <w:r w:rsidR="00A91996">
        <w:t>testing supplied to manufacturers.</w:t>
      </w:r>
    </w:p>
    <w:p w14:paraId="00DA3025" w14:textId="18FB6F36" w:rsidR="00A91996" w:rsidRDefault="00A91996" w:rsidP="00A82CDD">
      <w:pPr>
        <w:pStyle w:val="Taxbodytext1"/>
      </w:pPr>
      <w:r>
        <w:t xml:space="preserve">Accordingly, the assessments should be set </w:t>
      </w:r>
      <w:r w:rsidR="001D36BD">
        <w:t>aside,</w:t>
      </w:r>
      <w:r>
        <w:t xml:space="preserve"> and the </w:t>
      </w:r>
      <w:r w:rsidR="00F973F7">
        <w:t>appeal allowed.</w:t>
      </w:r>
    </w:p>
    <w:p w14:paraId="2D85C564" w14:textId="04BF38B4" w:rsidR="00F973F7" w:rsidRPr="00A82CDD" w:rsidRDefault="00F973F7" w:rsidP="00A82CDD">
      <w:pPr>
        <w:pStyle w:val="Taxbodytext1"/>
      </w:pPr>
      <w:r>
        <w:t xml:space="preserve">However, as a </w:t>
      </w:r>
      <w:r w:rsidR="001D36BD">
        <w:t>postscript</w:t>
      </w:r>
      <w:r w:rsidR="00FC501D">
        <w:t>,</w:t>
      </w:r>
      <w:r>
        <w:t xml:space="preserve"> </w:t>
      </w:r>
      <w:r w:rsidR="00610A7D">
        <w:t xml:space="preserve">the Tribunal notes on the basis of the case law established in </w:t>
      </w:r>
      <w:r w:rsidR="00610A7D">
        <w:rPr>
          <w:i/>
          <w:iCs/>
        </w:rPr>
        <w:t>Van</w:t>
      </w:r>
      <w:r w:rsidR="003C4A05">
        <w:rPr>
          <w:i/>
          <w:iCs/>
        </w:rPr>
        <w:t xml:space="preserve"> B</w:t>
      </w:r>
      <w:r w:rsidR="00610A7D">
        <w:rPr>
          <w:i/>
          <w:iCs/>
        </w:rPr>
        <w:t>oekel</w:t>
      </w:r>
      <w:r w:rsidR="00CF42D6">
        <w:rPr>
          <w:i/>
          <w:iCs/>
        </w:rPr>
        <w:t xml:space="preserve"> v HMC&amp;E </w:t>
      </w:r>
      <w:r w:rsidR="00CF42D6">
        <w:t xml:space="preserve">[1981] STC 290 and </w:t>
      </w:r>
      <w:r w:rsidR="00CF42D6">
        <w:rPr>
          <w:i/>
          <w:iCs/>
        </w:rPr>
        <w:t>Pegasus Bird</w:t>
      </w:r>
      <w:r w:rsidR="00E82DD9">
        <w:rPr>
          <w:i/>
          <w:iCs/>
        </w:rPr>
        <w:t xml:space="preserve"> Ltd v HMC&amp;E </w:t>
      </w:r>
      <w:r w:rsidR="00E82DD9">
        <w:t>[</w:t>
      </w:r>
      <w:r w:rsidR="00BB4CF9">
        <w:t xml:space="preserve">2004] EWCA Civ 1015 there is no basis on which to conclude that </w:t>
      </w:r>
      <w:r w:rsidR="00FC501D">
        <w:t xml:space="preserve">had there been a justified basis for </w:t>
      </w:r>
      <w:r w:rsidR="00BB4CF9">
        <w:t xml:space="preserve">the assessment </w:t>
      </w:r>
      <w:r w:rsidR="00FC501D">
        <w:t xml:space="preserve">that the assessment would </w:t>
      </w:r>
      <w:r w:rsidR="00BB4CF9">
        <w:t xml:space="preserve">not </w:t>
      </w:r>
      <w:r w:rsidR="00FC501D">
        <w:t xml:space="preserve">have been </w:t>
      </w:r>
      <w:r w:rsidR="00BB4CF9">
        <w:t>made to best judgment</w:t>
      </w:r>
      <w:r w:rsidR="0095309A">
        <w:t xml:space="preserve">.  There was no evidence given by the Appellant as to what the assessment should be in the event that the input tax was not fully recoverable </w:t>
      </w:r>
      <w:r w:rsidR="006F7291">
        <w:t>and hence</w:t>
      </w:r>
      <w:r w:rsidR="00884A94">
        <w:t xml:space="preserve"> the assessments would have stood</w:t>
      </w:r>
      <w:r w:rsidR="006F7291">
        <w:t>.</w:t>
      </w:r>
    </w:p>
    <w:p w14:paraId="1A47318B" w14:textId="647CEF57" w:rsidR="001025F2" w:rsidRDefault="001025F2" w:rsidP="00F937EA">
      <w:pPr>
        <w:pStyle w:val="Taxheading1"/>
      </w:pPr>
      <w:r>
        <w:t>Right to apply for permission to appeal</w:t>
      </w:r>
    </w:p>
    <w:p w14:paraId="38446C5A" w14:textId="77777777" w:rsidR="001D7E8A" w:rsidRDefault="001D7E8A" w:rsidP="00576A9F">
      <w:pPr>
        <w:pStyle w:val="Taxbodytext1"/>
      </w:pPr>
      <w:r>
        <w:t>This document contains full findings of fact and reasons for the decision.</w:t>
      </w:r>
      <w:r w:rsidR="001025F2">
        <w:t xml:space="preserve"> </w:t>
      </w:r>
      <w:r>
        <w:t xml:space="preserve"> Any party dissatisfied with this decision has a right to apply for permission to appeal against it </w:t>
      </w:r>
      <w:r w:rsidRPr="00C0475D">
        <w:t>pursuant</w:t>
      </w:r>
      <w:r>
        <w:t xml:space="preserve"> to Rule 39 of the Tribunal Procedure (First-tier Tribunal) (Tax Chamber) Rules 2009.  The application must be received by this </w:t>
      </w:r>
      <w:r w:rsidRPr="00BB47C7">
        <w:t>Tribunal</w:t>
      </w:r>
      <w:r>
        <w:t xml:space="preserve"> not later than 56 days after this decision is sent to that party.  The parties are referred to “Guidance to accompany a Decision from the First-tier Tribunal (Tax Chamber)” which accompanies and forms part of this decision notice.</w:t>
      </w:r>
    </w:p>
    <w:p w14:paraId="33FD7DC8" w14:textId="77777777" w:rsidR="001D7E8A" w:rsidRDefault="001D7E8A" w:rsidP="00576A9F">
      <w:pPr>
        <w:pStyle w:val="Taxbodytext1"/>
        <w:numPr>
          <w:ilvl w:val="0"/>
          <w:numId w:val="0"/>
        </w:numPr>
      </w:pPr>
    </w:p>
    <w:p w14:paraId="1ECF2744" w14:textId="77777777" w:rsidR="00CC2235" w:rsidRPr="00CC2235" w:rsidRDefault="00CC2235" w:rsidP="00576A9F">
      <w:pPr>
        <w:pStyle w:val="Taxbodytext1"/>
        <w:numPr>
          <w:ilvl w:val="0"/>
          <w:numId w:val="0"/>
        </w:numPr>
      </w:pPr>
    </w:p>
    <w:p w14:paraId="0C222BBB" w14:textId="2F5CD3C8" w:rsidR="007F20E0" w:rsidRPr="00576A9F" w:rsidRDefault="00C843AD" w:rsidP="007F20E0">
      <w:pPr>
        <w:jc w:val="center"/>
        <w:rPr>
          <w:b/>
        </w:rPr>
      </w:pPr>
      <w:r>
        <w:rPr>
          <w:b/>
        </w:rPr>
        <w:t>AMANDA BROWN QC</w:t>
      </w:r>
    </w:p>
    <w:p w14:paraId="15F4581D" w14:textId="77777777" w:rsidR="007F20E0" w:rsidRDefault="007F20E0" w:rsidP="007F20E0">
      <w:pPr>
        <w:jc w:val="center"/>
        <w:rPr>
          <w:b/>
        </w:rPr>
      </w:pPr>
      <w:r>
        <w:rPr>
          <w:b/>
        </w:rPr>
        <w:t>TRIBUNAL JUDGE</w:t>
      </w:r>
    </w:p>
    <w:p w14:paraId="59E50655" w14:textId="77777777" w:rsidR="00467608" w:rsidRDefault="00467608" w:rsidP="007F20E0">
      <w:pPr>
        <w:jc w:val="center"/>
        <w:rPr>
          <w:b/>
        </w:rPr>
      </w:pPr>
    </w:p>
    <w:p w14:paraId="4230D4C1" w14:textId="6E1DF484" w:rsidR="007F20E0" w:rsidRPr="007F20E0" w:rsidRDefault="007F20E0" w:rsidP="007F20E0">
      <w:pPr>
        <w:jc w:val="center"/>
        <w:rPr>
          <w:b/>
        </w:rPr>
      </w:pPr>
      <w:r>
        <w:rPr>
          <w:b/>
        </w:rPr>
        <w:t>R</w:t>
      </w:r>
      <w:r w:rsidR="00C73668">
        <w:rPr>
          <w:b/>
        </w:rPr>
        <w:t>elease date</w:t>
      </w:r>
      <w:r>
        <w:rPr>
          <w:b/>
        </w:rPr>
        <w:t>:</w:t>
      </w:r>
      <w:r w:rsidR="00E20BC5">
        <w:rPr>
          <w:b/>
        </w:rPr>
        <w:t xml:space="preserve"> 22 JULY 2022</w:t>
      </w:r>
    </w:p>
    <w:sectPr w:rsidR="007F20E0" w:rsidRPr="007F20E0"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1AC87" w14:textId="77777777" w:rsidR="006B7C36" w:rsidRDefault="006B7C36" w:rsidP="00D72FDC">
      <w:pPr>
        <w:spacing w:after="0"/>
      </w:pPr>
      <w:r>
        <w:separator/>
      </w:r>
    </w:p>
  </w:endnote>
  <w:endnote w:type="continuationSeparator" w:id="0">
    <w:p w14:paraId="0D0D168A" w14:textId="77777777" w:rsidR="006B7C36" w:rsidRDefault="006B7C36"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BF295" w14:textId="77777777" w:rsidR="00033334" w:rsidRDefault="00033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593CE" w14:textId="77777777" w:rsidR="004B08DC" w:rsidRDefault="004B0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83386" w14:textId="77777777" w:rsidR="00033334" w:rsidRDefault="000333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1B154B70" w14:textId="77777777" w:rsidR="00CD5D96" w:rsidRDefault="00CD5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BD9BD" w14:textId="77777777" w:rsidR="00CD5D96" w:rsidRDefault="00CD5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77A45" w14:textId="77777777" w:rsidR="006B7C36" w:rsidRDefault="006B7C36" w:rsidP="00D72FDC">
      <w:pPr>
        <w:spacing w:after="0"/>
      </w:pPr>
      <w:r>
        <w:separator/>
      </w:r>
    </w:p>
  </w:footnote>
  <w:footnote w:type="continuationSeparator" w:id="0">
    <w:p w14:paraId="4916344F" w14:textId="77777777" w:rsidR="006B7C36" w:rsidRDefault="006B7C36"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5843E" w14:textId="77777777" w:rsidR="00033334" w:rsidRDefault="00033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DC325" w14:textId="77777777" w:rsidR="00033334" w:rsidRDefault="00033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993D1" w14:textId="77777777" w:rsidR="00033334" w:rsidRDefault="000333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C009F" w14:textId="77777777" w:rsidR="00CD5D96" w:rsidRDefault="00CD5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2862BA"/>
    <w:multiLevelType w:val="multilevel"/>
    <w:tmpl w:val="2476186E"/>
    <w:lvl w:ilvl="0">
      <w:start w:val="1"/>
      <w:numFmt w:val="decimal"/>
      <w:pStyle w:val="Taxbodytext1"/>
      <w:lvlText w:val="%1."/>
      <w:lvlJc w:val="left"/>
      <w:pPr>
        <w:ind w:left="0" w:firstLine="0"/>
      </w:pPr>
      <w:rPr>
        <w:rFonts w:hint="default"/>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7"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8"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9"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num w:numId="1">
    <w:abstractNumId w:val="5"/>
  </w:num>
  <w:num w:numId="2">
    <w:abstractNumId w:val="1"/>
  </w:num>
  <w:num w:numId="3">
    <w:abstractNumId w:val="8"/>
  </w:num>
  <w:num w:numId="4">
    <w:abstractNumId w:val="7"/>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0"/>
  </w:num>
  <w:num w:numId="10">
    <w:abstractNumId w:val="4"/>
  </w:num>
  <w:num w:numId="11">
    <w:abstractNumId w:val="10"/>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A90D293-9197-4798-8F81-AEF5736BAFDC}"/>
    <w:docVar w:name="dgnword-eventsink" w:val="2366239582816"/>
  </w:docVars>
  <w:rsids>
    <w:rsidRoot w:val="00F1730C"/>
    <w:rsid w:val="0000203A"/>
    <w:rsid w:val="00002505"/>
    <w:rsid w:val="000050FA"/>
    <w:rsid w:val="00005DF3"/>
    <w:rsid w:val="00015CB4"/>
    <w:rsid w:val="0001664F"/>
    <w:rsid w:val="00016DE1"/>
    <w:rsid w:val="00017341"/>
    <w:rsid w:val="000250D3"/>
    <w:rsid w:val="00033334"/>
    <w:rsid w:val="00042816"/>
    <w:rsid w:val="0005016A"/>
    <w:rsid w:val="00054962"/>
    <w:rsid w:val="0005657E"/>
    <w:rsid w:val="0006133A"/>
    <w:rsid w:val="0006201E"/>
    <w:rsid w:val="00065252"/>
    <w:rsid w:val="00070D17"/>
    <w:rsid w:val="0007344F"/>
    <w:rsid w:val="000737BB"/>
    <w:rsid w:val="00097008"/>
    <w:rsid w:val="000A2D29"/>
    <w:rsid w:val="000A4E7F"/>
    <w:rsid w:val="000A662A"/>
    <w:rsid w:val="000A6942"/>
    <w:rsid w:val="000A7279"/>
    <w:rsid w:val="000B05B1"/>
    <w:rsid w:val="000B37A8"/>
    <w:rsid w:val="000C049A"/>
    <w:rsid w:val="000D016D"/>
    <w:rsid w:val="000D0E36"/>
    <w:rsid w:val="000D1009"/>
    <w:rsid w:val="000D2C07"/>
    <w:rsid w:val="000D513A"/>
    <w:rsid w:val="000F1DDC"/>
    <w:rsid w:val="00100C67"/>
    <w:rsid w:val="001025F2"/>
    <w:rsid w:val="00104240"/>
    <w:rsid w:val="001042BB"/>
    <w:rsid w:val="00121000"/>
    <w:rsid w:val="00121221"/>
    <w:rsid w:val="001216B4"/>
    <w:rsid w:val="00122CF0"/>
    <w:rsid w:val="00125549"/>
    <w:rsid w:val="00135750"/>
    <w:rsid w:val="001405D0"/>
    <w:rsid w:val="00141E32"/>
    <w:rsid w:val="0014338B"/>
    <w:rsid w:val="001440F2"/>
    <w:rsid w:val="00147B5F"/>
    <w:rsid w:val="00151415"/>
    <w:rsid w:val="00151ED1"/>
    <w:rsid w:val="00153F64"/>
    <w:rsid w:val="00156176"/>
    <w:rsid w:val="00156AD2"/>
    <w:rsid w:val="00157CBD"/>
    <w:rsid w:val="00160660"/>
    <w:rsid w:val="0016329B"/>
    <w:rsid w:val="00167F6E"/>
    <w:rsid w:val="001719CC"/>
    <w:rsid w:val="001873A3"/>
    <w:rsid w:val="001965D5"/>
    <w:rsid w:val="00196674"/>
    <w:rsid w:val="00197345"/>
    <w:rsid w:val="001A64B0"/>
    <w:rsid w:val="001B1EE2"/>
    <w:rsid w:val="001B5F4B"/>
    <w:rsid w:val="001C1A01"/>
    <w:rsid w:val="001C4EBD"/>
    <w:rsid w:val="001D1D3C"/>
    <w:rsid w:val="001D22DB"/>
    <w:rsid w:val="001D36BD"/>
    <w:rsid w:val="001D7E8A"/>
    <w:rsid w:val="001E1CE4"/>
    <w:rsid w:val="001E2790"/>
    <w:rsid w:val="001E3982"/>
    <w:rsid w:val="001E51E9"/>
    <w:rsid w:val="001F3CEC"/>
    <w:rsid w:val="001F419F"/>
    <w:rsid w:val="001F646A"/>
    <w:rsid w:val="00205D74"/>
    <w:rsid w:val="00205F78"/>
    <w:rsid w:val="0020768C"/>
    <w:rsid w:val="00207C7E"/>
    <w:rsid w:val="002109A4"/>
    <w:rsid w:val="002128EE"/>
    <w:rsid w:val="0022383D"/>
    <w:rsid w:val="00224A36"/>
    <w:rsid w:val="002307BF"/>
    <w:rsid w:val="00231062"/>
    <w:rsid w:val="002310C4"/>
    <w:rsid w:val="00231EC9"/>
    <w:rsid w:val="00231EFC"/>
    <w:rsid w:val="0025115F"/>
    <w:rsid w:val="002640C5"/>
    <w:rsid w:val="00270BEB"/>
    <w:rsid w:val="00273271"/>
    <w:rsid w:val="00275A02"/>
    <w:rsid w:val="00276053"/>
    <w:rsid w:val="00290F4C"/>
    <w:rsid w:val="00291BDC"/>
    <w:rsid w:val="002929DD"/>
    <w:rsid w:val="002A20EF"/>
    <w:rsid w:val="002A2254"/>
    <w:rsid w:val="002B13E2"/>
    <w:rsid w:val="002B2DF4"/>
    <w:rsid w:val="002B6F72"/>
    <w:rsid w:val="002C0A0E"/>
    <w:rsid w:val="002C5589"/>
    <w:rsid w:val="002C5E02"/>
    <w:rsid w:val="002D2DA9"/>
    <w:rsid w:val="002E1A53"/>
    <w:rsid w:val="002F20BC"/>
    <w:rsid w:val="002F2D69"/>
    <w:rsid w:val="003151AB"/>
    <w:rsid w:val="00316438"/>
    <w:rsid w:val="003264B2"/>
    <w:rsid w:val="00327029"/>
    <w:rsid w:val="003314E9"/>
    <w:rsid w:val="0033633E"/>
    <w:rsid w:val="00340E79"/>
    <w:rsid w:val="003413CD"/>
    <w:rsid w:val="003434A8"/>
    <w:rsid w:val="00360C4E"/>
    <w:rsid w:val="003635F2"/>
    <w:rsid w:val="00365704"/>
    <w:rsid w:val="003657BF"/>
    <w:rsid w:val="0037263E"/>
    <w:rsid w:val="00373A0A"/>
    <w:rsid w:val="003757F1"/>
    <w:rsid w:val="00383087"/>
    <w:rsid w:val="003843F7"/>
    <w:rsid w:val="003909D7"/>
    <w:rsid w:val="003A0FC1"/>
    <w:rsid w:val="003A155C"/>
    <w:rsid w:val="003A2681"/>
    <w:rsid w:val="003A29DA"/>
    <w:rsid w:val="003A7B0B"/>
    <w:rsid w:val="003C056C"/>
    <w:rsid w:val="003C4A05"/>
    <w:rsid w:val="003C4E40"/>
    <w:rsid w:val="003C7604"/>
    <w:rsid w:val="003C7CCD"/>
    <w:rsid w:val="003E2833"/>
    <w:rsid w:val="003E3462"/>
    <w:rsid w:val="003E784B"/>
    <w:rsid w:val="0040511D"/>
    <w:rsid w:val="004131A7"/>
    <w:rsid w:val="004160C8"/>
    <w:rsid w:val="0041701D"/>
    <w:rsid w:val="00424444"/>
    <w:rsid w:val="00424871"/>
    <w:rsid w:val="004269F1"/>
    <w:rsid w:val="00431EAE"/>
    <w:rsid w:val="00441E16"/>
    <w:rsid w:val="00442809"/>
    <w:rsid w:val="00452033"/>
    <w:rsid w:val="00453FE1"/>
    <w:rsid w:val="00454897"/>
    <w:rsid w:val="004558DC"/>
    <w:rsid w:val="0046028F"/>
    <w:rsid w:val="004609A6"/>
    <w:rsid w:val="00460C5E"/>
    <w:rsid w:val="004642EE"/>
    <w:rsid w:val="00466756"/>
    <w:rsid w:val="00467608"/>
    <w:rsid w:val="00467E6B"/>
    <w:rsid w:val="004706EF"/>
    <w:rsid w:val="00473AA2"/>
    <w:rsid w:val="00476482"/>
    <w:rsid w:val="004770A2"/>
    <w:rsid w:val="00480D4C"/>
    <w:rsid w:val="00483425"/>
    <w:rsid w:val="004850FD"/>
    <w:rsid w:val="00486F2A"/>
    <w:rsid w:val="00490A26"/>
    <w:rsid w:val="00495D1A"/>
    <w:rsid w:val="00496DAF"/>
    <w:rsid w:val="004A4FE2"/>
    <w:rsid w:val="004A7F90"/>
    <w:rsid w:val="004B07E3"/>
    <w:rsid w:val="004B08DC"/>
    <w:rsid w:val="004B1EDB"/>
    <w:rsid w:val="004B2514"/>
    <w:rsid w:val="004C05C9"/>
    <w:rsid w:val="004C1AAE"/>
    <w:rsid w:val="004C3616"/>
    <w:rsid w:val="004C3888"/>
    <w:rsid w:val="004D067A"/>
    <w:rsid w:val="004D22C1"/>
    <w:rsid w:val="004F5F35"/>
    <w:rsid w:val="00500FDD"/>
    <w:rsid w:val="00504188"/>
    <w:rsid w:val="00506538"/>
    <w:rsid w:val="0051137A"/>
    <w:rsid w:val="005223F3"/>
    <w:rsid w:val="005279BD"/>
    <w:rsid w:val="00533BA8"/>
    <w:rsid w:val="00536462"/>
    <w:rsid w:val="0054068D"/>
    <w:rsid w:val="00541207"/>
    <w:rsid w:val="005424F4"/>
    <w:rsid w:val="0054513E"/>
    <w:rsid w:val="005520BB"/>
    <w:rsid w:val="00555D5C"/>
    <w:rsid w:val="00556A35"/>
    <w:rsid w:val="005579B1"/>
    <w:rsid w:val="00573413"/>
    <w:rsid w:val="00575025"/>
    <w:rsid w:val="00576A9F"/>
    <w:rsid w:val="00582FD6"/>
    <w:rsid w:val="00583958"/>
    <w:rsid w:val="00587DA3"/>
    <w:rsid w:val="00594A79"/>
    <w:rsid w:val="00597954"/>
    <w:rsid w:val="00597C41"/>
    <w:rsid w:val="005A758A"/>
    <w:rsid w:val="005A7F00"/>
    <w:rsid w:val="005B4764"/>
    <w:rsid w:val="005B4C5B"/>
    <w:rsid w:val="005B7AEF"/>
    <w:rsid w:val="005C0C18"/>
    <w:rsid w:val="005C2B74"/>
    <w:rsid w:val="005C3A64"/>
    <w:rsid w:val="005D6C05"/>
    <w:rsid w:val="005E3EED"/>
    <w:rsid w:val="005E56D5"/>
    <w:rsid w:val="005E6613"/>
    <w:rsid w:val="005E6763"/>
    <w:rsid w:val="005E74F8"/>
    <w:rsid w:val="005F009B"/>
    <w:rsid w:val="005F2637"/>
    <w:rsid w:val="005F641E"/>
    <w:rsid w:val="0060287A"/>
    <w:rsid w:val="00610A7D"/>
    <w:rsid w:val="006135FF"/>
    <w:rsid w:val="00613849"/>
    <w:rsid w:val="00614D46"/>
    <w:rsid w:val="0061520F"/>
    <w:rsid w:val="00630D17"/>
    <w:rsid w:val="00630DF1"/>
    <w:rsid w:val="00632478"/>
    <w:rsid w:val="00640A42"/>
    <w:rsid w:val="00641D94"/>
    <w:rsid w:val="006437E5"/>
    <w:rsid w:val="006447CB"/>
    <w:rsid w:val="00644904"/>
    <w:rsid w:val="0064624F"/>
    <w:rsid w:val="0065120C"/>
    <w:rsid w:val="00651BBE"/>
    <w:rsid w:val="00655849"/>
    <w:rsid w:val="00657289"/>
    <w:rsid w:val="006572CA"/>
    <w:rsid w:val="00657F98"/>
    <w:rsid w:val="00673D21"/>
    <w:rsid w:val="00673E68"/>
    <w:rsid w:val="00690638"/>
    <w:rsid w:val="00691B65"/>
    <w:rsid w:val="00696983"/>
    <w:rsid w:val="00697F78"/>
    <w:rsid w:val="006A4BE5"/>
    <w:rsid w:val="006B7C36"/>
    <w:rsid w:val="006D6E43"/>
    <w:rsid w:val="006E1823"/>
    <w:rsid w:val="006E1AD6"/>
    <w:rsid w:val="006F3CDB"/>
    <w:rsid w:val="006F7291"/>
    <w:rsid w:val="006F7D27"/>
    <w:rsid w:val="00700495"/>
    <w:rsid w:val="0070134D"/>
    <w:rsid w:val="007045D0"/>
    <w:rsid w:val="00710164"/>
    <w:rsid w:val="007105DC"/>
    <w:rsid w:val="00714461"/>
    <w:rsid w:val="00714AFC"/>
    <w:rsid w:val="00715980"/>
    <w:rsid w:val="007173DF"/>
    <w:rsid w:val="00732BE6"/>
    <w:rsid w:val="0074148C"/>
    <w:rsid w:val="0074492B"/>
    <w:rsid w:val="007520D5"/>
    <w:rsid w:val="007537F9"/>
    <w:rsid w:val="00756A3D"/>
    <w:rsid w:val="00760FAC"/>
    <w:rsid w:val="007622E7"/>
    <w:rsid w:val="00763B5F"/>
    <w:rsid w:val="0076619E"/>
    <w:rsid w:val="0076689A"/>
    <w:rsid w:val="007671C0"/>
    <w:rsid w:val="00777639"/>
    <w:rsid w:val="007820AF"/>
    <w:rsid w:val="00782EB2"/>
    <w:rsid w:val="00783671"/>
    <w:rsid w:val="00786080"/>
    <w:rsid w:val="007912CC"/>
    <w:rsid w:val="00791544"/>
    <w:rsid w:val="0079189F"/>
    <w:rsid w:val="007920A8"/>
    <w:rsid w:val="00794688"/>
    <w:rsid w:val="00794B4C"/>
    <w:rsid w:val="007A4FB0"/>
    <w:rsid w:val="007B14C4"/>
    <w:rsid w:val="007B1E1A"/>
    <w:rsid w:val="007B3050"/>
    <w:rsid w:val="007B5183"/>
    <w:rsid w:val="007B57B5"/>
    <w:rsid w:val="007B778E"/>
    <w:rsid w:val="007C024E"/>
    <w:rsid w:val="007C20E1"/>
    <w:rsid w:val="007C72C2"/>
    <w:rsid w:val="007D2661"/>
    <w:rsid w:val="007D4256"/>
    <w:rsid w:val="007D4B28"/>
    <w:rsid w:val="007E22A9"/>
    <w:rsid w:val="007E3F96"/>
    <w:rsid w:val="007E4F74"/>
    <w:rsid w:val="007F20E0"/>
    <w:rsid w:val="007F6D1E"/>
    <w:rsid w:val="008145D6"/>
    <w:rsid w:val="008263F1"/>
    <w:rsid w:val="008335FF"/>
    <w:rsid w:val="00836468"/>
    <w:rsid w:val="00836E51"/>
    <w:rsid w:val="0084305A"/>
    <w:rsid w:val="00847D87"/>
    <w:rsid w:val="00853E86"/>
    <w:rsid w:val="0086197E"/>
    <w:rsid w:val="00865B1E"/>
    <w:rsid w:val="00867696"/>
    <w:rsid w:val="00867BD3"/>
    <w:rsid w:val="00870478"/>
    <w:rsid w:val="00875CF8"/>
    <w:rsid w:val="008840AD"/>
    <w:rsid w:val="00884A94"/>
    <w:rsid w:val="008A128F"/>
    <w:rsid w:val="008A5F1A"/>
    <w:rsid w:val="008B0371"/>
    <w:rsid w:val="008B0A7F"/>
    <w:rsid w:val="008B2884"/>
    <w:rsid w:val="008B4DE8"/>
    <w:rsid w:val="008B6742"/>
    <w:rsid w:val="008B69B2"/>
    <w:rsid w:val="008B7307"/>
    <w:rsid w:val="008C550D"/>
    <w:rsid w:val="008C6270"/>
    <w:rsid w:val="008D258A"/>
    <w:rsid w:val="008D7C17"/>
    <w:rsid w:val="008E05B8"/>
    <w:rsid w:val="008E0E65"/>
    <w:rsid w:val="008E17D9"/>
    <w:rsid w:val="008E2A66"/>
    <w:rsid w:val="008E4DD8"/>
    <w:rsid w:val="008E5C41"/>
    <w:rsid w:val="008E6185"/>
    <w:rsid w:val="008F4122"/>
    <w:rsid w:val="00900CD9"/>
    <w:rsid w:val="00903509"/>
    <w:rsid w:val="0091163A"/>
    <w:rsid w:val="009133E1"/>
    <w:rsid w:val="00914523"/>
    <w:rsid w:val="00920FB1"/>
    <w:rsid w:val="0092107C"/>
    <w:rsid w:val="00925788"/>
    <w:rsid w:val="00934075"/>
    <w:rsid w:val="0095309A"/>
    <w:rsid w:val="0095785F"/>
    <w:rsid w:val="00957D64"/>
    <w:rsid w:val="00961CF4"/>
    <w:rsid w:val="0096755E"/>
    <w:rsid w:val="00970634"/>
    <w:rsid w:val="00986544"/>
    <w:rsid w:val="009871A7"/>
    <w:rsid w:val="009906AA"/>
    <w:rsid w:val="009911B4"/>
    <w:rsid w:val="00991D91"/>
    <w:rsid w:val="009A097E"/>
    <w:rsid w:val="009A09BA"/>
    <w:rsid w:val="009A2D49"/>
    <w:rsid w:val="009A3F1C"/>
    <w:rsid w:val="009A7D39"/>
    <w:rsid w:val="009B1A43"/>
    <w:rsid w:val="009C68D2"/>
    <w:rsid w:val="009C7A85"/>
    <w:rsid w:val="009C7D28"/>
    <w:rsid w:val="009C7E08"/>
    <w:rsid w:val="009D3331"/>
    <w:rsid w:val="009D4CA9"/>
    <w:rsid w:val="009E1481"/>
    <w:rsid w:val="009E36A6"/>
    <w:rsid w:val="009E6258"/>
    <w:rsid w:val="009F11B4"/>
    <w:rsid w:val="009F58EB"/>
    <w:rsid w:val="009F756D"/>
    <w:rsid w:val="00A01424"/>
    <w:rsid w:val="00A07199"/>
    <w:rsid w:val="00A161E0"/>
    <w:rsid w:val="00A244C4"/>
    <w:rsid w:val="00A302FB"/>
    <w:rsid w:val="00A30B80"/>
    <w:rsid w:val="00A33E58"/>
    <w:rsid w:val="00A43225"/>
    <w:rsid w:val="00A43A45"/>
    <w:rsid w:val="00A43E50"/>
    <w:rsid w:val="00A528DF"/>
    <w:rsid w:val="00A55540"/>
    <w:rsid w:val="00A63292"/>
    <w:rsid w:val="00A65065"/>
    <w:rsid w:val="00A65D27"/>
    <w:rsid w:val="00A728F4"/>
    <w:rsid w:val="00A82CDD"/>
    <w:rsid w:val="00A879B8"/>
    <w:rsid w:val="00A91996"/>
    <w:rsid w:val="00A92372"/>
    <w:rsid w:val="00A96C85"/>
    <w:rsid w:val="00AA4C43"/>
    <w:rsid w:val="00AB12C2"/>
    <w:rsid w:val="00AB39ED"/>
    <w:rsid w:val="00AB518C"/>
    <w:rsid w:val="00AB52C8"/>
    <w:rsid w:val="00AC2999"/>
    <w:rsid w:val="00AC6A7B"/>
    <w:rsid w:val="00AD40DF"/>
    <w:rsid w:val="00AE5CFF"/>
    <w:rsid w:val="00AF22F2"/>
    <w:rsid w:val="00B07400"/>
    <w:rsid w:val="00B20CD9"/>
    <w:rsid w:val="00B21076"/>
    <w:rsid w:val="00B2457F"/>
    <w:rsid w:val="00B249ED"/>
    <w:rsid w:val="00B25816"/>
    <w:rsid w:val="00B44FC2"/>
    <w:rsid w:val="00B46BA1"/>
    <w:rsid w:val="00B50123"/>
    <w:rsid w:val="00B52600"/>
    <w:rsid w:val="00B5686F"/>
    <w:rsid w:val="00B61940"/>
    <w:rsid w:val="00B63F1E"/>
    <w:rsid w:val="00B653CE"/>
    <w:rsid w:val="00B664E0"/>
    <w:rsid w:val="00B67DFC"/>
    <w:rsid w:val="00B81C78"/>
    <w:rsid w:val="00B8655C"/>
    <w:rsid w:val="00B91EF5"/>
    <w:rsid w:val="00B94C00"/>
    <w:rsid w:val="00B96E37"/>
    <w:rsid w:val="00BB275E"/>
    <w:rsid w:val="00BB3C3C"/>
    <w:rsid w:val="00BB47C7"/>
    <w:rsid w:val="00BB4CF9"/>
    <w:rsid w:val="00BB5749"/>
    <w:rsid w:val="00BB78E5"/>
    <w:rsid w:val="00BC2C14"/>
    <w:rsid w:val="00BC3904"/>
    <w:rsid w:val="00BC554B"/>
    <w:rsid w:val="00BC5E96"/>
    <w:rsid w:val="00BD1F67"/>
    <w:rsid w:val="00BD6392"/>
    <w:rsid w:val="00BD7870"/>
    <w:rsid w:val="00BE6132"/>
    <w:rsid w:val="00BE75B7"/>
    <w:rsid w:val="00BF2E5A"/>
    <w:rsid w:val="00BF71CA"/>
    <w:rsid w:val="00C1298E"/>
    <w:rsid w:val="00C16666"/>
    <w:rsid w:val="00C20584"/>
    <w:rsid w:val="00C205A9"/>
    <w:rsid w:val="00C21A3C"/>
    <w:rsid w:val="00C26107"/>
    <w:rsid w:val="00C2792F"/>
    <w:rsid w:val="00C31097"/>
    <w:rsid w:val="00C32138"/>
    <w:rsid w:val="00C32BA9"/>
    <w:rsid w:val="00C45D30"/>
    <w:rsid w:val="00C57976"/>
    <w:rsid w:val="00C608FA"/>
    <w:rsid w:val="00C62EED"/>
    <w:rsid w:val="00C6426E"/>
    <w:rsid w:val="00C7130B"/>
    <w:rsid w:val="00C73668"/>
    <w:rsid w:val="00C77BBA"/>
    <w:rsid w:val="00C843AD"/>
    <w:rsid w:val="00C87974"/>
    <w:rsid w:val="00CA79E3"/>
    <w:rsid w:val="00CB610F"/>
    <w:rsid w:val="00CC16E0"/>
    <w:rsid w:val="00CC2235"/>
    <w:rsid w:val="00CC2DE9"/>
    <w:rsid w:val="00CC315E"/>
    <w:rsid w:val="00CC3D83"/>
    <w:rsid w:val="00CD13B9"/>
    <w:rsid w:val="00CD5C82"/>
    <w:rsid w:val="00CD5D96"/>
    <w:rsid w:val="00CE226A"/>
    <w:rsid w:val="00CE75E0"/>
    <w:rsid w:val="00CE798F"/>
    <w:rsid w:val="00CF3651"/>
    <w:rsid w:val="00CF42D6"/>
    <w:rsid w:val="00CF46F6"/>
    <w:rsid w:val="00D10F00"/>
    <w:rsid w:val="00D1282C"/>
    <w:rsid w:val="00D15D09"/>
    <w:rsid w:val="00D167BA"/>
    <w:rsid w:val="00D20AE8"/>
    <w:rsid w:val="00D211AC"/>
    <w:rsid w:val="00D24A00"/>
    <w:rsid w:val="00D3070B"/>
    <w:rsid w:val="00D44DE7"/>
    <w:rsid w:val="00D4639A"/>
    <w:rsid w:val="00D51F16"/>
    <w:rsid w:val="00D6244D"/>
    <w:rsid w:val="00D6556E"/>
    <w:rsid w:val="00D66BA5"/>
    <w:rsid w:val="00D72FDC"/>
    <w:rsid w:val="00D86A3E"/>
    <w:rsid w:val="00D86F59"/>
    <w:rsid w:val="00D96C23"/>
    <w:rsid w:val="00DA1CA7"/>
    <w:rsid w:val="00DA507C"/>
    <w:rsid w:val="00DA7713"/>
    <w:rsid w:val="00DB1614"/>
    <w:rsid w:val="00DC5AEC"/>
    <w:rsid w:val="00DD362E"/>
    <w:rsid w:val="00DD3E56"/>
    <w:rsid w:val="00DD5015"/>
    <w:rsid w:val="00DD66B3"/>
    <w:rsid w:val="00DE2F31"/>
    <w:rsid w:val="00DE4F78"/>
    <w:rsid w:val="00DE5088"/>
    <w:rsid w:val="00DE692E"/>
    <w:rsid w:val="00DE6CDD"/>
    <w:rsid w:val="00DF2DA0"/>
    <w:rsid w:val="00E06121"/>
    <w:rsid w:val="00E0656B"/>
    <w:rsid w:val="00E11B1E"/>
    <w:rsid w:val="00E20BC5"/>
    <w:rsid w:val="00E24B5A"/>
    <w:rsid w:val="00E3085F"/>
    <w:rsid w:val="00E3525B"/>
    <w:rsid w:val="00E42846"/>
    <w:rsid w:val="00E4476A"/>
    <w:rsid w:val="00E46394"/>
    <w:rsid w:val="00E46D0F"/>
    <w:rsid w:val="00E52381"/>
    <w:rsid w:val="00E60268"/>
    <w:rsid w:val="00E60FB4"/>
    <w:rsid w:val="00E64282"/>
    <w:rsid w:val="00E652BB"/>
    <w:rsid w:val="00E658A2"/>
    <w:rsid w:val="00E71993"/>
    <w:rsid w:val="00E81240"/>
    <w:rsid w:val="00E81C45"/>
    <w:rsid w:val="00E821A2"/>
    <w:rsid w:val="00E82DD9"/>
    <w:rsid w:val="00E85502"/>
    <w:rsid w:val="00EA29D1"/>
    <w:rsid w:val="00EC1A82"/>
    <w:rsid w:val="00ED70B1"/>
    <w:rsid w:val="00EF53E6"/>
    <w:rsid w:val="00EF7019"/>
    <w:rsid w:val="00EF74DD"/>
    <w:rsid w:val="00EF799C"/>
    <w:rsid w:val="00F01B87"/>
    <w:rsid w:val="00F05032"/>
    <w:rsid w:val="00F062B0"/>
    <w:rsid w:val="00F1730C"/>
    <w:rsid w:val="00F23B8B"/>
    <w:rsid w:val="00F30D11"/>
    <w:rsid w:val="00F335A8"/>
    <w:rsid w:val="00F36FD1"/>
    <w:rsid w:val="00F44223"/>
    <w:rsid w:val="00F456F3"/>
    <w:rsid w:val="00F478CC"/>
    <w:rsid w:val="00F63371"/>
    <w:rsid w:val="00F63CF0"/>
    <w:rsid w:val="00F70F00"/>
    <w:rsid w:val="00F71DC7"/>
    <w:rsid w:val="00F74483"/>
    <w:rsid w:val="00F757C4"/>
    <w:rsid w:val="00F76038"/>
    <w:rsid w:val="00F937EA"/>
    <w:rsid w:val="00F973F7"/>
    <w:rsid w:val="00FA28B0"/>
    <w:rsid w:val="00FB484C"/>
    <w:rsid w:val="00FC0D3B"/>
    <w:rsid w:val="00FC12F0"/>
    <w:rsid w:val="00FC14CD"/>
    <w:rsid w:val="00FC501D"/>
    <w:rsid w:val="00FC5938"/>
    <w:rsid w:val="00FC5F75"/>
    <w:rsid w:val="00FD14F0"/>
    <w:rsid w:val="00FD67C7"/>
    <w:rsid w:val="00FD687F"/>
    <w:rsid w:val="00FE347E"/>
    <w:rsid w:val="00FE7BD0"/>
    <w:rsid w:val="00FF0B24"/>
    <w:rsid w:val="00FF1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BD4089"/>
  <w15:chartTrackingRefBased/>
  <w15:docId w15:val="{F2F8A391-2075-485D-8605-014D9354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8"/>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ind w:left="567"/>
    </w:pPr>
  </w:style>
  <w:style w:type="paragraph" w:customStyle="1" w:styleId="Taxbodytext3">
    <w:name w:val="Tax body text 3"/>
    <w:basedOn w:val="Taxbodytext2"/>
    <w:link w:val="Taxbodytext3Char"/>
    <w:qFormat/>
    <w:rsid w:val="00900CD9"/>
    <w:pPr>
      <w:numPr>
        <w:ilvl w:val="2"/>
      </w:numPr>
      <w:tabs>
        <w:tab w:val="clear" w:pos="1134"/>
        <w:tab w:val="left" w:pos="1701"/>
      </w:tabs>
      <w:ind w:left="1134"/>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ind w:left="1701"/>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ind w:left="2268"/>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Revision">
    <w:name w:val="Revision"/>
    <w:hidden/>
    <w:uiPriority w:val="99"/>
    <w:semiHidden/>
    <w:rsid w:val="0046675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ADD05-2D5C-4DE5-BA87-FD9D6F0F3379}">
  <ds:schemaRefs>
    <ds:schemaRef ds:uri="http://schemas.openxmlformats.org/officeDocument/2006/bibliography"/>
  </ds:schemaRefs>
</ds:datastoreItem>
</file>

<file path=customXml/itemProps2.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3.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3764</Words>
  <Characters>21459</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Poole</dc:creator>
  <cp:keywords/>
  <dc:description/>
  <cp:lastModifiedBy>Razaq, Haroon</cp:lastModifiedBy>
  <cp:revision>2</cp:revision>
  <cp:lastPrinted>2022-07-21T10:47:00Z</cp:lastPrinted>
  <dcterms:created xsi:type="dcterms:W3CDTF">2022-07-28T15:59:00Z</dcterms:created>
  <dcterms:modified xsi:type="dcterms:W3CDTF">2022-07-28T15:59:00Z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