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5E2421" w14:textId="77777777" w:rsidR="007058F1" w:rsidRDefault="00ED1797">
      <w:pPr>
        <w:widowControl w:val="0"/>
        <w:pBdr>
          <w:top w:val="nil"/>
          <w:left w:val="nil"/>
          <w:bottom w:val="nil"/>
          <w:right w:val="nil"/>
          <w:between w:val="nil"/>
        </w:pBdr>
        <w:spacing w:line="276" w:lineRule="auto"/>
        <w:rPr>
          <w:rFonts w:ascii="Helvetica Neue" w:eastAsia="Helvetica Neue" w:hAnsi="Helvetica Neue" w:cs="Helvetica Neue"/>
          <w:sz w:val="22"/>
          <w:szCs w:val="22"/>
        </w:rPr>
      </w:pPr>
      <w:bookmarkStart w:id="0" w:name="_GoBack"/>
      <w:bookmarkEnd w:id="0"/>
      <w:r>
        <w:rPr>
          <w:rFonts w:ascii="Helvetica Neue" w:eastAsia="Helvetica Neue" w:hAnsi="Helvetica Neue" w:cs="Helvetica Neue"/>
          <w:sz w:val="22"/>
          <w:szCs w:val="22"/>
        </w:rPr>
        <w:t xml:space="preserve"> </w:t>
      </w:r>
    </w:p>
    <w:tbl>
      <w:tblPr>
        <w:tblStyle w:val="a"/>
        <w:tblW w:w="1021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7"/>
        <w:gridCol w:w="1560"/>
        <w:gridCol w:w="2551"/>
        <w:gridCol w:w="300"/>
        <w:gridCol w:w="1258"/>
        <w:gridCol w:w="2832"/>
        <w:gridCol w:w="8"/>
      </w:tblGrid>
      <w:tr w:rsidR="007058F1" w14:paraId="3E2F5D9F" w14:textId="77777777">
        <w:trPr>
          <w:trHeight w:val="4120"/>
        </w:trPr>
        <w:tc>
          <w:tcPr>
            <w:tcW w:w="6118" w:type="dxa"/>
            <w:gridSpan w:val="4"/>
            <w:shd w:val="clear" w:color="auto" w:fill="auto"/>
            <w:tcMar>
              <w:top w:w="0" w:type="dxa"/>
              <w:left w:w="0" w:type="dxa"/>
              <w:bottom w:w="0" w:type="dxa"/>
              <w:right w:w="0" w:type="dxa"/>
            </w:tcMar>
          </w:tcPr>
          <w:p w14:paraId="529CD57D" w14:textId="27793D52" w:rsidR="007058F1" w:rsidRDefault="00ED1797">
            <w:pPr>
              <w:pBdr>
                <w:top w:val="nil"/>
                <w:left w:val="nil"/>
                <w:bottom w:val="nil"/>
                <w:right w:val="nil"/>
                <w:between w:val="nil"/>
              </w:pBdr>
              <w:ind w:left="113"/>
              <w:rPr>
                <w:rFonts w:ascii="Helvetica Neue" w:eastAsia="Helvetica Neue" w:hAnsi="Helvetica Neue" w:cs="Helvetica Neue"/>
                <w:color w:val="000000"/>
                <w:sz w:val="22"/>
                <w:szCs w:val="22"/>
              </w:rPr>
            </w:pPr>
            <w:r>
              <w:rPr>
                <w:rFonts w:ascii="Helvetica Neue" w:eastAsia="Helvetica Neue" w:hAnsi="Helvetica Neue" w:cs="Helvetica Neue"/>
                <w:b/>
                <w:color w:val="000000"/>
                <w:sz w:val="22"/>
                <w:szCs w:val="22"/>
              </w:rPr>
              <w:t>Title:</w:t>
            </w:r>
            <w:r>
              <w:rPr>
                <w:rFonts w:ascii="Helvetica Neue" w:eastAsia="Helvetica Neue" w:hAnsi="Helvetica Neue" w:cs="Helvetica Neue"/>
                <w:color w:val="000000"/>
                <w:sz w:val="22"/>
                <w:szCs w:val="22"/>
              </w:rPr>
              <w:t xml:space="preserve">    Mobile roaming </w:t>
            </w:r>
            <w:r w:rsidR="004C66A8">
              <w:rPr>
                <w:rFonts w:ascii="Helvetica Neue" w:eastAsia="Helvetica Neue" w:hAnsi="Helvetica Neue" w:cs="Helvetica Neue"/>
                <w:color w:val="000000"/>
                <w:sz w:val="22"/>
                <w:szCs w:val="22"/>
              </w:rPr>
              <w:t>(EU Exit) Regulations 2019</w:t>
            </w:r>
          </w:p>
          <w:p w14:paraId="65B6EB88" w14:textId="77777777" w:rsidR="007058F1" w:rsidRDefault="00ED1797">
            <w:pPr>
              <w:pBdr>
                <w:top w:val="nil"/>
                <w:left w:val="nil"/>
                <w:bottom w:val="nil"/>
                <w:right w:val="nil"/>
                <w:between w:val="nil"/>
              </w:pBdr>
              <w:ind w:left="113" w:right="57"/>
              <w:rPr>
                <w:rFonts w:ascii="Helvetica Neue" w:eastAsia="Helvetica Neue" w:hAnsi="Helvetica Neue" w:cs="Helvetica Neue"/>
                <w:b/>
                <w:color w:val="000000"/>
                <w:sz w:val="22"/>
                <w:szCs w:val="22"/>
                <w:highlight w:val="yellow"/>
              </w:rPr>
            </w:pPr>
            <w:r>
              <w:rPr>
                <w:rFonts w:ascii="Helvetica Neue" w:eastAsia="Helvetica Neue" w:hAnsi="Helvetica Neue" w:cs="Helvetica Neue"/>
                <w:b/>
                <w:color w:val="000000"/>
                <w:sz w:val="22"/>
                <w:szCs w:val="22"/>
              </w:rPr>
              <w:t xml:space="preserve">IA No:  </w:t>
            </w:r>
          </w:p>
          <w:p w14:paraId="3576B96B" w14:textId="534DDE23" w:rsidR="007058F1" w:rsidRDefault="004C66A8">
            <w:pPr>
              <w:pBdr>
                <w:top w:val="nil"/>
                <w:left w:val="nil"/>
                <w:bottom w:val="nil"/>
                <w:right w:val="nil"/>
                <w:between w:val="nil"/>
              </w:pBdr>
              <w:spacing w:before="110" w:after="50"/>
              <w:ind w:left="113"/>
              <w:rPr>
                <w:rFonts w:ascii="Helvetica Neue" w:eastAsia="Helvetica Neue" w:hAnsi="Helvetica Neue" w:cs="Helvetica Neue"/>
                <w:b/>
                <w:color w:val="000000"/>
                <w:sz w:val="22"/>
                <w:szCs w:val="22"/>
                <w:highlight w:val="yellow"/>
              </w:rPr>
            </w:pPr>
            <w:r>
              <w:rPr>
                <w:rFonts w:ascii="Helvetica Neue" w:eastAsia="Helvetica Neue" w:hAnsi="Helvetica Neue" w:cs="Helvetica Neue"/>
                <w:b/>
                <w:color w:val="000000"/>
                <w:sz w:val="22"/>
                <w:szCs w:val="22"/>
              </w:rPr>
              <w:t xml:space="preserve">RPC Reference No: </w:t>
            </w:r>
            <w:r w:rsidRPr="004C66A8">
              <w:rPr>
                <w:rFonts w:ascii="Helvetica Neue" w:eastAsia="Helvetica Neue" w:hAnsi="Helvetica Neue" w:cs="Helvetica Neue"/>
                <w:color w:val="000000"/>
                <w:sz w:val="22"/>
                <w:szCs w:val="22"/>
              </w:rPr>
              <w:t>RPC18-DCMS-4303-(2)</w:t>
            </w:r>
          </w:p>
          <w:p w14:paraId="26B3FEC3" w14:textId="77777777" w:rsidR="007058F1" w:rsidRDefault="00ED1797">
            <w:pPr>
              <w:pBdr>
                <w:top w:val="nil"/>
                <w:left w:val="nil"/>
                <w:bottom w:val="nil"/>
                <w:right w:val="nil"/>
                <w:between w:val="nil"/>
              </w:pBdr>
              <w:ind w:left="113"/>
              <w:rPr>
                <w:rFonts w:ascii="Helvetica Neue" w:eastAsia="Helvetica Neue" w:hAnsi="Helvetica Neue" w:cs="Helvetica Neue"/>
                <w:color w:val="000000"/>
                <w:sz w:val="22"/>
                <w:szCs w:val="22"/>
              </w:rPr>
            </w:pPr>
            <w:r>
              <w:rPr>
                <w:rFonts w:ascii="Helvetica Neue" w:eastAsia="Helvetica Neue" w:hAnsi="Helvetica Neue" w:cs="Helvetica Neue"/>
                <w:b/>
                <w:color w:val="000000"/>
                <w:sz w:val="22"/>
                <w:szCs w:val="22"/>
              </w:rPr>
              <w:t xml:space="preserve">Lead department or agency: </w:t>
            </w:r>
            <w:r>
              <w:rPr>
                <w:rFonts w:ascii="Helvetica Neue" w:eastAsia="Helvetica Neue" w:hAnsi="Helvetica Neue" w:cs="Helvetica Neue"/>
                <w:color w:val="000000"/>
                <w:sz w:val="22"/>
                <w:szCs w:val="22"/>
              </w:rPr>
              <w:t xml:space="preserve">DCMS            </w:t>
            </w:r>
          </w:p>
          <w:p w14:paraId="62413DDA" w14:textId="77777777" w:rsidR="007058F1" w:rsidRDefault="00ED1797">
            <w:pPr>
              <w:pBdr>
                <w:top w:val="nil"/>
                <w:left w:val="nil"/>
                <w:bottom w:val="nil"/>
                <w:right w:val="nil"/>
                <w:between w:val="nil"/>
              </w:pBdr>
              <w:spacing w:before="50"/>
              <w:ind w:left="113" w:right="113"/>
              <w:rPr>
                <w:rFonts w:ascii="Helvetica Neue" w:eastAsia="Helvetica Neue" w:hAnsi="Helvetica Neue" w:cs="Helvetica Neue"/>
                <w:color w:val="000000"/>
                <w:sz w:val="20"/>
                <w:szCs w:val="20"/>
              </w:rPr>
            </w:pPr>
            <w:r>
              <w:rPr>
                <w:rFonts w:ascii="Helvetica Neue" w:eastAsia="Helvetica Neue" w:hAnsi="Helvetica Neue" w:cs="Helvetica Neue"/>
                <w:b/>
                <w:color w:val="000000"/>
                <w:sz w:val="22"/>
                <w:szCs w:val="22"/>
              </w:rPr>
              <w:t>Other departments or agencies:</w:t>
            </w:r>
            <w:r>
              <w:rPr>
                <w:rFonts w:ascii="Helvetica Neue" w:eastAsia="Helvetica Neue" w:hAnsi="Helvetica Neue" w:cs="Helvetica Neue"/>
                <w:b/>
                <w:sz w:val="22"/>
                <w:szCs w:val="22"/>
              </w:rPr>
              <w:t xml:space="preserve"> </w:t>
            </w:r>
            <w:r>
              <w:rPr>
                <w:rFonts w:ascii="Helvetica Neue" w:eastAsia="Helvetica Neue" w:hAnsi="Helvetica Neue" w:cs="Helvetica Neue"/>
                <w:color w:val="000000"/>
                <w:sz w:val="22"/>
                <w:szCs w:val="22"/>
              </w:rPr>
              <w:t xml:space="preserve">Ofcom </w:t>
            </w:r>
          </w:p>
        </w:tc>
        <w:tc>
          <w:tcPr>
            <w:tcW w:w="4098" w:type="dxa"/>
            <w:gridSpan w:val="3"/>
            <w:shd w:val="clear" w:color="auto" w:fill="auto"/>
            <w:tcMar>
              <w:top w:w="0" w:type="dxa"/>
              <w:left w:w="0" w:type="dxa"/>
              <w:bottom w:w="0" w:type="dxa"/>
              <w:right w:w="0" w:type="dxa"/>
            </w:tcMar>
          </w:tcPr>
          <w:p w14:paraId="7BEECB2E" w14:textId="77777777" w:rsidR="007058F1" w:rsidRDefault="007058F1">
            <w:pPr>
              <w:widowControl w:val="0"/>
              <w:pBdr>
                <w:top w:val="nil"/>
                <w:left w:val="nil"/>
                <w:bottom w:val="nil"/>
                <w:right w:val="nil"/>
                <w:between w:val="nil"/>
              </w:pBdr>
              <w:spacing w:line="276" w:lineRule="auto"/>
              <w:rPr>
                <w:rFonts w:ascii="Helvetica Neue" w:eastAsia="Helvetica Neue" w:hAnsi="Helvetica Neue" w:cs="Helvetica Neue"/>
                <w:b/>
                <w:color w:val="000000"/>
                <w:sz w:val="20"/>
                <w:szCs w:val="20"/>
              </w:rPr>
            </w:pPr>
          </w:p>
          <w:tbl>
            <w:tblPr>
              <w:tblStyle w:val="a0"/>
              <w:tblW w:w="40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8"/>
            </w:tblGrid>
            <w:tr w:rsidR="007058F1" w14:paraId="716DBE7B" w14:textId="77777777">
              <w:tc>
                <w:tcPr>
                  <w:tcW w:w="4088" w:type="dxa"/>
                  <w:shd w:val="clear" w:color="auto" w:fill="333333"/>
                  <w:tcMar>
                    <w:top w:w="0" w:type="dxa"/>
                    <w:left w:w="0" w:type="dxa"/>
                    <w:bottom w:w="0" w:type="dxa"/>
                    <w:right w:w="0" w:type="dxa"/>
                  </w:tcMar>
                  <w:vAlign w:val="center"/>
                </w:tcPr>
                <w:p w14:paraId="12F58EA3" w14:textId="77777777" w:rsidR="007058F1" w:rsidRDefault="00ED1797">
                  <w:pPr>
                    <w:pStyle w:val="Title"/>
                    <w:rPr>
                      <w:rFonts w:ascii="Helvetica Neue" w:eastAsia="Helvetica Neue" w:hAnsi="Helvetica Neue" w:cs="Helvetica Neue"/>
                    </w:rPr>
                  </w:pPr>
                  <w:r>
                    <w:rPr>
                      <w:rFonts w:ascii="Helvetica Neue" w:eastAsia="Helvetica Neue" w:hAnsi="Helvetica Neue" w:cs="Helvetica Neue"/>
                    </w:rPr>
                    <w:t>Impact Assessment (IA)</w:t>
                  </w:r>
                </w:p>
              </w:tc>
            </w:tr>
            <w:tr w:rsidR="007058F1" w14:paraId="7483AF9F" w14:textId="77777777">
              <w:tc>
                <w:tcPr>
                  <w:tcW w:w="4088" w:type="dxa"/>
                  <w:shd w:val="clear" w:color="auto" w:fill="auto"/>
                  <w:tcMar>
                    <w:top w:w="0" w:type="dxa"/>
                    <w:left w:w="0" w:type="dxa"/>
                    <w:bottom w:w="0" w:type="dxa"/>
                    <w:right w:w="0" w:type="dxa"/>
                  </w:tcMar>
                </w:tcPr>
                <w:p w14:paraId="1A316886" w14:textId="4D7937F9"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color w:val="000000"/>
                      <w:sz w:val="20"/>
                      <w:szCs w:val="20"/>
                    </w:rPr>
                  </w:pPr>
                  <w:r>
                    <w:rPr>
                      <w:rFonts w:ascii="Helvetica Neue" w:eastAsia="Helvetica Neue" w:hAnsi="Helvetica Neue" w:cs="Helvetica Neue"/>
                      <w:b/>
                      <w:color w:val="000000"/>
                      <w:sz w:val="20"/>
                      <w:szCs w:val="20"/>
                    </w:rPr>
                    <w:t xml:space="preserve">Date: </w:t>
                  </w:r>
                  <w:r w:rsidRPr="006B61F1">
                    <w:rPr>
                      <w:rFonts w:ascii="Helvetica Neue" w:eastAsia="Helvetica Neue" w:hAnsi="Helvetica Neue" w:cs="Helvetica Neue"/>
                      <w:sz w:val="20"/>
                      <w:szCs w:val="20"/>
                    </w:rPr>
                    <w:t>01</w:t>
                  </w:r>
                  <w:r>
                    <w:rPr>
                      <w:rFonts w:ascii="Helvetica Neue" w:eastAsia="Helvetica Neue" w:hAnsi="Helvetica Neue" w:cs="Helvetica Neue"/>
                      <w:sz w:val="20"/>
                      <w:szCs w:val="20"/>
                    </w:rPr>
                    <w:t>/02/2019</w:t>
                  </w:r>
                </w:p>
              </w:tc>
            </w:tr>
            <w:tr w:rsidR="007058F1" w14:paraId="33EBFE82" w14:textId="77777777">
              <w:tc>
                <w:tcPr>
                  <w:tcW w:w="4088" w:type="dxa"/>
                  <w:shd w:val="clear" w:color="auto" w:fill="auto"/>
                  <w:tcMar>
                    <w:top w:w="0" w:type="dxa"/>
                    <w:left w:w="0" w:type="dxa"/>
                    <w:bottom w:w="0" w:type="dxa"/>
                    <w:right w:w="0" w:type="dxa"/>
                  </w:tcMar>
                </w:tcPr>
                <w:p w14:paraId="7AF569E2"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color w:val="000000"/>
                      <w:sz w:val="20"/>
                      <w:szCs w:val="20"/>
                    </w:rPr>
                  </w:pPr>
                  <w:r>
                    <w:rPr>
                      <w:rFonts w:ascii="Helvetica Neue" w:eastAsia="Helvetica Neue" w:hAnsi="Helvetica Neue" w:cs="Helvetica Neue"/>
                      <w:b/>
                      <w:color w:val="000000"/>
                      <w:sz w:val="20"/>
                      <w:szCs w:val="20"/>
                    </w:rPr>
                    <w:t xml:space="preserve">Stage: </w:t>
                  </w:r>
                  <w:r>
                    <w:rPr>
                      <w:rFonts w:ascii="Helvetica Neue" w:eastAsia="Helvetica Neue" w:hAnsi="Helvetica Neue" w:cs="Helvetica Neue"/>
                      <w:sz w:val="20"/>
                      <w:szCs w:val="20"/>
                    </w:rPr>
                    <w:t>Final</w:t>
                  </w:r>
                </w:p>
              </w:tc>
            </w:tr>
            <w:tr w:rsidR="007058F1" w14:paraId="442E21FC" w14:textId="77777777">
              <w:tc>
                <w:tcPr>
                  <w:tcW w:w="4088" w:type="dxa"/>
                  <w:shd w:val="clear" w:color="auto" w:fill="auto"/>
                  <w:tcMar>
                    <w:top w:w="0" w:type="dxa"/>
                    <w:left w:w="0" w:type="dxa"/>
                    <w:bottom w:w="0" w:type="dxa"/>
                    <w:right w:w="0" w:type="dxa"/>
                  </w:tcMar>
                </w:tcPr>
                <w:p w14:paraId="7F8FA15B"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color w:val="000000"/>
                      <w:sz w:val="20"/>
                      <w:szCs w:val="20"/>
                    </w:rPr>
                  </w:pPr>
                  <w:r>
                    <w:rPr>
                      <w:rFonts w:ascii="Helvetica Neue" w:eastAsia="Helvetica Neue" w:hAnsi="Helvetica Neue" w:cs="Helvetica Neue"/>
                      <w:b/>
                      <w:color w:val="000000"/>
                      <w:sz w:val="20"/>
                      <w:szCs w:val="20"/>
                    </w:rPr>
                    <w:t xml:space="preserve">Source of intervention: </w:t>
                  </w:r>
                  <w:r>
                    <w:rPr>
                      <w:rFonts w:ascii="Helvetica Neue" w:eastAsia="Helvetica Neue" w:hAnsi="Helvetica Neue" w:cs="Helvetica Neue"/>
                      <w:sz w:val="20"/>
                      <w:szCs w:val="20"/>
                    </w:rPr>
                    <w:t>Domestic</w:t>
                  </w:r>
                </w:p>
              </w:tc>
            </w:tr>
            <w:tr w:rsidR="007058F1" w14:paraId="35339BB5" w14:textId="77777777">
              <w:tc>
                <w:tcPr>
                  <w:tcW w:w="4088" w:type="dxa"/>
                  <w:shd w:val="clear" w:color="auto" w:fill="auto"/>
                  <w:tcMar>
                    <w:top w:w="0" w:type="dxa"/>
                    <w:left w:w="0" w:type="dxa"/>
                    <w:bottom w:w="0" w:type="dxa"/>
                    <w:right w:w="0" w:type="dxa"/>
                  </w:tcMar>
                </w:tcPr>
                <w:p w14:paraId="38DA9930"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color w:val="000000"/>
                      <w:sz w:val="20"/>
                      <w:szCs w:val="20"/>
                    </w:rPr>
                  </w:pPr>
                  <w:bookmarkStart w:id="1" w:name="_gjdgxs" w:colFirst="0" w:colLast="0"/>
                  <w:bookmarkEnd w:id="1"/>
                  <w:r>
                    <w:rPr>
                      <w:rFonts w:ascii="Helvetica Neue" w:eastAsia="Helvetica Neue" w:hAnsi="Helvetica Neue" w:cs="Helvetica Neue"/>
                      <w:b/>
                      <w:color w:val="000000"/>
                      <w:sz w:val="20"/>
                      <w:szCs w:val="20"/>
                    </w:rPr>
                    <w:t xml:space="preserve">Type of measure: </w:t>
                  </w:r>
                  <w:r>
                    <w:rPr>
                      <w:rFonts w:ascii="Helvetica Neue" w:eastAsia="Helvetica Neue" w:hAnsi="Helvetica Neue" w:cs="Helvetica Neue"/>
                      <w:sz w:val="20"/>
                      <w:szCs w:val="20"/>
                    </w:rPr>
                    <w:t>Secondary Legislation</w:t>
                  </w:r>
                </w:p>
              </w:tc>
            </w:tr>
            <w:tr w:rsidR="002D7ACB" w14:paraId="15036828" w14:textId="77777777" w:rsidTr="00D2532E">
              <w:trPr>
                <w:trHeight w:val="1893"/>
              </w:trPr>
              <w:tc>
                <w:tcPr>
                  <w:tcW w:w="4088" w:type="dxa"/>
                  <w:shd w:val="clear" w:color="auto" w:fill="auto"/>
                  <w:tcMar>
                    <w:top w:w="0" w:type="dxa"/>
                    <w:left w:w="0" w:type="dxa"/>
                    <w:bottom w:w="0" w:type="dxa"/>
                    <w:right w:w="0" w:type="dxa"/>
                  </w:tcMar>
                </w:tcPr>
                <w:p w14:paraId="17E93D5B" w14:textId="77777777" w:rsidR="002D7ACB" w:rsidRDefault="002D7ACB">
                  <w:pPr>
                    <w:pBdr>
                      <w:top w:val="nil"/>
                      <w:left w:val="nil"/>
                      <w:bottom w:val="nil"/>
                      <w:right w:val="nil"/>
                      <w:between w:val="nil"/>
                    </w:pBdr>
                    <w:ind w:left="113" w:right="113"/>
                    <w:rPr>
                      <w:rFonts w:ascii="Helvetica Neue" w:eastAsia="Helvetica Neue" w:hAnsi="Helvetica Neue" w:cs="Helvetica Neue"/>
                    </w:rPr>
                  </w:pPr>
                  <w:r>
                    <w:rPr>
                      <w:rFonts w:ascii="Helvetica Neue" w:eastAsia="Helvetica Neue" w:hAnsi="Helvetica Neue" w:cs="Helvetica Neue"/>
                      <w:b/>
                      <w:color w:val="000000"/>
                      <w:sz w:val="20"/>
                      <w:szCs w:val="20"/>
                    </w:rPr>
                    <w:t>Contact for enquiries:</w:t>
                  </w:r>
                  <w:r>
                    <w:rPr>
                      <w:rFonts w:ascii="Helvetica Neue" w:eastAsia="Helvetica Neue" w:hAnsi="Helvetica Neue" w:cs="Helvetica Neue"/>
                    </w:rPr>
                    <w:t xml:space="preserve"> </w:t>
                  </w:r>
                </w:p>
                <w:p w14:paraId="69E3944A" w14:textId="209A05E2" w:rsidR="002D7ACB" w:rsidRDefault="002D7ACB">
                  <w:pPr>
                    <w:pBdr>
                      <w:top w:val="nil"/>
                      <w:left w:val="nil"/>
                      <w:bottom w:val="nil"/>
                      <w:right w:val="nil"/>
                      <w:between w:val="nil"/>
                    </w:pBdr>
                    <w:ind w:left="113" w:right="11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Richard Sullivan 020 7211 2858  </w:t>
                  </w:r>
                  <w:hyperlink r:id="rId7">
                    <w:r>
                      <w:rPr>
                        <w:rFonts w:ascii="Helvetica Neue" w:eastAsia="Helvetica Neue" w:hAnsi="Helvetica Neue" w:cs="Helvetica Neue"/>
                        <w:color w:val="1155CC"/>
                        <w:sz w:val="20"/>
                        <w:szCs w:val="20"/>
                        <w:u w:val="single"/>
                      </w:rPr>
                      <w:t>richard.sullivan@culture.gov.uk</w:t>
                    </w:r>
                  </w:hyperlink>
                  <w:r>
                    <w:rPr>
                      <w:rFonts w:ascii="Helvetica Neue" w:eastAsia="Helvetica Neue" w:hAnsi="Helvetica Neue" w:cs="Helvetica Neue"/>
                      <w:sz w:val="20"/>
                      <w:szCs w:val="20"/>
                    </w:rPr>
                    <w:t xml:space="preserve"> </w:t>
                  </w:r>
                </w:p>
                <w:p w14:paraId="5ABCB89E" w14:textId="77777777" w:rsidR="002D7ACB" w:rsidRDefault="002D7ACB">
                  <w:pPr>
                    <w:pBdr>
                      <w:top w:val="nil"/>
                      <w:left w:val="nil"/>
                      <w:bottom w:val="nil"/>
                      <w:right w:val="nil"/>
                      <w:between w:val="nil"/>
                    </w:pBdr>
                    <w:ind w:left="113" w:right="113"/>
                    <w:rPr>
                      <w:rFonts w:ascii="Helvetica Neue" w:eastAsia="Helvetica Neue" w:hAnsi="Helvetica Neue" w:cs="Helvetica Neue"/>
                      <w:sz w:val="20"/>
                      <w:szCs w:val="20"/>
                    </w:rPr>
                  </w:pPr>
                </w:p>
              </w:tc>
            </w:tr>
          </w:tbl>
          <w:p w14:paraId="65671221" w14:textId="77777777" w:rsidR="007058F1" w:rsidRDefault="007058F1">
            <w:pPr>
              <w:pBdr>
                <w:top w:val="nil"/>
                <w:left w:val="nil"/>
                <w:bottom w:val="nil"/>
                <w:right w:val="nil"/>
                <w:between w:val="nil"/>
              </w:pBdr>
              <w:rPr>
                <w:rFonts w:ascii="Helvetica Neue" w:eastAsia="Helvetica Neue" w:hAnsi="Helvetica Neue" w:cs="Helvetica Neue"/>
              </w:rPr>
            </w:pPr>
          </w:p>
        </w:tc>
      </w:tr>
      <w:tr w:rsidR="007058F1" w14:paraId="26592B27" w14:textId="77777777">
        <w:tc>
          <w:tcPr>
            <w:tcW w:w="6118" w:type="dxa"/>
            <w:gridSpan w:val="4"/>
            <w:shd w:val="clear" w:color="auto" w:fill="auto"/>
            <w:tcMar>
              <w:top w:w="0" w:type="dxa"/>
              <w:left w:w="0" w:type="dxa"/>
              <w:bottom w:w="0" w:type="dxa"/>
              <w:right w:w="0" w:type="dxa"/>
            </w:tcMar>
          </w:tcPr>
          <w:p w14:paraId="3A276A3D" w14:textId="77777777" w:rsidR="007058F1" w:rsidRDefault="00ED1797">
            <w:pPr>
              <w:pStyle w:val="Heading1"/>
              <w:spacing w:before="60"/>
              <w:rPr>
                <w:rFonts w:ascii="Helvetica Neue" w:eastAsia="Helvetica Neue" w:hAnsi="Helvetica Neue" w:cs="Helvetica Neue"/>
                <w:sz w:val="28"/>
                <w:szCs w:val="28"/>
              </w:rPr>
            </w:pPr>
            <w:r>
              <w:rPr>
                <w:rFonts w:ascii="Helvetica Neue" w:eastAsia="Helvetica Neue" w:hAnsi="Helvetica Neue" w:cs="Helvetica Neue"/>
                <w:sz w:val="28"/>
                <w:szCs w:val="28"/>
              </w:rPr>
              <w:t xml:space="preserve">Summary: Intervention and Options </w:t>
            </w:r>
          </w:p>
          <w:p w14:paraId="152378F5" w14:textId="77777777" w:rsidR="007058F1" w:rsidRDefault="007058F1">
            <w:pPr>
              <w:pBdr>
                <w:top w:val="nil"/>
                <w:left w:val="nil"/>
                <w:bottom w:val="nil"/>
                <w:right w:val="nil"/>
                <w:between w:val="nil"/>
              </w:pBdr>
              <w:spacing w:before="50" w:after="50"/>
              <w:ind w:left="113"/>
              <w:rPr>
                <w:rFonts w:ascii="Helvetica Neue" w:eastAsia="Helvetica Neue" w:hAnsi="Helvetica Neue" w:cs="Helvetica Neue"/>
                <w:sz w:val="28"/>
                <w:szCs w:val="28"/>
              </w:rPr>
            </w:pPr>
          </w:p>
        </w:tc>
        <w:tc>
          <w:tcPr>
            <w:tcW w:w="4098" w:type="dxa"/>
            <w:gridSpan w:val="3"/>
            <w:shd w:val="clear" w:color="auto" w:fill="E0E0E0"/>
            <w:tcMar>
              <w:top w:w="0" w:type="dxa"/>
              <w:left w:w="0" w:type="dxa"/>
              <w:bottom w:w="0" w:type="dxa"/>
              <w:right w:w="0" w:type="dxa"/>
            </w:tcMar>
            <w:vAlign w:val="center"/>
          </w:tcPr>
          <w:p w14:paraId="0CE41DD5" w14:textId="77B23F37" w:rsidR="007058F1" w:rsidRDefault="00ED1797">
            <w:pPr>
              <w:pStyle w:val="Title"/>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RPC Opinion: </w:t>
            </w:r>
            <w:r w:rsidR="004C66A8">
              <w:rPr>
                <w:rFonts w:ascii="Helvetica Neue" w:eastAsia="Helvetica Neue" w:hAnsi="Helvetica Neue" w:cs="Helvetica Neue"/>
                <w:b/>
                <w:color w:val="000000"/>
                <w:sz w:val="24"/>
                <w:szCs w:val="24"/>
              </w:rPr>
              <w:t>Fit for purpose</w:t>
            </w:r>
          </w:p>
        </w:tc>
      </w:tr>
      <w:tr w:rsidR="007058F1" w14:paraId="3BC0BA03" w14:textId="77777777">
        <w:tc>
          <w:tcPr>
            <w:tcW w:w="10216" w:type="dxa"/>
            <w:gridSpan w:val="7"/>
            <w:shd w:val="clear" w:color="auto" w:fill="auto"/>
            <w:tcMar>
              <w:top w:w="0" w:type="dxa"/>
              <w:left w:w="0" w:type="dxa"/>
              <w:bottom w:w="0" w:type="dxa"/>
              <w:right w:w="0" w:type="dxa"/>
            </w:tcMar>
          </w:tcPr>
          <w:p w14:paraId="45D9488A" w14:textId="77777777" w:rsidR="007058F1" w:rsidRDefault="007058F1">
            <w:pPr>
              <w:pBdr>
                <w:top w:val="nil"/>
                <w:left w:val="nil"/>
                <w:bottom w:val="nil"/>
                <w:right w:val="nil"/>
                <w:between w:val="nil"/>
              </w:pBdr>
              <w:rPr>
                <w:rFonts w:ascii="Helvetica Neue" w:eastAsia="Helvetica Neue" w:hAnsi="Helvetica Neue" w:cs="Helvetica Neue"/>
                <w:b/>
                <w:color w:val="000000"/>
              </w:rPr>
            </w:pPr>
          </w:p>
        </w:tc>
      </w:tr>
      <w:tr w:rsidR="007058F1" w14:paraId="62ABF9BA" w14:textId="77777777">
        <w:trPr>
          <w:gridAfter w:val="1"/>
          <w:wAfter w:w="8" w:type="dxa"/>
        </w:trPr>
        <w:tc>
          <w:tcPr>
            <w:tcW w:w="10208" w:type="dxa"/>
            <w:gridSpan w:val="6"/>
            <w:shd w:val="clear" w:color="auto" w:fill="E0E0E0"/>
            <w:tcMar>
              <w:top w:w="0" w:type="dxa"/>
              <w:left w:w="0" w:type="dxa"/>
              <w:bottom w:w="0" w:type="dxa"/>
              <w:right w:w="0" w:type="dxa"/>
            </w:tcMar>
          </w:tcPr>
          <w:p w14:paraId="6BACE3CC" w14:textId="77777777" w:rsidR="007058F1" w:rsidRDefault="00ED1797">
            <w:pPr>
              <w:pBdr>
                <w:top w:val="nil"/>
                <w:left w:val="nil"/>
                <w:bottom w:val="nil"/>
                <w:right w:val="nil"/>
                <w:between w:val="nil"/>
              </w:pBdr>
              <w:spacing w:before="50" w:after="50"/>
              <w:ind w:right="113"/>
              <w:jc w:val="center"/>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Cost of Preferred (or more likely) Option</w:t>
            </w:r>
          </w:p>
        </w:tc>
      </w:tr>
      <w:tr w:rsidR="007058F1" w14:paraId="21499C9A" w14:textId="77777777">
        <w:trPr>
          <w:gridAfter w:val="1"/>
          <w:wAfter w:w="8" w:type="dxa"/>
        </w:trPr>
        <w:tc>
          <w:tcPr>
            <w:tcW w:w="1707" w:type="dxa"/>
            <w:shd w:val="clear" w:color="auto" w:fill="E0E0E0"/>
            <w:tcMar>
              <w:top w:w="0" w:type="dxa"/>
              <w:left w:w="0" w:type="dxa"/>
              <w:bottom w:w="0" w:type="dxa"/>
              <w:right w:w="0" w:type="dxa"/>
            </w:tcMar>
            <w:vAlign w:val="center"/>
          </w:tcPr>
          <w:p w14:paraId="7A982EB5" w14:textId="77777777" w:rsidR="007058F1" w:rsidRDefault="00ED1797">
            <w:pPr>
              <w:pBdr>
                <w:top w:val="nil"/>
                <w:left w:val="nil"/>
                <w:bottom w:val="nil"/>
                <w:right w:val="nil"/>
                <w:between w:val="nil"/>
              </w:pBdr>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Total Net Present Value</w:t>
            </w:r>
          </w:p>
        </w:tc>
        <w:tc>
          <w:tcPr>
            <w:tcW w:w="1560" w:type="dxa"/>
            <w:shd w:val="clear" w:color="auto" w:fill="E0E0E0"/>
            <w:tcMar>
              <w:top w:w="0" w:type="dxa"/>
              <w:left w:w="0" w:type="dxa"/>
              <w:bottom w:w="0" w:type="dxa"/>
              <w:right w:w="0" w:type="dxa"/>
            </w:tcMar>
            <w:vAlign w:val="center"/>
          </w:tcPr>
          <w:p w14:paraId="3B44C34D" w14:textId="77777777" w:rsidR="007058F1" w:rsidRDefault="00ED1797">
            <w:pPr>
              <w:pBdr>
                <w:top w:val="nil"/>
                <w:left w:val="nil"/>
                <w:bottom w:val="nil"/>
                <w:right w:val="nil"/>
                <w:between w:val="nil"/>
              </w:pBdr>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Business Net Present Value</w:t>
            </w:r>
          </w:p>
        </w:tc>
        <w:tc>
          <w:tcPr>
            <w:tcW w:w="2551" w:type="dxa"/>
            <w:shd w:val="clear" w:color="auto" w:fill="E0E0E0"/>
            <w:tcMar>
              <w:top w:w="0" w:type="dxa"/>
              <w:left w:w="0" w:type="dxa"/>
              <w:bottom w:w="0" w:type="dxa"/>
              <w:right w:w="0" w:type="dxa"/>
            </w:tcMar>
            <w:vAlign w:val="center"/>
          </w:tcPr>
          <w:p w14:paraId="58052A07" w14:textId="77777777" w:rsidR="007058F1" w:rsidRDefault="00ED1797">
            <w:pPr>
              <w:pBdr>
                <w:top w:val="nil"/>
                <w:left w:val="nil"/>
                <w:bottom w:val="nil"/>
                <w:right w:val="nil"/>
                <w:between w:val="nil"/>
              </w:pBdr>
              <w:ind w:left="113" w:right="113"/>
              <w:rPr>
                <w:rFonts w:ascii="Helvetica Neue" w:eastAsia="Helvetica Neue" w:hAnsi="Helvetica Neue" w:cs="Helvetica Neue"/>
                <w:color w:val="000000"/>
                <w:sz w:val="16"/>
                <w:szCs w:val="16"/>
              </w:rPr>
            </w:pPr>
            <w:r>
              <w:rPr>
                <w:rFonts w:ascii="Helvetica Neue" w:eastAsia="Helvetica Neue" w:hAnsi="Helvetica Neue" w:cs="Helvetica Neue"/>
                <w:b/>
                <w:color w:val="000000"/>
                <w:sz w:val="20"/>
                <w:szCs w:val="20"/>
              </w:rPr>
              <w:t xml:space="preserve">Net cost to business per year </w:t>
            </w:r>
            <w:r>
              <w:rPr>
                <w:rFonts w:ascii="Helvetica Neue" w:eastAsia="Helvetica Neue" w:hAnsi="Helvetica Neue" w:cs="Helvetica Neue"/>
                <w:color w:val="000000"/>
                <w:sz w:val="20"/>
                <w:szCs w:val="20"/>
              </w:rPr>
              <w:t>(</w:t>
            </w:r>
            <w:r>
              <w:rPr>
                <w:rFonts w:ascii="Helvetica Neue" w:eastAsia="Helvetica Neue" w:hAnsi="Helvetica Neue" w:cs="Helvetica Neue"/>
                <w:color w:val="000000"/>
                <w:sz w:val="16"/>
                <w:szCs w:val="16"/>
              </w:rPr>
              <w:t>EANDCB in 2014 prices)</w:t>
            </w:r>
          </w:p>
        </w:tc>
        <w:tc>
          <w:tcPr>
            <w:tcW w:w="1558" w:type="dxa"/>
            <w:gridSpan w:val="2"/>
            <w:shd w:val="clear" w:color="auto" w:fill="E0E0E0"/>
            <w:tcMar>
              <w:top w:w="0" w:type="dxa"/>
              <w:left w:w="0" w:type="dxa"/>
              <w:bottom w:w="0" w:type="dxa"/>
              <w:right w:w="0" w:type="dxa"/>
            </w:tcMar>
            <w:vAlign w:val="center"/>
          </w:tcPr>
          <w:p w14:paraId="592A2C34" w14:textId="77777777" w:rsidR="007058F1" w:rsidRDefault="00ED1797">
            <w:pPr>
              <w:pBdr>
                <w:top w:val="nil"/>
                <w:left w:val="nil"/>
                <w:bottom w:val="nil"/>
                <w:right w:val="nil"/>
                <w:between w:val="nil"/>
              </w:pBdr>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One-In, </w:t>
            </w:r>
          </w:p>
          <w:p w14:paraId="41EEA2AE" w14:textId="77777777" w:rsidR="007058F1" w:rsidRDefault="00ED1797">
            <w:pPr>
              <w:pBdr>
                <w:top w:val="nil"/>
                <w:left w:val="nil"/>
                <w:bottom w:val="nil"/>
                <w:right w:val="nil"/>
                <w:between w:val="nil"/>
              </w:pBdr>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Three-Out</w:t>
            </w:r>
          </w:p>
        </w:tc>
        <w:tc>
          <w:tcPr>
            <w:tcW w:w="2832" w:type="dxa"/>
            <w:shd w:val="clear" w:color="auto" w:fill="E0E0E0"/>
            <w:tcMar>
              <w:top w:w="0" w:type="dxa"/>
              <w:left w:w="0" w:type="dxa"/>
              <w:bottom w:w="0" w:type="dxa"/>
              <w:right w:w="0" w:type="dxa"/>
            </w:tcMar>
            <w:vAlign w:val="center"/>
          </w:tcPr>
          <w:p w14:paraId="7AE3B43D" w14:textId="77777777" w:rsidR="007058F1" w:rsidRDefault="00ED1797">
            <w:pPr>
              <w:pBdr>
                <w:top w:val="nil"/>
                <w:left w:val="nil"/>
                <w:bottom w:val="nil"/>
                <w:right w:val="nil"/>
                <w:between w:val="nil"/>
              </w:pBdr>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Business Impact Target       Status</w:t>
            </w:r>
          </w:p>
          <w:p w14:paraId="0C868FDC" w14:textId="77777777" w:rsidR="007058F1" w:rsidRDefault="007058F1">
            <w:pPr>
              <w:pBdr>
                <w:top w:val="nil"/>
                <w:left w:val="nil"/>
                <w:bottom w:val="nil"/>
                <w:right w:val="nil"/>
                <w:between w:val="nil"/>
              </w:pBdr>
              <w:ind w:left="113" w:right="113"/>
              <w:rPr>
                <w:rFonts w:ascii="Helvetica Neue" w:eastAsia="Helvetica Neue" w:hAnsi="Helvetica Neue" w:cs="Helvetica Neue"/>
                <w:b/>
                <w:color w:val="000000"/>
                <w:sz w:val="20"/>
                <w:szCs w:val="20"/>
              </w:rPr>
            </w:pPr>
          </w:p>
        </w:tc>
      </w:tr>
      <w:tr w:rsidR="007058F1" w14:paraId="45C25C80" w14:textId="77777777">
        <w:trPr>
          <w:gridAfter w:val="1"/>
          <w:wAfter w:w="8" w:type="dxa"/>
        </w:trPr>
        <w:tc>
          <w:tcPr>
            <w:tcW w:w="1707" w:type="dxa"/>
            <w:shd w:val="clear" w:color="auto" w:fill="E0E0E0"/>
            <w:tcMar>
              <w:top w:w="0" w:type="dxa"/>
              <w:left w:w="0" w:type="dxa"/>
              <w:bottom w:w="0" w:type="dxa"/>
              <w:right w:w="0" w:type="dxa"/>
            </w:tcMar>
            <w:vAlign w:val="center"/>
          </w:tcPr>
          <w:p w14:paraId="200983D5" w14:textId="77777777" w:rsidR="007058F1" w:rsidRDefault="00ED1797">
            <w:pPr>
              <w:pBdr>
                <w:top w:val="nil"/>
                <w:left w:val="nil"/>
                <w:bottom w:val="nil"/>
                <w:right w:val="nil"/>
                <w:between w:val="nil"/>
              </w:pBdr>
              <w:ind w:left="113" w:right="113"/>
              <w:jc w:val="both"/>
              <w:rPr>
                <w:rFonts w:ascii="Helvetica Neue" w:eastAsia="Helvetica Neue" w:hAnsi="Helvetica Neue" w:cs="Helvetica Neue"/>
                <w:color w:val="000000"/>
                <w:sz w:val="22"/>
                <w:szCs w:val="22"/>
              </w:rPr>
            </w:pPr>
            <w:r>
              <w:rPr>
                <w:rFonts w:ascii="Helvetica Neue" w:eastAsia="Helvetica Neue" w:hAnsi="Helvetica Neue" w:cs="Helvetica Neue"/>
                <w:sz w:val="22"/>
                <w:szCs w:val="22"/>
              </w:rPr>
              <w:t>n/a</w:t>
            </w:r>
          </w:p>
        </w:tc>
        <w:tc>
          <w:tcPr>
            <w:tcW w:w="1560" w:type="dxa"/>
            <w:shd w:val="clear" w:color="auto" w:fill="E0E0E0"/>
            <w:tcMar>
              <w:top w:w="0" w:type="dxa"/>
              <w:left w:w="0" w:type="dxa"/>
              <w:bottom w:w="0" w:type="dxa"/>
              <w:right w:w="0" w:type="dxa"/>
            </w:tcMar>
            <w:vAlign w:val="center"/>
          </w:tcPr>
          <w:p w14:paraId="28134B96" w14:textId="77777777" w:rsidR="007058F1" w:rsidRDefault="00ED1797">
            <w:pPr>
              <w:pBdr>
                <w:top w:val="nil"/>
                <w:left w:val="nil"/>
                <w:bottom w:val="nil"/>
                <w:right w:val="nil"/>
                <w:between w:val="nil"/>
              </w:pBdr>
              <w:ind w:left="113" w:right="113"/>
              <w:rPr>
                <w:rFonts w:ascii="Helvetica Neue" w:eastAsia="Helvetica Neue" w:hAnsi="Helvetica Neue" w:cs="Helvetica Neue"/>
                <w:color w:val="000000"/>
                <w:sz w:val="22"/>
                <w:szCs w:val="22"/>
              </w:rPr>
            </w:pPr>
            <w:r>
              <w:rPr>
                <w:rFonts w:ascii="Helvetica Neue" w:eastAsia="Helvetica Neue" w:hAnsi="Helvetica Neue" w:cs="Helvetica Neue"/>
                <w:sz w:val="22"/>
                <w:szCs w:val="22"/>
              </w:rPr>
              <w:t>n/a</w:t>
            </w:r>
          </w:p>
        </w:tc>
        <w:tc>
          <w:tcPr>
            <w:tcW w:w="2551" w:type="dxa"/>
            <w:shd w:val="clear" w:color="auto" w:fill="E0E0E0"/>
            <w:tcMar>
              <w:top w:w="0" w:type="dxa"/>
              <w:left w:w="0" w:type="dxa"/>
              <w:bottom w:w="0" w:type="dxa"/>
              <w:right w:w="0" w:type="dxa"/>
            </w:tcMar>
            <w:vAlign w:val="center"/>
          </w:tcPr>
          <w:p w14:paraId="07477EBB" w14:textId="77777777" w:rsidR="007058F1" w:rsidRDefault="00ED1797">
            <w:pPr>
              <w:pBdr>
                <w:top w:val="nil"/>
                <w:left w:val="nil"/>
                <w:bottom w:val="nil"/>
                <w:right w:val="nil"/>
                <w:between w:val="nil"/>
              </w:pBdr>
              <w:ind w:left="113" w:right="113"/>
              <w:rPr>
                <w:rFonts w:ascii="Helvetica Neue" w:eastAsia="Helvetica Neue" w:hAnsi="Helvetica Neue" w:cs="Helvetica Neue"/>
                <w:color w:val="000000"/>
                <w:sz w:val="22"/>
                <w:szCs w:val="22"/>
              </w:rPr>
            </w:pPr>
            <w:r>
              <w:rPr>
                <w:rFonts w:ascii="Helvetica Neue" w:eastAsia="Helvetica Neue" w:hAnsi="Helvetica Neue" w:cs="Helvetica Neue"/>
                <w:sz w:val="22"/>
                <w:szCs w:val="22"/>
              </w:rPr>
              <w:t>n/a</w:t>
            </w:r>
          </w:p>
        </w:tc>
        <w:tc>
          <w:tcPr>
            <w:tcW w:w="1558" w:type="dxa"/>
            <w:gridSpan w:val="2"/>
            <w:shd w:val="clear" w:color="auto" w:fill="E0E0E0"/>
            <w:tcMar>
              <w:top w:w="0" w:type="dxa"/>
              <w:left w:w="0" w:type="dxa"/>
              <w:bottom w:w="0" w:type="dxa"/>
              <w:right w:w="0" w:type="dxa"/>
            </w:tcMar>
            <w:vAlign w:val="center"/>
          </w:tcPr>
          <w:p w14:paraId="5CD5791D" w14:textId="77777777" w:rsidR="007058F1" w:rsidRDefault="00ED1797">
            <w:pPr>
              <w:pBdr>
                <w:top w:val="nil"/>
                <w:left w:val="nil"/>
                <w:bottom w:val="nil"/>
                <w:right w:val="nil"/>
                <w:between w:val="nil"/>
              </w:pBdr>
              <w:ind w:left="113" w:right="113"/>
              <w:rPr>
                <w:rFonts w:ascii="Helvetica Neue" w:eastAsia="Helvetica Neue" w:hAnsi="Helvetica Neue" w:cs="Helvetica Neue"/>
                <w:color w:val="000000"/>
                <w:sz w:val="22"/>
                <w:szCs w:val="22"/>
              </w:rPr>
            </w:pPr>
            <w:r w:rsidRPr="006B61F1">
              <w:rPr>
                <w:rFonts w:ascii="Helvetica Neue" w:eastAsia="Helvetica Neue" w:hAnsi="Helvetica Neue" w:cs="Helvetica Neue"/>
                <w:sz w:val="22"/>
                <w:szCs w:val="22"/>
              </w:rPr>
              <w:t>Not in scope</w:t>
            </w:r>
          </w:p>
        </w:tc>
        <w:tc>
          <w:tcPr>
            <w:tcW w:w="2832" w:type="dxa"/>
            <w:shd w:val="clear" w:color="auto" w:fill="E0E0E0"/>
            <w:tcMar>
              <w:top w:w="0" w:type="dxa"/>
              <w:left w:w="0" w:type="dxa"/>
              <w:bottom w:w="0" w:type="dxa"/>
              <w:right w:w="0" w:type="dxa"/>
            </w:tcMar>
            <w:vAlign w:val="center"/>
          </w:tcPr>
          <w:p w14:paraId="04943BAF" w14:textId="4FE082B9" w:rsidR="007058F1" w:rsidRDefault="008C73EC">
            <w:pPr>
              <w:pBdr>
                <w:top w:val="nil"/>
                <w:left w:val="nil"/>
                <w:bottom w:val="nil"/>
                <w:right w:val="nil"/>
                <w:between w:val="nil"/>
              </w:pBdr>
              <w:ind w:left="113" w:right="113"/>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n/a</w:t>
            </w:r>
          </w:p>
        </w:tc>
      </w:tr>
      <w:tr w:rsidR="007058F1" w14:paraId="3C4A955D" w14:textId="77777777">
        <w:trPr>
          <w:gridAfter w:val="1"/>
          <w:wAfter w:w="8" w:type="dxa"/>
        </w:trPr>
        <w:tc>
          <w:tcPr>
            <w:tcW w:w="10208" w:type="dxa"/>
            <w:gridSpan w:val="6"/>
            <w:shd w:val="clear" w:color="auto" w:fill="auto"/>
            <w:tcMar>
              <w:top w:w="0" w:type="dxa"/>
              <w:left w:w="0" w:type="dxa"/>
              <w:bottom w:w="0" w:type="dxa"/>
              <w:right w:w="0" w:type="dxa"/>
            </w:tcMar>
          </w:tcPr>
          <w:p w14:paraId="4C636F9E"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2"/>
                <w:szCs w:val="22"/>
              </w:rPr>
            </w:pPr>
            <w:r>
              <w:rPr>
                <w:rFonts w:ascii="Helvetica Neue" w:eastAsia="Helvetica Neue" w:hAnsi="Helvetica Neue" w:cs="Helvetica Neue"/>
                <w:b/>
                <w:color w:val="000000"/>
                <w:sz w:val="22"/>
                <w:szCs w:val="22"/>
              </w:rPr>
              <w:t>What is the problem under consideration? Why is government intervention necessary?</w:t>
            </w:r>
          </w:p>
          <w:p w14:paraId="1DBDE76D" w14:textId="77777777" w:rsidR="007058F1" w:rsidRDefault="007058F1">
            <w:pPr>
              <w:pBdr>
                <w:top w:val="nil"/>
                <w:left w:val="nil"/>
                <w:bottom w:val="nil"/>
                <w:right w:val="nil"/>
                <w:between w:val="nil"/>
              </w:pBdr>
              <w:ind w:left="113" w:right="113"/>
              <w:rPr>
                <w:rFonts w:ascii="Helvetica Neue" w:eastAsia="Helvetica Neue" w:hAnsi="Helvetica Neue" w:cs="Helvetica Neue"/>
                <w:sz w:val="22"/>
                <w:szCs w:val="22"/>
              </w:rPr>
            </w:pPr>
          </w:p>
          <w:p w14:paraId="19641113" w14:textId="77777777" w:rsidR="007058F1" w:rsidRDefault="00ED1797">
            <w:pPr>
              <w:ind w:left="113" w:right="113" w:firstLine="6"/>
              <w:rPr>
                <w:rFonts w:ascii="Helvetica Neue" w:eastAsia="Helvetica Neue" w:hAnsi="Helvetica Neue" w:cs="Helvetica Neue"/>
                <w:sz w:val="22"/>
                <w:szCs w:val="22"/>
              </w:rPr>
            </w:pPr>
            <w:r>
              <w:rPr>
                <w:rFonts w:ascii="Helvetica Neue" w:eastAsia="Helvetica Neue" w:hAnsi="Helvetica Neue" w:cs="Helvetica Neue"/>
                <w:sz w:val="22"/>
                <w:szCs w:val="22"/>
              </w:rPr>
              <w:t>The UK voted to leave the European Union in the June 2016 EU referendum. The government is now preparing to leave the EU in the best possible way for the UK’s national interest, providing maximum possible certainty as we do so. Repealing the European Communities Act will, without any further action, result in gaps and deficiencies in our statute book. This Statutory Instrument (SI) will use powers provided in the European Union (Withdrawal) Act 2018 to remedy deficiencies in EU-derived Telecoms legislation, to ensure that the UK Statute Book continues to operate effectively after Exit.</w:t>
            </w:r>
          </w:p>
          <w:p w14:paraId="2EEFBC87" w14:textId="77777777" w:rsidR="007058F1" w:rsidRDefault="007058F1">
            <w:pPr>
              <w:ind w:left="113" w:right="113" w:firstLine="6"/>
              <w:rPr>
                <w:rFonts w:ascii="Helvetica Neue" w:eastAsia="Helvetica Neue" w:hAnsi="Helvetica Neue" w:cs="Helvetica Neue"/>
                <w:sz w:val="22"/>
                <w:szCs w:val="22"/>
              </w:rPr>
            </w:pPr>
          </w:p>
          <w:p w14:paraId="3E204A7B" w14:textId="77777777" w:rsidR="007058F1" w:rsidRDefault="00ED1797">
            <w:pPr>
              <w:pBdr>
                <w:top w:val="nil"/>
                <w:left w:val="nil"/>
                <w:bottom w:val="nil"/>
                <w:right w:val="nil"/>
                <w:between w:val="nil"/>
              </w:pBdr>
              <w:ind w:left="113" w:right="113" w:firstLine="6"/>
              <w:rPr>
                <w:rFonts w:ascii="Helvetica Neue" w:eastAsia="Helvetica Neue" w:hAnsi="Helvetica Neue" w:cs="Helvetica Neue"/>
                <w:sz w:val="22"/>
                <w:szCs w:val="22"/>
              </w:rPr>
            </w:pPr>
            <w:r>
              <w:rPr>
                <w:rFonts w:ascii="Helvetica Neue" w:eastAsia="Helvetica Neue" w:hAnsi="Helvetica Neue" w:cs="Helvetica Neue"/>
                <w:sz w:val="22"/>
                <w:szCs w:val="22"/>
              </w:rPr>
              <w:t>UK consumers travelling in the European Union currently have the guarantee of surcharge-free roaming. This means consumers can use their mobile devices to make calls, send texts and use mobile data services for no more than you would be charged when in the UK. This surcharge-free roaming, known as Roam Like at Home, is underpinned by the EU Roaming Regulation - Regulation (EU) No 531/2012. This Regulation also regulates the charges mobile operators can charge each other for providing roaming services.</w:t>
            </w:r>
          </w:p>
          <w:p w14:paraId="77D61670" w14:textId="77777777" w:rsidR="007058F1" w:rsidRDefault="007058F1">
            <w:pPr>
              <w:pBdr>
                <w:top w:val="nil"/>
                <w:left w:val="nil"/>
                <w:bottom w:val="nil"/>
                <w:right w:val="nil"/>
                <w:between w:val="nil"/>
              </w:pBdr>
              <w:ind w:left="113" w:right="113" w:firstLine="6"/>
              <w:rPr>
                <w:rFonts w:ascii="Helvetica Neue" w:eastAsia="Helvetica Neue" w:hAnsi="Helvetica Neue" w:cs="Helvetica Neue"/>
                <w:sz w:val="22"/>
                <w:szCs w:val="22"/>
              </w:rPr>
            </w:pPr>
          </w:p>
          <w:p w14:paraId="6B27CB02" w14:textId="3E65321C" w:rsidR="007058F1" w:rsidRDefault="00ED1797">
            <w:pPr>
              <w:pBdr>
                <w:top w:val="nil"/>
                <w:left w:val="nil"/>
                <w:bottom w:val="nil"/>
                <w:right w:val="nil"/>
                <w:between w:val="nil"/>
              </w:pBdr>
              <w:ind w:left="113" w:right="113" w:firstLine="6"/>
              <w:rPr>
                <w:rFonts w:ascii="Helvetica Neue" w:eastAsia="Helvetica Neue" w:hAnsi="Helvetica Neue" w:cs="Helvetica Neue"/>
                <w:sz w:val="22"/>
                <w:szCs w:val="22"/>
              </w:rPr>
            </w:pPr>
            <w:r>
              <w:rPr>
                <w:rFonts w:ascii="Helvetica Neue" w:eastAsia="Helvetica Neue" w:hAnsi="Helvetica Neue" w:cs="Helvetica Neue"/>
                <w:sz w:val="22"/>
                <w:szCs w:val="22"/>
              </w:rPr>
              <w:t>In addition, the EU Roaming R</w:t>
            </w:r>
            <w:r>
              <w:rPr>
                <w:rFonts w:ascii="PT Sans" w:eastAsia="PT Sans" w:hAnsi="PT Sans" w:cs="PT Sans"/>
                <w:sz w:val="22"/>
                <w:szCs w:val="22"/>
              </w:rPr>
              <w:t xml:space="preserve">egulation requires mobile operators to apply a default financial limit for mobile data usage of €50. Operators are also required to send an alert once </w:t>
            </w:r>
            <w:r>
              <w:rPr>
                <w:rFonts w:ascii="Helvetica Neue" w:eastAsia="Helvetica Neue" w:hAnsi="Helvetica Neue" w:cs="Helvetica Neue"/>
                <w:sz w:val="22"/>
                <w:szCs w:val="22"/>
              </w:rPr>
              <w:t>a customer’s device reaches 80% and then 100% of the agreed data roaming limit. These requirements apply regardless of where a consumer is in the world, not only within the EU.</w:t>
            </w:r>
          </w:p>
          <w:p w14:paraId="70A40389" w14:textId="77777777" w:rsidR="007058F1" w:rsidRDefault="007058F1">
            <w:pPr>
              <w:ind w:left="113" w:right="113" w:firstLine="6"/>
              <w:rPr>
                <w:rFonts w:ascii="Helvetica Neue" w:eastAsia="Helvetica Neue" w:hAnsi="Helvetica Neue" w:cs="Helvetica Neue"/>
                <w:sz w:val="22"/>
                <w:szCs w:val="22"/>
              </w:rPr>
            </w:pPr>
          </w:p>
          <w:p w14:paraId="5F2889B1" w14:textId="4B40302B" w:rsidR="007058F1" w:rsidRDefault="00ED1797">
            <w:pPr>
              <w:ind w:left="113" w:right="113" w:firstLine="6"/>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Absent a mobile roaming deal with the EU, the UK Government cannot set through national legislation caps on the wholesale charges EU operators can charge UK operators for handling roaming traffic. </w:t>
            </w:r>
            <w:r>
              <w:rPr>
                <w:rFonts w:ascii="Helvetica Neue" w:eastAsia="Helvetica Neue" w:hAnsi="Helvetica Neue" w:cs="Helvetica Neue"/>
                <w:sz w:val="22"/>
                <w:szCs w:val="22"/>
                <w:highlight w:val="white"/>
              </w:rPr>
              <w:t xml:space="preserve">Only the EU, acting centrally, can commit all of its member states to limit the wholesale roaming rates of every operator in the EU. </w:t>
            </w:r>
            <w:r>
              <w:rPr>
                <w:rFonts w:ascii="Helvetica Neue" w:eastAsia="Helvetica Neue" w:hAnsi="Helvetica Neue" w:cs="Helvetica Neue"/>
                <w:sz w:val="22"/>
                <w:szCs w:val="22"/>
              </w:rPr>
              <w:t xml:space="preserve">The UK Government cannot therefore unilaterally guarantee surcharge-free roaming for UK consumers travelling to the EU without exposing UK operators to the risk of being obliged to provide roaming services at a loss. </w:t>
            </w:r>
          </w:p>
          <w:p w14:paraId="31372CEF" w14:textId="77777777" w:rsidR="007058F1" w:rsidRPr="006B61F1" w:rsidRDefault="007058F1">
            <w:pPr>
              <w:ind w:left="113" w:right="113" w:firstLine="6"/>
            </w:pPr>
          </w:p>
          <w:p w14:paraId="2CC39A4D" w14:textId="7884ACD9" w:rsidR="007058F1" w:rsidRDefault="00ED1797">
            <w:pPr>
              <w:ind w:left="113" w:right="113" w:firstLine="6"/>
              <w:rPr>
                <w:rFonts w:ascii="Helvetica Neue" w:eastAsia="Helvetica Neue" w:hAnsi="Helvetica Neue" w:cs="Helvetica Neue"/>
                <w:sz w:val="22"/>
                <w:szCs w:val="22"/>
              </w:rPr>
            </w:pPr>
            <w:r>
              <w:rPr>
                <w:rFonts w:ascii="Helvetica Neue" w:eastAsia="Helvetica Neue" w:hAnsi="Helvetica Neue" w:cs="Helvetica Neue"/>
                <w:sz w:val="22"/>
                <w:szCs w:val="22"/>
              </w:rPr>
              <w:t>UK mobile operators will not be prevented from making and honouring commercial arrangements with mobile operators in the EU - and beyond the EU - to deliver the services their customers expect, including roaming arrangements. Surcharge-free roaming for UK consumers travelling in the EU may therefore endure due to commercial pressures or customer expectations. Some mobile operators (3, EE, O2 and Vodafone) have stated that they have no current plans to change their approach to mobile roaming after EU Exit.</w:t>
            </w:r>
          </w:p>
          <w:p w14:paraId="67034EC4" w14:textId="77777777" w:rsidR="007058F1" w:rsidRDefault="007058F1">
            <w:pPr>
              <w:ind w:left="113" w:right="113" w:firstLine="6"/>
              <w:rPr>
                <w:rFonts w:ascii="Helvetica Neue" w:eastAsia="Helvetica Neue" w:hAnsi="Helvetica Neue" w:cs="Helvetica Neue"/>
                <w:sz w:val="22"/>
                <w:szCs w:val="22"/>
              </w:rPr>
            </w:pPr>
          </w:p>
          <w:p w14:paraId="04F1AA65" w14:textId="77777777" w:rsidR="007058F1" w:rsidRDefault="00ED1797">
            <w:pPr>
              <w:ind w:left="113" w:right="113" w:firstLine="6"/>
              <w:rPr>
                <w:rFonts w:ascii="Helvetica Neue" w:eastAsia="Helvetica Neue" w:hAnsi="Helvetica Neue" w:cs="Helvetica Neue"/>
                <w:sz w:val="22"/>
                <w:szCs w:val="22"/>
                <w:highlight w:val="white"/>
              </w:rPr>
            </w:pPr>
            <w:r>
              <w:rPr>
                <w:rFonts w:ascii="Helvetica Neue" w:eastAsia="Helvetica Neue" w:hAnsi="Helvetica Neue" w:cs="Helvetica Neue"/>
                <w:sz w:val="22"/>
                <w:szCs w:val="22"/>
              </w:rPr>
              <w:t xml:space="preserve">The purpose of this Statutory Instrument is to remedy deficiencies in retained EU legislation. In the unlikely event of no deal, this Statutory Instrument will provide legal certainty to mobile operators that they will not be subject to one-sided regulation while ensuring the transparency requirements </w:t>
            </w:r>
            <w:r>
              <w:rPr>
                <w:rFonts w:ascii="Helvetica Neue" w:eastAsia="Helvetica Neue" w:hAnsi="Helvetica Neue" w:cs="Helvetica Neue"/>
                <w:sz w:val="22"/>
                <w:szCs w:val="22"/>
                <w:highlight w:val="white"/>
              </w:rPr>
              <w:t>contained in the EU Roaming Regulation endure (i.e. no change).</w:t>
            </w:r>
          </w:p>
          <w:p w14:paraId="46229B77" w14:textId="77777777" w:rsidR="007058F1" w:rsidRDefault="007058F1">
            <w:pPr>
              <w:ind w:left="113" w:right="113" w:firstLine="6"/>
              <w:rPr>
                <w:rFonts w:ascii="Helvetica Neue" w:eastAsia="Helvetica Neue" w:hAnsi="Helvetica Neue" w:cs="Helvetica Neue"/>
                <w:sz w:val="22"/>
                <w:szCs w:val="22"/>
                <w:highlight w:val="white"/>
              </w:rPr>
            </w:pPr>
          </w:p>
          <w:p w14:paraId="38B2F59A" w14:textId="77777777" w:rsidR="007058F1" w:rsidRDefault="00ED1797">
            <w:pPr>
              <w:pBdr>
                <w:top w:val="nil"/>
                <w:left w:val="nil"/>
                <w:bottom w:val="nil"/>
                <w:right w:val="nil"/>
                <w:between w:val="nil"/>
              </w:pBdr>
              <w:ind w:left="113" w:right="113" w:firstLine="6"/>
              <w:rPr>
                <w:rFonts w:ascii="Helvetica Neue" w:eastAsia="Helvetica Neue" w:hAnsi="Helvetica Neue" w:cs="Helvetica Neue"/>
                <w:sz w:val="22"/>
                <w:szCs w:val="22"/>
              </w:rPr>
            </w:pPr>
            <w:r>
              <w:rPr>
                <w:rFonts w:ascii="Helvetica Neue" w:eastAsia="Helvetica Neue" w:hAnsi="Helvetica Neue" w:cs="Helvetica Neue"/>
                <w:sz w:val="22"/>
                <w:szCs w:val="22"/>
              </w:rPr>
              <w:t>Note that the EU Roaming Regulation applies to the EEA - the Member States of the EU plus Iceland, Liechtenstein and Norway. Subsequent references to its impact on the EU have EEA application.</w:t>
            </w:r>
          </w:p>
          <w:p w14:paraId="4484F8D3" w14:textId="77777777" w:rsidR="007058F1" w:rsidRDefault="007058F1">
            <w:pPr>
              <w:pBdr>
                <w:top w:val="nil"/>
                <w:left w:val="nil"/>
                <w:bottom w:val="nil"/>
                <w:right w:val="nil"/>
                <w:between w:val="nil"/>
              </w:pBdr>
              <w:ind w:right="113"/>
              <w:rPr>
                <w:rFonts w:ascii="Helvetica Neue" w:eastAsia="Helvetica Neue" w:hAnsi="Helvetica Neue" w:cs="Helvetica Neue"/>
                <w:sz w:val="22"/>
                <w:szCs w:val="22"/>
                <w:highlight w:val="white"/>
              </w:rPr>
            </w:pPr>
          </w:p>
        </w:tc>
      </w:tr>
    </w:tbl>
    <w:p w14:paraId="1450DB0B" w14:textId="77777777" w:rsidR="007058F1" w:rsidRDefault="007058F1">
      <w:pPr>
        <w:pBdr>
          <w:top w:val="nil"/>
          <w:left w:val="nil"/>
          <w:bottom w:val="nil"/>
          <w:right w:val="nil"/>
          <w:between w:val="nil"/>
        </w:pBdr>
        <w:rPr>
          <w:rFonts w:ascii="Helvetica Neue" w:eastAsia="Helvetica Neue" w:hAnsi="Helvetica Neue" w:cs="Helvetica Neue"/>
          <w:color w:val="000000"/>
          <w:sz w:val="22"/>
          <w:szCs w:val="22"/>
        </w:rPr>
      </w:pPr>
    </w:p>
    <w:tbl>
      <w:tblPr>
        <w:tblStyle w:val="a1"/>
        <w:tblW w:w="1021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15"/>
      </w:tblGrid>
      <w:tr w:rsidR="007058F1" w14:paraId="26EDA6A0" w14:textId="77777777">
        <w:tc>
          <w:tcPr>
            <w:tcW w:w="10215" w:type="dxa"/>
            <w:shd w:val="clear" w:color="auto" w:fill="auto"/>
            <w:tcMar>
              <w:top w:w="0" w:type="dxa"/>
              <w:left w:w="0" w:type="dxa"/>
              <w:bottom w:w="0" w:type="dxa"/>
              <w:right w:w="0" w:type="dxa"/>
            </w:tcMar>
          </w:tcPr>
          <w:p w14:paraId="7CEFE8B1" w14:textId="77777777" w:rsidR="007058F1" w:rsidRDefault="00ED1797" w:rsidP="00090478">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What are the policy objectives and the intended effects?</w:t>
            </w:r>
          </w:p>
          <w:p w14:paraId="1ABEDB3E" w14:textId="278382B2" w:rsidR="007058F1" w:rsidRDefault="00ED1797">
            <w:pPr>
              <w:pBdr>
                <w:top w:val="nil"/>
                <w:left w:val="nil"/>
                <w:bottom w:val="nil"/>
                <w:right w:val="nil"/>
                <w:between w:val="nil"/>
              </w:pBdr>
              <w:ind w:left="113" w:right="113" w:firstLine="21"/>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This SI will ensure, in the unlikely event of no deal, that UK mobile operators would not face ‘one-sided’ regulation, i.e. the risk that the retail rates they can charge are capped, but there is no control over the rates they have to pay out to EU network operators - known as ‘wholesale rates’. Therefore the SI would avoid a situation in which UK operators potentially face significant losses. It therefore mitigates the risk that mobile operators deactivate roaming capability (which they could do to protect themselves against the losses mentioned above).  In addition, the SI would also reduce the risk of legal challenge arising from the imposition of one-sided regulation. Finally, it would allow operators some flexibility: in a competitive market they might decide it is in their commercial interests to continue with EU surcharge-free mobile roaming. They might also be able to secure appropriate commercial arrangements with EU operators to allow surcharge-free roaming to endure. The SI ensures there is no legal ambiguity upon EU Exit, replacing business uncertainty with legal clarity. </w:t>
            </w:r>
          </w:p>
        </w:tc>
      </w:tr>
    </w:tbl>
    <w:p w14:paraId="061E1E72" w14:textId="77777777" w:rsidR="007058F1" w:rsidRDefault="007058F1">
      <w:pPr>
        <w:pBdr>
          <w:top w:val="nil"/>
          <w:left w:val="nil"/>
          <w:bottom w:val="nil"/>
          <w:right w:val="nil"/>
          <w:between w:val="nil"/>
        </w:pBdr>
        <w:rPr>
          <w:rFonts w:ascii="Helvetica Neue" w:eastAsia="Helvetica Neue" w:hAnsi="Helvetica Neue" w:cs="Helvetica Neue"/>
          <w:color w:val="000000"/>
          <w:sz w:val="22"/>
          <w:szCs w:val="22"/>
        </w:rPr>
      </w:pPr>
    </w:p>
    <w:tbl>
      <w:tblPr>
        <w:tblStyle w:val="a2"/>
        <w:tblW w:w="1021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15"/>
      </w:tblGrid>
      <w:tr w:rsidR="007058F1" w14:paraId="0AEA986C" w14:textId="77777777">
        <w:tc>
          <w:tcPr>
            <w:tcW w:w="10215" w:type="dxa"/>
            <w:shd w:val="clear" w:color="auto" w:fill="auto"/>
            <w:tcMar>
              <w:top w:w="0" w:type="dxa"/>
              <w:left w:w="0" w:type="dxa"/>
              <w:bottom w:w="0" w:type="dxa"/>
              <w:right w:w="0" w:type="dxa"/>
            </w:tcMar>
          </w:tcPr>
          <w:p w14:paraId="4C82B87B"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What policy options have been considered, including any alternatives to regulation? Please justify preferred option (further details in Evidence Base)</w:t>
            </w:r>
          </w:p>
          <w:p w14:paraId="4DEC21F2" w14:textId="77777777" w:rsidR="007058F1" w:rsidRDefault="007058F1">
            <w:pPr>
              <w:pBdr>
                <w:top w:val="nil"/>
                <w:left w:val="nil"/>
                <w:bottom w:val="nil"/>
                <w:right w:val="nil"/>
                <w:between w:val="nil"/>
              </w:pBdr>
              <w:spacing w:before="50" w:after="50"/>
              <w:ind w:left="113" w:right="113"/>
              <w:rPr>
                <w:rFonts w:ascii="Helvetica Neue" w:eastAsia="Helvetica Neue" w:hAnsi="Helvetica Neue" w:cs="Helvetica Neue"/>
                <w:b/>
                <w:sz w:val="20"/>
                <w:szCs w:val="20"/>
              </w:rPr>
            </w:pPr>
          </w:p>
          <w:p w14:paraId="76DF23E4" w14:textId="77777777" w:rsidR="007058F1" w:rsidRDefault="00ED1797">
            <w:pPr>
              <w:numPr>
                <w:ilvl w:val="0"/>
                <w:numId w:val="1"/>
              </w:numPr>
              <w:ind w:right="113"/>
              <w:rPr>
                <w:rFonts w:ascii="Helvetica Neue" w:eastAsia="Helvetica Neue" w:hAnsi="Helvetica Neue" w:cs="Helvetica Neue"/>
                <w:sz w:val="22"/>
                <w:szCs w:val="22"/>
                <w:highlight w:val="white"/>
              </w:rPr>
            </w:pPr>
            <w:r>
              <w:rPr>
                <w:rFonts w:ascii="Helvetica Neue" w:eastAsia="Helvetica Neue" w:hAnsi="Helvetica Neue" w:cs="Helvetica Neue"/>
                <w:b/>
                <w:sz w:val="22"/>
                <w:szCs w:val="22"/>
                <w:highlight w:val="white"/>
              </w:rPr>
              <w:t xml:space="preserve">Current arrangements: </w:t>
            </w:r>
            <w:r>
              <w:rPr>
                <w:rFonts w:ascii="Helvetica Neue" w:eastAsia="Helvetica Neue" w:hAnsi="Helvetica Neue" w:cs="Helvetica Neue"/>
                <w:sz w:val="22"/>
                <w:szCs w:val="22"/>
                <w:highlight w:val="white"/>
              </w:rPr>
              <w:t>retaining existing mobile roaming arrangements for UK consumers in the EU is only possible as part of a negotiated deal including roaming. This SI would only be enacted in the unlikely event of a ‘no deal’ scenario, therefore this option is not relevant.</w:t>
            </w:r>
          </w:p>
          <w:p w14:paraId="6970E001" w14:textId="77777777" w:rsidR="007058F1" w:rsidRDefault="007058F1">
            <w:pPr>
              <w:spacing w:before="50" w:after="50"/>
              <w:ind w:left="720" w:right="113"/>
              <w:rPr>
                <w:rFonts w:ascii="Helvetica Neue" w:eastAsia="Helvetica Neue" w:hAnsi="Helvetica Neue" w:cs="Helvetica Neue"/>
                <w:sz w:val="22"/>
                <w:szCs w:val="22"/>
                <w:highlight w:val="white"/>
              </w:rPr>
            </w:pPr>
          </w:p>
          <w:p w14:paraId="2A4E8212" w14:textId="6F2282FC" w:rsidR="007058F1" w:rsidRDefault="00ED1797">
            <w:pPr>
              <w:numPr>
                <w:ilvl w:val="0"/>
                <w:numId w:val="1"/>
              </w:numPr>
              <w:ind w:right="113"/>
              <w:rPr>
                <w:rFonts w:ascii="Helvetica Neue" w:eastAsia="Helvetica Neue" w:hAnsi="Helvetica Neue" w:cs="Helvetica Neue"/>
                <w:sz w:val="22"/>
                <w:szCs w:val="22"/>
                <w:highlight w:val="white"/>
              </w:rPr>
            </w:pPr>
            <w:r>
              <w:rPr>
                <w:rFonts w:ascii="Helvetica Neue" w:eastAsia="Helvetica Neue" w:hAnsi="Helvetica Neue" w:cs="Helvetica Neue"/>
                <w:b/>
                <w:sz w:val="22"/>
                <w:szCs w:val="22"/>
              </w:rPr>
              <w:t xml:space="preserve">Do nothing: </w:t>
            </w:r>
            <w:r>
              <w:rPr>
                <w:rFonts w:ascii="Helvetica Neue" w:eastAsia="Helvetica Neue" w:hAnsi="Helvetica Neue" w:cs="Helvetica Neue"/>
                <w:sz w:val="22"/>
                <w:szCs w:val="22"/>
              </w:rPr>
              <w:t>retain the EU Roaming Regulation in the UK statute book without any correction. As the Roaming Regulation is based on reciprocal arrangements between EU Member States, it would be unclear with which parts of the regulation UK operators would need to comply (if any). This option is not recommended as the legal status of the EU Regulation, as retained in UK domestic law, would be unclear on EU Exit - including whether one-sided regulation would apply. If it does the challenges would be the same as those faced in option 3.</w:t>
            </w:r>
          </w:p>
          <w:p w14:paraId="20E0C21C" w14:textId="77777777" w:rsidR="007058F1" w:rsidRDefault="007058F1">
            <w:pPr>
              <w:spacing w:before="50" w:after="50"/>
              <w:ind w:right="113"/>
              <w:rPr>
                <w:rFonts w:ascii="Helvetica Neue" w:eastAsia="Helvetica Neue" w:hAnsi="Helvetica Neue" w:cs="Helvetica Neue"/>
                <w:sz w:val="22"/>
                <w:szCs w:val="22"/>
              </w:rPr>
            </w:pPr>
          </w:p>
          <w:p w14:paraId="69837048" w14:textId="77777777" w:rsidR="007058F1" w:rsidRDefault="00ED1797">
            <w:pPr>
              <w:numPr>
                <w:ilvl w:val="0"/>
                <w:numId w:val="1"/>
              </w:numPr>
              <w:pBdr>
                <w:top w:val="nil"/>
                <w:left w:val="nil"/>
                <w:bottom w:val="nil"/>
                <w:right w:val="nil"/>
                <w:between w:val="nil"/>
              </w:pBdr>
              <w:ind w:right="113"/>
              <w:rPr>
                <w:rFonts w:ascii="Helvetica Neue" w:eastAsia="Helvetica Neue" w:hAnsi="Helvetica Neue" w:cs="Helvetica Neue"/>
                <w:sz w:val="22"/>
                <w:szCs w:val="22"/>
                <w:highlight w:val="white"/>
              </w:rPr>
            </w:pPr>
            <w:r>
              <w:rPr>
                <w:rFonts w:ascii="Helvetica Neue" w:eastAsia="Helvetica Neue" w:hAnsi="Helvetica Neue" w:cs="Helvetica Neue"/>
                <w:b/>
                <w:sz w:val="22"/>
                <w:szCs w:val="22"/>
              </w:rPr>
              <w:t>Domestic legislation with retail obligations on mobile operators</w:t>
            </w:r>
            <w:r>
              <w:rPr>
                <w:rFonts w:ascii="Helvetica Neue" w:eastAsia="Helvetica Neue" w:hAnsi="Helvetica Neue" w:cs="Helvetica Neue"/>
                <w:sz w:val="22"/>
                <w:szCs w:val="22"/>
              </w:rPr>
              <w:t>: preclude UK mobile operators from introducing a surcharge on their customers when they roam in the EU. However, it is not possible to oblige EU operators not to increase their charges to UK operators through domestic legislation. Such an option would therefore be ‘one-sided’. Using domestic law to maintain surcharge-free EU roaming would face the following challenges:</w:t>
            </w:r>
          </w:p>
          <w:p w14:paraId="72775843" w14:textId="1A07EF5E" w:rsidR="007058F1" w:rsidRDefault="00ED1797">
            <w:pPr>
              <w:numPr>
                <w:ilvl w:val="0"/>
                <w:numId w:val="10"/>
              </w:numPr>
              <w:ind w:right="113"/>
              <w:rPr>
                <w:rFonts w:ascii="Helvetica Neue" w:eastAsia="Helvetica Neue" w:hAnsi="Helvetica Neue" w:cs="Helvetica Neue"/>
                <w:sz w:val="22"/>
                <w:szCs w:val="22"/>
              </w:rPr>
            </w:pPr>
            <w:r>
              <w:rPr>
                <w:rFonts w:ascii="Helvetica Neue" w:eastAsia="Helvetica Neue" w:hAnsi="Helvetica Neue" w:cs="Helvetica Neue"/>
                <w:sz w:val="22"/>
                <w:szCs w:val="22"/>
              </w:rPr>
              <w:t>UK operators would have uncapped exposure to the charges EU operators could place on them as they would have an obligation to provide roaming services surcharge-free. This uncapped exposure could be significantly damaging to UK operators.</w:t>
            </w:r>
          </w:p>
          <w:p w14:paraId="678207EF" w14:textId="77777777" w:rsidR="007058F1" w:rsidRDefault="00ED1797">
            <w:pPr>
              <w:numPr>
                <w:ilvl w:val="0"/>
                <w:numId w:val="10"/>
              </w:numPr>
              <w:ind w:right="113"/>
              <w:rPr>
                <w:rFonts w:ascii="Helvetica Neue" w:eastAsia="Helvetica Neue" w:hAnsi="Helvetica Neue" w:cs="Helvetica Neue"/>
                <w:sz w:val="22"/>
                <w:szCs w:val="22"/>
              </w:rPr>
            </w:pPr>
            <w:r>
              <w:rPr>
                <w:rFonts w:ascii="Helvetica Neue" w:eastAsia="Helvetica Neue" w:hAnsi="Helvetica Neue" w:cs="Helvetica Neue"/>
                <w:sz w:val="22"/>
                <w:szCs w:val="22"/>
              </w:rPr>
              <w:lastRenderedPageBreak/>
              <w:t>To limit their uncapped exposure, mobile operators could switch their customers to ‘domestic only’ packages. Customers on such packages would be unable to use mobile services outside the UK.</w:t>
            </w:r>
          </w:p>
          <w:p w14:paraId="027756EF" w14:textId="77777777" w:rsidR="007058F1" w:rsidRDefault="00ED1797">
            <w:pPr>
              <w:numPr>
                <w:ilvl w:val="0"/>
                <w:numId w:val="10"/>
              </w:numPr>
              <w:ind w:right="113"/>
              <w:rPr>
                <w:rFonts w:ascii="Helvetica Neue" w:eastAsia="Helvetica Neue" w:hAnsi="Helvetica Neue" w:cs="Helvetica Neue"/>
                <w:sz w:val="22"/>
                <w:szCs w:val="22"/>
              </w:rPr>
            </w:pPr>
            <w:r>
              <w:rPr>
                <w:rFonts w:ascii="Helvetica Neue" w:eastAsia="Helvetica Neue" w:hAnsi="Helvetica Neue" w:cs="Helvetica Neue"/>
                <w:sz w:val="22"/>
                <w:szCs w:val="22"/>
              </w:rPr>
              <w:t>Alternatively, operators would continue to offer roaming but increase the overall tariffs of their packages (known as the waterbed effect).</w:t>
            </w:r>
          </w:p>
          <w:p w14:paraId="374ED303" w14:textId="77777777" w:rsidR="007058F1" w:rsidRDefault="00ED1797">
            <w:pPr>
              <w:numPr>
                <w:ilvl w:val="0"/>
                <w:numId w:val="10"/>
              </w:numPr>
              <w:ind w:right="113"/>
              <w:rPr>
                <w:rFonts w:ascii="Helvetica Neue" w:eastAsia="Helvetica Neue" w:hAnsi="Helvetica Neue" w:cs="Helvetica Neue"/>
                <w:sz w:val="22"/>
                <w:szCs w:val="22"/>
              </w:rPr>
            </w:pPr>
            <w:r>
              <w:rPr>
                <w:rFonts w:ascii="Helvetica Neue" w:eastAsia="Helvetica Neue" w:hAnsi="Helvetica Neue" w:cs="Helvetica Neue"/>
                <w:sz w:val="22"/>
                <w:szCs w:val="22"/>
              </w:rPr>
              <w:t>This form of one-sided regulation would face significant legal challenges.</w:t>
            </w:r>
          </w:p>
          <w:p w14:paraId="6601D8CE" w14:textId="77777777" w:rsidR="007058F1" w:rsidRDefault="00ED1797">
            <w:pPr>
              <w:spacing w:before="50" w:after="50"/>
              <w:ind w:left="708" w:right="113"/>
              <w:rPr>
                <w:rFonts w:ascii="Helvetica Neue" w:eastAsia="Helvetica Neue" w:hAnsi="Helvetica Neue" w:cs="Helvetica Neue"/>
                <w:sz w:val="22"/>
                <w:szCs w:val="22"/>
              </w:rPr>
            </w:pPr>
            <w:r>
              <w:rPr>
                <w:rFonts w:ascii="Helvetica Neue" w:eastAsia="Helvetica Neue" w:hAnsi="Helvetica Neue" w:cs="Helvetica Neue"/>
                <w:sz w:val="22"/>
                <w:szCs w:val="22"/>
              </w:rPr>
              <w:t>Therefore this option introduces significant cost, potential negative consumer impacts and legal risks. It has therefore has been dismissed.</w:t>
            </w:r>
          </w:p>
          <w:p w14:paraId="6FE748F3" w14:textId="77777777" w:rsidR="007058F1" w:rsidRDefault="007058F1">
            <w:pPr>
              <w:spacing w:before="50" w:after="50"/>
              <w:ind w:left="720" w:right="113"/>
              <w:rPr>
                <w:rFonts w:ascii="Helvetica Neue" w:eastAsia="Helvetica Neue" w:hAnsi="Helvetica Neue" w:cs="Helvetica Neue"/>
                <w:sz w:val="22"/>
                <w:szCs w:val="22"/>
              </w:rPr>
            </w:pPr>
          </w:p>
          <w:p w14:paraId="16E6849F" w14:textId="77777777" w:rsidR="007058F1" w:rsidRDefault="00ED1797">
            <w:pPr>
              <w:numPr>
                <w:ilvl w:val="0"/>
                <w:numId w:val="1"/>
              </w:numPr>
              <w:ind w:right="113"/>
              <w:rPr>
                <w:rFonts w:ascii="Helvetica Neue" w:eastAsia="Helvetica Neue" w:hAnsi="Helvetica Neue" w:cs="Helvetica Neue"/>
                <w:sz w:val="22"/>
                <w:szCs w:val="22"/>
              </w:rPr>
            </w:pPr>
            <w:r>
              <w:rPr>
                <w:rFonts w:ascii="Helvetica Neue" w:eastAsia="Helvetica Neue" w:hAnsi="Helvetica Neue" w:cs="Helvetica Neue"/>
                <w:b/>
                <w:sz w:val="22"/>
                <w:szCs w:val="22"/>
                <w:highlight w:val="white"/>
              </w:rPr>
              <w:t>Domestic legislation without retail obligation on mobile operators (preferred option):</w:t>
            </w:r>
            <w:r>
              <w:rPr>
                <w:rFonts w:ascii="Helvetica Neue" w:eastAsia="Helvetica Neue" w:hAnsi="Helvetica Neue" w:cs="Helvetica Neue"/>
                <w:sz w:val="22"/>
                <w:szCs w:val="22"/>
                <w:highlight w:val="white"/>
              </w:rPr>
              <w:t xml:space="preserve"> </w:t>
            </w:r>
            <w:r>
              <w:rPr>
                <w:rFonts w:ascii="Helvetica Neue" w:eastAsia="Helvetica Neue" w:hAnsi="Helvetica Neue" w:cs="Helvetica Neue"/>
                <w:sz w:val="22"/>
                <w:szCs w:val="22"/>
                <w:highlight w:val="white"/>
                <w:u w:val="single"/>
              </w:rPr>
              <w:t>the option set-out in this SI</w:t>
            </w:r>
            <w:r>
              <w:rPr>
                <w:rFonts w:ascii="Helvetica Neue" w:eastAsia="Helvetica Neue" w:hAnsi="Helvetica Neue" w:cs="Helvetica Neue"/>
                <w:sz w:val="22"/>
                <w:szCs w:val="22"/>
                <w:highlight w:val="white"/>
              </w:rPr>
              <w:t>. This approach will</w:t>
            </w:r>
            <w:r>
              <w:rPr>
                <w:rFonts w:ascii="Helvetica Neue" w:eastAsia="Helvetica Neue" w:hAnsi="Helvetica Neue" w:cs="Helvetica Neue"/>
                <w:sz w:val="22"/>
                <w:szCs w:val="22"/>
              </w:rPr>
              <w:t xml:space="preserve"> ensure that </w:t>
            </w:r>
            <w:r>
              <w:rPr>
                <w:rFonts w:ascii="Helvetica Neue" w:eastAsia="Helvetica Neue" w:hAnsi="Helvetica Neue" w:cs="Helvetica Neue"/>
                <w:sz w:val="22"/>
                <w:szCs w:val="22"/>
                <w:highlight w:val="white"/>
              </w:rPr>
              <w:t xml:space="preserve">UK mobile operators do not face ‘one-sided’ regulation. i.e. the risk that the retail rates they can charge are capped, but there is no control over the rates they have to pay out to EU operators. It allows operators some flexibility: in a competitive market they may feel commercially compelled to continue with EU surcharge-free mobile roaming. They may also be able to secure commercial arrangements with EU operators allowing them to continue with surcharge-free roaming. In this option, the current transparency arrangements on mobile operators will be maintained. </w:t>
            </w:r>
          </w:p>
          <w:p w14:paraId="247A826F" w14:textId="77777777" w:rsidR="007058F1" w:rsidRDefault="007058F1">
            <w:pPr>
              <w:spacing w:before="50" w:after="50"/>
              <w:ind w:left="720" w:right="113"/>
              <w:rPr>
                <w:rFonts w:ascii="Helvetica Neue" w:eastAsia="Helvetica Neue" w:hAnsi="Helvetica Neue" w:cs="Helvetica Neue"/>
                <w:sz w:val="22"/>
                <w:szCs w:val="22"/>
              </w:rPr>
            </w:pPr>
          </w:p>
        </w:tc>
      </w:tr>
    </w:tbl>
    <w:p w14:paraId="64E60E45" w14:textId="77777777" w:rsidR="007058F1" w:rsidRDefault="007058F1">
      <w:pPr>
        <w:pBdr>
          <w:top w:val="nil"/>
          <w:left w:val="nil"/>
          <w:bottom w:val="nil"/>
          <w:right w:val="nil"/>
          <w:between w:val="nil"/>
        </w:pBdr>
        <w:rPr>
          <w:rFonts w:ascii="Helvetica Neue" w:eastAsia="Helvetica Neue" w:hAnsi="Helvetica Neue" w:cs="Helvetica Neue"/>
          <w:color w:val="000000"/>
          <w:sz w:val="22"/>
          <w:szCs w:val="22"/>
        </w:rPr>
      </w:pPr>
    </w:p>
    <w:tbl>
      <w:tblPr>
        <w:tblStyle w:val="a3"/>
        <w:tblW w:w="1021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15"/>
      </w:tblGrid>
      <w:tr w:rsidR="007058F1" w14:paraId="7C0FEF7E" w14:textId="77777777">
        <w:tc>
          <w:tcPr>
            <w:tcW w:w="10215" w:type="dxa"/>
            <w:shd w:val="clear" w:color="auto" w:fill="auto"/>
            <w:tcMar>
              <w:top w:w="0" w:type="dxa"/>
              <w:left w:w="0" w:type="dxa"/>
              <w:bottom w:w="0" w:type="dxa"/>
              <w:right w:w="0" w:type="dxa"/>
            </w:tcMar>
          </w:tcPr>
          <w:p w14:paraId="68BE5F41" w14:textId="3D769954"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sz w:val="22"/>
                <w:szCs w:val="22"/>
              </w:rPr>
            </w:pPr>
            <w:r>
              <w:rPr>
                <w:rFonts w:ascii="Helvetica Neue" w:eastAsia="Helvetica Neue" w:hAnsi="Helvetica Neue" w:cs="Helvetica Neue"/>
                <w:b/>
                <w:color w:val="000000"/>
                <w:sz w:val="20"/>
                <w:szCs w:val="20"/>
              </w:rPr>
              <w:t xml:space="preserve">Will the policy be reviewed?  If applicable, set review date:  </w:t>
            </w:r>
            <w:r>
              <w:rPr>
                <w:rFonts w:ascii="Helvetica Neue" w:eastAsia="Helvetica Neue" w:hAnsi="Helvetica Neue" w:cs="Helvetica Neue"/>
                <w:sz w:val="22"/>
                <w:szCs w:val="22"/>
              </w:rPr>
              <w:t>Ordinarily the Government undertakes post-implementation reviews as a way of checking whether regulatory burdens are justified. This legislation aims to remedy deficiencies in retained EU legislation, ensuring UK operators are not subject to one-sided regulation. These circumstances mean that a post-implementation review of this legislation would be of limited value and would be impractical. This does not remove the general need to review and improve legislation in due course and where appropriate, but rather removes rigid review requirements as they relate in this SI.</w:t>
            </w:r>
          </w:p>
          <w:p w14:paraId="6A5939EC" w14:textId="77777777" w:rsidR="007058F1" w:rsidRDefault="007058F1">
            <w:pPr>
              <w:pBdr>
                <w:top w:val="nil"/>
                <w:left w:val="nil"/>
                <w:bottom w:val="nil"/>
                <w:right w:val="nil"/>
                <w:between w:val="nil"/>
              </w:pBdr>
              <w:spacing w:before="50" w:after="50"/>
              <w:ind w:right="113"/>
              <w:rPr>
                <w:rFonts w:ascii="Helvetica Neue" w:eastAsia="Helvetica Neue" w:hAnsi="Helvetica Neue" w:cs="Helvetica Neue"/>
                <w:color w:val="000000"/>
                <w:sz w:val="22"/>
                <w:szCs w:val="22"/>
              </w:rPr>
            </w:pPr>
          </w:p>
        </w:tc>
      </w:tr>
    </w:tbl>
    <w:p w14:paraId="0A63B009" w14:textId="77777777" w:rsidR="007058F1" w:rsidRDefault="007058F1">
      <w:pPr>
        <w:pBdr>
          <w:top w:val="nil"/>
          <w:left w:val="nil"/>
          <w:bottom w:val="nil"/>
          <w:right w:val="nil"/>
          <w:between w:val="nil"/>
        </w:pBdr>
        <w:rPr>
          <w:rFonts w:ascii="Helvetica Neue" w:eastAsia="Helvetica Neue" w:hAnsi="Helvetica Neue" w:cs="Helvetica Neue"/>
          <w:color w:val="000000"/>
          <w:sz w:val="22"/>
          <w:szCs w:val="22"/>
        </w:rPr>
      </w:pPr>
    </w:p>
    <w:tbl>
      <w:tblPr>
        <w:tblStyle w:val="a4"/>
        <w:tblW w:w="1021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69"/>
        <w:gridCol w:w="900"/>
        <w:gridCol w:w="1035"/>
        <w:gridCol w:w="480"/>
        <w:gridCol w:w="585"/>
        <w:gridCol w:w="945"/>
      </w:tblGrid>
      <w:tr w:rsidR="007058F1" w14:paraId="662AD0FD" w14:textId="77777777">
        <w:tc>
          <w:tcPr>
            <w:tcW w:w="7169" w:type="dxa"/>
            <w:gridSpan w:val="2"/>
            <w:shd w:val="clear" w:color="auto" w:fill="E0E0E0"/>
            <w:tcMar>
              <w:top w:w="0" w:type="dxa"/>
              <w:left w:w="0" w:type="dxa"/>
              <w:bottom w:w="0" w:type="dxa"/>
              <w:right w:w="0" w:type="dxa"/>
            </w:tcMar>
            <w:vAlign w:val="center"/>
          </w:tcPr>
          <w:p w14:paraId="2D64F51B" w14:textId="77777777" w:rsidR="007058F1" w:rsidRDefault="00ED1797">
            <w:pPr>
              <w:pBdr>
                <w:top w:val="nil"/>
                <w:left w:val="nil"/>
                <w:bottom w:val="nil"/>
                <w:right w:val="nil"/>
                <w:between w:val="nil"/>
              </w:pBdr>
              <w:ind w:left="113" w:right="113"/>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Does implementation go beyond minimum EU requirements?</w:t>
            </w:r>
          </w:p>
        </w:tc>
        <w:tc>
          <w:tcPr>
            <w:tcW w:w="3045" w:type="dxa"/>
            <w:gridSpan w:val="4"/>
            <w:shd w:val="clear" w:color="auto" w:fill="E0E0E0"/>
            <w:tcMar>
              <w:top w:w="0" w:type="dxa"/>
              <w:left w:w="0" w:type="dxa"/>
              <w:bottom w:w="0" w:type="dxa"/>
              <w:right w:w="0" w:type="dxa"/>
            </w:tcMar>
            <w:vAlign w:val="center"/>
          </w:tcPr>
          <w:p w14:paraId="151BCA41" w14:textId="77777777" w:rsidR="007058F1" w:rsidRDefault="00ED1797">
            <w:pPr>
              <w:pBdr>
                <w:top w:val="nil"/>
                <w:left w:val="nil"/>
                <w:bottom w:val="nil"/>
                <w:right w:val="nil"/>
                <w:between w:val="nil"/>
              </w:pBdr>
              <w:ind w:left="113" w:right="113"/>
              <w:rPr>
                <w:rFonts w:ascii="Helvetica Neue" w:eastAsia="Helvetica Neue" w:hAnsi="Helvetica Neue" w:cs="Helvetica Neue"/>
                <w:color w:val="000000"/>
                <w:sz w:val="20"/>
                <w:szCs w:val="20"/>
              </w:rPr>
            </w:pPr>
            <w:r>
              <w:rPr>
                <w:rFonts w:ascii="Helvetica Neue" w:eastAsia="Helvetica Neue" w:hAnsi="Helvetica Neue" w:cs="Helvetica Neue"/>
                <w:sz w:val="20"/>
                <w:szCs w:val="20"/>
              </w:rPr>
              <w:t>N/a</w:t>
            </w:r>
          </w:p>
        </w:tc>
      </w:tr>
      <w:tr w:rsidR="007058F1" w14:paraId="7A353109" w14:textId="77777777">
        <w:tc>
          <w:tcPr>
            <w:tcW w:w="6269" w:type="dxa"/>
            <w:shd w:val="clear" w:color="auto" w:fill="E0E0E0"/>
            <w:tcMar>
              <w:top w:w="0" w:type="dxa"/>
              <w:left w:w="0" w:type="dxa"/>
              <w:bottom w:w="0" w:type="dxa"/>
              <w:right w:w="0" w:type="dxa"/>
            </w:tcMar>
            <w:vAlign w:val="center"/>
          </w:tcPr>
          <w:p w14:paraId="13A06EA7" w14:textId="77777777" w:rsidR="007058F1" w:rsidRDefault="00ED1797">
            <w:pPr>
              <w:pBdr>
                <w:top w:val="nil"/>
                <w:left w:val="nil"/>
                <w:bottom w:val="nil"/>
                <w:right w:val="nil"/>
                <w:between w:val="nil"/>
              </w:pBdr>
              <w:ind w:left="113" w:right="113"/>
              <w:rPr>
                <w:rFonts w:ascii="Helvetica Neue" w:eastAsia="Helvetica Neue" w:hAnsi="Helvetica Neue" w:cs="Helvetica Neue"/>
                <w:color w:val="000000"/>
                <w:sz w:val="20"/>
                <w:szCs w:val="20"/>
              </w:rPr>
            </w:pPr>
            <w:r>
              <w:rPr>
                <w:rFonts w:ascii="Helvetica Neue" w:eastAsia="Helvetica Neue" w:hAnsi="Helvetica Neue" w:cs="Helvetica Neue"/>
                <w:color w:val="000000"/>
                <w:sz w:val="20"/>
                <w:szCs w:val="20"/>
              </w:rPr>
              <w:t>Are any of these organisations in scope? Yes, all</w:t>
            </w:r>
          </w:p>
        </w:tc>
        <w:tc>
          <w:tcPr>
            <w:tcW w:w="900" w:type="dxa"/>
            <w:shd w:val="clear" w:color="auto" w:fill="E0E0E0"/>
            <w:tcMar>
              <w:top w:w="0" w:type="dxa"/>
              <w:left w:w="0" w:type="dxa"/>
              <w:bottom w:w="0" w:type="dxa"/>
              <w:right w:w="0" w:type="dxa"/>
            </w:tcMar>
            <w:vAlign w:val="center"/>
          </w:tcPr>
          <w:p w14:paraId="0CC1AFFF" w14:textId="77777777" w:rsidR="007058F1" w:rsidRDefault="00ED1797">
            <w:pPr>
              <w:pBdr>
                <w:top w:val="nil"/>
                <w:left w:val="nil"/>
                <w:bottom w:val="nil"/>
                <w:right w:val="nil"/>
                <w:between w:val="nil"/>
              </w:pBdr>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Micro</w:t>
            </w:r>
          </w:p>
        </w:tc>
        <w:tc>
          <w:tcPr>
            <w:tcW w:w="1035" w:type="dxa"/>
            <w:shd w:val="clear" w:color="auto" w:fill="E0E0E0"/>
            <w:tcMar>
              <w:top w:w="0" w:type="dxa"/>
              <w:left w:w="0" w:type="dxa"/>
              <w:bottom w:w="0" w:type="dxa"/>
              <w:right w:w="0" w:type="dxa"/>
            </w:tcMar>
            <w:vAlign w:val="center"/>
          </w:tcPr>
          <w:p w14:paraId="7D898D5E" w14:textId="77777777" w:rsidR="007058F1" w:rsidRDefault="00ED1797">
            <w:pPr>
              <w:pBdr>
                <w:top w:val="nil"/>
                <w:left w:val="nil"/>
                <w:bottom w:val="nil"/>
                <w:right w:val="nil"/>
                <w:between w:val="nil"/>
              </w:pBdr>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Small</w:t>
            </w:r>
          </w:p>
        </w:tc>
        <w:tc>
          <w:tcPr>
            <w:tcW w:w="1065" w:type="dxa"/>
            <w:gridSpan w:val="2"/>
            <w:shd w:val="clear" w:color="auto" w:fill="E0E0E0"/>
            <w:tcMar>
              <w:top w:w="0" w:type="dxa"/>
              <w:left w:w="0" w:type="dxa"/>
              <w:bottom w:w="0" w:type="dxa"/>
              <w:right w:w="0" w:type="dxa"/>
            </w:tcMar>
            <w:vAlign w:val="center"/>
          </w:tcPr>
          <w:p w14:paraId="21015725" w14:textId="77777777" w:rsidR="007058F1" w:rsidRDefault="00ED1797">
            <w:pPr>
              <w:pBdr>
                <w:top w:val="nil"/>
                <w:left w:val="nil"/>
                <w:bottom w:val="nil"/>
                <w:right w:val="nil"/>
                <w:between w:val="nil"/>
              </w:pBdr>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Medium</w:t>
            </w:r>
          </w:p>
        </w:tc>
        <w:tc>
          <w:tcPr>
            <w:tcW w:w="945" w:type="dxa"/>
            <w:shd w:val="clear" w:color="auto" w:fill="E0E0E0"/>
            <w:tcMar>
              <w:top w:w="0" w:type="dxa"/>
              <w:left w:w="0" w:type="dxa"/>
              <w:bottom w:w="0" w:type="dxa"/>
              <w:right w:w="0" w:type="dxa"/>
            </w:tcMar>
            <w:vAlign w:val="center"/>
          </w:tcPr>
          <w:p w14:paraId="4B78F3FE" w14:textId="77777777" w:rsidR="007058F1" w:rsidRDefault="00ED1797">
            <w:pPr>
              <w:pBdr>
                <w:top w:val="nil"/>
                <w:left w:val="nil"/>
                <w:bottom w:val="nil"/>
                <w:right w:val="nil"/>
                <w:between w:val="nil"/>
              </w:pBdr>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Large</w:t>
            </w:r>
          </w:p>
        </w:tc>
      </w:tr>
      <w:tr w:rsidR="007058F1" w14:paraId="1E49A4E6" w14:textId="77777777">
        <w:tc>
          <w:tcPr>
            <w:tcW w:w="7169" w:type="dxa"/>
            <w:gridSpan w:val="2"/>
            <w:shd w:val="clear" w:color="auto" w:fill="E0E0E0"/>
            <w:tcMar>
              <w:top w:w="0" w:type="dxa"/>
              <w:left w:w="0" w:type="dxa"/>
              <w:bottom w:w="0" w:type="dxa"/>
              <w:right w:w="0" w:type="dxa"/>
            </w:tcMar>
            <w:vAlign w:val="center"/>
          </w:tcPr>
          <w:p w14:paraId="65A71756" w14:textId="77777777" w:rsidR="007058F1" w:rsidRDefault="00ED1797">
            <w:pPr>
              <w:pBdr>
                <w:top w:val="nil"/>
                <w:left w:val="nil"/>
                <w:bottom w:val="nil"/>
                <w:right w:val="nil"/>
                <w:between w:val="nil"/>
              </w:pBdr>
              <w:ind w:left="113" w:right="113"/>
              <w:rPr>
                <w:rFonts w:ascii="Helvetica Neue" w:eastAsia="Helvetica Neue" w:hAnsi="Helvetica Neue" w:cs="Helvetica Neue"/>
                <w:color w:val="000000"/>
                <w:sz w:val="18"/>
                <w:szCs w:val="18"/>
              </w:rPr>
            </w:pPr>
            <w:r>
              <w:rPr>
                <w:rFonts w:ascii="Helvetica Neue" w:eastAsia="Helvetica Neue" w:hAnsi="Helvetica Neue" w:cs="Helvetica Neue"/>
                <w:color w:val="000000"/>
                <w:sz w:val="20"/>
                <w:szCs w:val="20"/>
              </w:rPr>
              <w:t>What is the CO</w:t>
            </w:r>
            <w:r>
              <w:rPr>
                <w:rFonts w:ascii="Helvetica Neue" w:eastAsia="Helvetica Neue" w:hAnsi="Helvetica Neue" w:cs="Helvetica Neue"/>
                <w:color w:val="000000"/>
                <w:sz w:val="20"/>
                <w:szCs w:val="20"/>
                <w:vertAlign w:val="subscript"/>
              </w:rPr>
              <w:t>2</w:t>
            </w:r>
            <w:r>
              <w:rPr>
                <w:rFonts w:ascii="Helvetica Neue" w:eastAsia="Helvetica Neue" w:hAnsi="Helvetica Neue" w:cs="Helvetica Neue"/>
                <w:color w:val="000000"/>
                <w:sz w:val="20"/>
                <w:szCs w:val="20"/>
              </w:rPr>
              <w:t xml:space="preserve"> equivalent change in greenhouse gas emissions? </w:t>
            </w:r>
            <w:r>
              <w:rPr>
                <w:rFonts w:ascii="Helvetica Neue" w:eastAsia="Helvetica Neue" w:hAnsi="Helvetica Neue" w:cs="Helvetica Neue"/>
                <w:color w:val="000000"/>
                <w:sz w:val="20"/>
                <w:szCs w:val="20"/>
              </w:rPr>
              <w:br/>
              <w:t>(Million tonnes CO</w:t>
            </w:r>
            <w:r>
              <w:rPr>
                <w:rFonts w:ascii="Helvetica Neue" w:eastAsia="Helvetica Neue" w:hAnsi="Helvetica Neue" w:cs="Helvetica Neue"/>
                <w:color w:val="000000"/>
                <w:sz w:val="20"/>
                <w:szCs w:val="20"/>
                <w:vertAlign w:val="subscript"/>
              </w:rPr>
              <w:t>2</w:t>
            </w:r>
            <w:r>
              <w:rPr>
                <w:rFonts w:ascii="Helvetica Neue" w:eastAsia="Helvetica Neue" w:hAnsi="Helvetica Neue" w:cs="Helvetica Neue"/>
                <w:color w:val="000000"/>
                <w:sz w:val="20"/>
                <w:szCs w:val="20"/>
              </w:rPr>
              <w:t xml:space="preserve"> equivalent)</w:t>
            </w:r>
            <w:r>
              <w:rPr>
                <w:rFonts w:ascii="Helvetica Neue" w:eastAsia="Helvetica Neue" w:hAnsi="Helvetica Neue" w:cs="Helvetica Neue"/>
                <w:color w:val="000000"/>
                <w:sz w:val="18"/>
                <w:szCs w:val="18"/>
              </w:rPr>
              <w:t xml:space="preserve">  N/a</w:t>
            </w:r>
          </w:p>
        </w:tc>
        <w:tc>
          <w:tcPr>
            <w:tcW w:w="1515" w:type="dxa"/>
            <w:gridSpan w:val="2"/>
            <w:shd w:val="clear" w:color="auto" w:fill="E0E0E0"/>
            <w:tcMar>
              <w:top w:w="0" w:type="dxa"/>
              <w:left w:w="0" w:type="dxa"/>
              <w:bottom w:w="0" w:type="dxa"/>
              <w:right w:w="0" w:type="dxa"/>
            </w:tcMar>
          </w:tcPr>
          <w:p w14:paraId="56371BD4"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Traded:   </w:t>
            </w:r>
            <w:r>
              <w:rPr>
                <w:rFonts w:ascii="Helvetica Neue" w:eastAsia="Helvetica Neue" w:hAnsi="Helvetica Neue" w:cs="Helvetica Neue"/>
                <w:b/>
                <w:color w:val="000000"/>
                <w:sz w:val="20"/>
                <w:szCs w:val="20"/>
              </w:rPr>
              <w:br/>
            </w:r>
          </w:p>
        </w:tc>
        <w:tc>
          <w:tcPr>
            <w:tcW w:w="1530" w:type="dxa"/>
            <w:gridSpan w:val="2"/>
            <w:shd w:val="clear" w:color="auto" w:fill="E0E0E0"/>
            <w:tcMar>
              <w:top w:w="0" w:type="dxa"/>
              <w:left w:w="0" w:type="dxa"/>
              <w:bottom w:w="0" w:type="dxa"/>
              <w:right w:w="0" w:type="dxa"/>
            </w:tcMar>
          </w:tcPr>
          <w:p w14:paraId="1B3368D6"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Non-traded:   </w:t>
            </w:r>
            <w:r>
              <w:rPr>
                <w:rFonts w:ascii="Helvetica Neue" w:eastAsia="Helvetica Neue" w:hAnsi="Helvetica Neue" w:cs="Helvetica Neue"/>
                <w:b/>
                <w:color w:val="000000"/>
                <w:sz w:val="20"/>
                <w:szCs w:val="20"/>
              </w:rPr>
              <w:br/>
            </w:r>
          </w:p>
        </w:tc>
      </w:tr>
    </w:tbl>
    <w:p w14:paraId="135340E4" w14:textId="77777777" w:rsidR="00A03452" w:rsidRDefault="00A03452">
      <w:pPr>
        <w:pBdr>
          <w:top w:val="nil"/>
          <w:left w:val="nil"/>
          <w:bottom w:val="nil"/>
          <w:right w:val="nil"/>
          <w:between w:val="nil"/>
        </w:pBdr>
        <w:ind w:right="284"/>
        <w:rPr>
          <w:rFonts w:ascii="Helvetica Neue" w:eastAsia="Helvetica Neue" w:hAnsi="Helvetica Neue" w:cs="Helvetica Neue"/>
          <w:b/>
          <w:i/>
          <w:color w:val="000000"/>
          <w:sz w:val="20"/>
          <w:szCs w:val="20"/>
        </w:rPr>
      </w:pPr>
    </w:p>
    <w:p w14:paraId="0A47C627" w14:textId="77777777" w:rsidR="007058F1" w:rsidRDefault="00ED1797">
      <w:pPr>
        <w:pBdr>
          <w:top w:val="nil"/>
          <w:left w:val="nil"/>
          <w:bottom w:val="nil"/>
          <w:right w:val="nil"/>
          <w:between w:val="nil"/>
        </w:pBdr>
        <w:ind w:right="284"/>
        <w:rPr>
          <w:rFonts w:ascii="Helvetica Neue" w:eastAsia="Helvetica Neue" w:hAnsi="Helvetica Neue" w:cs="Helvetica Neue"/>
          <w:b/>
          <w:i/>
          <w:color w:val="000000"/>
          <w:sz w:val="20"/>
          <w:szCs w:val="20"/>
        </w:rPr>
      </w:pPr>
      <w:r>
        <w:rPr>
          <w:rFonts w:ascii="Helvetica Neue" w:eastAsia="Helvetica Neue" w:hAnsi="Helvetica Neue" w:cs="Helvetica Neue"/>
          <w:b/>
          <w:i/>
          <w:color w:val="000000"/>
          <w:sz w:val="20"/>
          <w:szCs w:val="20"/>
        </w:rPr>
        <w:t>I have read the Impact Assessment and I am satisfied that, given the available evidence, it represents a reasonable view of the likely costs, benefits and impact of the leading options.</w:t>
      </w:r>
    </w:p>
    <w:p w14:paraId="769D8063" w14:textId="77777777" w:rsidR="00A03452" w:rsidRDefault="00A03452">
      <w:pPr>
        <w:pBdr>
          <w:top w:val="nil"/>
          <w:left w:val="nil"/>
          <w:bottom w:val="nil"/>
          <w:right w:val="nil"/>
          <w:between w:val="nil"/>
        </w:pBdr>
        <w:ind w:right="284"/>
        <w:rPr>
          <w:rFonts w:ascii="Helvetica Neue" w:eastAsia="Helvetica Neue" w:hAnsi="Helvetica Neue" w:cs="Helvetica Neue"/>
          <w:b/>
          <w:i/>
          <w:color w:val="000000"/>
          <w:sz w:val="20"/>
          <w:szCs w:val="20"/>
        </w:rPr>
      </w:pPr>
    </w:p>
    <w:tbl>
      <w:tblPr>
        <w:tblStyle w:val="a5"/>
        <w:tblW w:w="102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86"/>
        <w:gridCol w:w="3402"/>
        <w:gridCol w:w="850"/>
        <w:gridCol w:w="2267"/>
      </w:tblGrid>
      <w:tr w:rsidR="007058F1" w14:paraId="4F776365" w14:textId="77777777" w:rsidTr="00A03452">
        <w:trPr>
          <w:trHeight w:val="219"/>
        </w:trPr>
        <w:tc>
          <w:tcPr>
            <w:tcW w:w="3686" w:type="dxa"/>
            <w:shd w:val="clear" w:color="auto" w:fill="auto"/>
            <w:tcMar>
              <w:top w:w="0" w:type="dxa"/>
              <w:left w:w="0" w:type="dxa"/>
              <w:bottom w:w="0" w:type="dxa"/>
              <w:right w:w="0" w:type="dxa"/>
            </w:tcMar>
            <w:vAlign w:val="bottom"/>
          </w:tcPr>
          <w:p w14:paraId="7E897B4A" w14:textId="77777777" w:rsidR="007058F1" w:rsidRPr="00A03452" w:rsidRDefault="00ED1797">
            <w:pPr>
              <w:pBdr>
                <w:top w:val="nil"/>
                <w:left w:val="nil"/>
                <w:bottom w:val="nil"/>
                <w:right w:val="nil"/>
                <w:between w:val="nil"/>
              </w:pBdr>
              <w:tabs>
                <w:tab w:val="left" w:pos="7380"/>
              </w:tabs>
              <w:ind w:right="113"/>
              <w:rPr>
                <w:rFonts w:ascii="Helvetica Neue" w:eastAsia="Helvetica Neue" w:hAnsi="Helvetica Neue" w:cs="Helvetica Neue"/>
                <w:color w:val="000000"/>
                <w:sz w:val="22"/>
                <w:szCs w:val="22"/>
              </w:rPr>
            </w:pPr>
            <w:r w:rsidRPr="00A03452">
              <w:rPr>
                <w:rFonts w:ascii="Helvetica Neue" w:eastAsia="Helvetica Neue" w:hAnsi="Helvetica Neue" w:cs="Helvetica Neue"/>
                <w:color w:val="000000"/>
                <w:sz w:val="22"/>
                <w:szCs w:val="22"/>
              </w:rPr>
              <w:t>Signed by the responsible minister :</w:t>
            </w:r>
          </w:p>
        </w:tc>
        <w:tc>
          <w:tcPr>
            <w:tcW w:w="3402" w:type="dxa"/>
            <w:shd w:val="clear" w:color="auto" w:fill="auto"/>
            <w:tcMar>
              <w:top w:w="0" w:type="dxa"/>
              <w:left w:w="0" w:type="dxa"/>
              <w:bottom w:w="0" w:type="dxa"/>
              <w:right w:w="0" w:type="dxa"/>
            </w:tcMar>
            <w:vAlign w:val="bottom"/>
          </w:tcPr>
          <w:p w14:paraId="7B4BBDC4" w14:textId="297F36F1" w:rsidR="007058F1" w:rsidRDefault="007D193F">
            <w:pPr>
              <w:pBdr>
                <w:top w:val="nil"/>
                <w:left w:val="nil"/>
                <w:bottom w:val="nil"/>
                <w:right w:val="nil"/>
                <w:between w:val="nil"/>
              </w:pBdr>
              <w:jc w:val="cente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Margot James</w:t>
            </w:r>
          </w:p>
        </w:tc>
        <w:tc>
          <w:tcPr>
            <w:tcW w:w="850" w:type="dxa"/>
            <w:shd w:val="clear" w:color="auto" w:fill="auto"/>
            <w:tcMar>
              <w:top w:w="0" w:type="dxa"/>
              <w:left w:w="0" w:type="dxa"/>
              <w:bottom w:w="0" w:type="dxa"/>
              <w:right w:w="0" w:type="dxa"/>
            </w:tcMar>
            <w:vAlign w:val="bottom"/>
          </w:tcPr>
          <w:p w14:paraId="23BBFA05" w14:textId="77777777" w:rsidR="007058F1" w:rsidRDefault="00ED1797">
            <w:pPr>
              <w:pBdr>
                <w:top w:val="nil"/>
                <w:left w:val="nil"/>
                <w:bottom w:val="nil"/>
                <w:right w:val="nil"/>
                <w:between w:val="nil"/>
              </w:pBdr>
              <w:tabs>
                <w:tab w:val="left" w:pos="7380"/>
              </w:tabs>
              <w:ind w:right="113"/>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 Date:</w:t>
            </w:r>
          </w:p>
        </w:tc>
        <w:tc>
          <w:tcPr>
            <w:tcW w:w="2267" w:type="dxa"/>
            <w:shd w:val="clear" w:color="auto" w:fill="auto"/>
            <w:tcMar>
              <w:top w:w="0" w:type="dxa"/>
              <w:left w:w="0" w:type="dxa"/>
              <w:bottom w:w="0" w:type="dxa"/>
              <w:right w:w="0" w:type="dxa"/>
            </w:tcMar>
            <w:vAlign w:val="bottom"/>
          </w:tcPr>
          <w:p w14:paraId="7D73685B" w14:textId="554CF866" w:rsidR="007058F1" w:rsidRDefault="007D193F">
            <w:pPr>
              <w:pBdr>
                <w:top w:val="nil"/>
                <w:left w:val="nil"/>
                <w:bottom w:val="nil"/>
                <w:right w:val="nil"/>
                <w:between w:val="nil"/>
              </w:pBdr>
              <w:jc w:val="center"/>
              <w:rPr>
                <w:rFonts w:ascii="Helvetica Neue" w:eastAsia="Helvetica Neue" w:hAnsi="Helvetica Neue" w:cs="Helvetica Neue"/>
                <w:color w:val="000000"/>
                <w:sz w:val="22"/>
                <w:szCs w:val="22"/>
              </w:rPr>
            </w:pPr>
            <w:r>
              <w:rPr>
                <w:rFonts w:ascii="Helvetica Neue" w:eastAsia="Helvetica Neue" w:hAnsi="Helvetica Neue" w:cs="Helvetica Neue"/>
                <w:color w:val="000000"/>
                <w:sz w:val="22"/>
                <w:szCs w:val="22"/>
              </w:rPr>
              <w:t>01/02/2019</w:t>
            </w:r>
            <w:r w:rsidR="00ED1797">
              <w:rPr>
                <w:rFonts w:ascii="Helvetica Neue" w:eastAsia="Helvetica Neue" w:hAnsi="Helvetica Neue" w:cs="Helvetica Neue"/>
                <w:color w:val="000000"/>
                <w:sz w:val="22"/>
                <w:szCs w:val="22"/>
              </w:rPr>
              <w:t xml:space="preserve"> </w:t>
            </w:r>
          </w:p>
        </w:tc>
      </w:tr>
    </w:tbl>
    <w:p w14:paraId="322CE8BE" w14:textId="77777777" w:rsidR="007058F1" w:rsidRDefault="007058F1">
      <w:pPr>
        <w:pStyle w:val="Heading1"/>
        <w:spacing w:before="0"/>
        <w:rPr>
          <w:rFonts w:ascii="Helvetica Neue" w:eastAsia="Helvetica Neue" w:hAnsi="Helvetica Neue" w:cs="Helvetica Neue"/>
          <w:b w:val="0"/>
          <w:color w:val="000000"/>
          <w:sz w:val="22"/>
          <w:szCs w:val="22"/>
        </w:rPr>
      </w:pPr>
    </w:p>
    <w:p w14:paraId="7FE98CB3" w14:textId="77777777" w:rsidR="007058F1" w:rsidRDefault="00ED1797">
      <w:pPr>
        <w:pStyle w:val="Heading1"/>
        <w:spacing w:before="0"/>
        <w:rPr>
          <w:rFonts w:ascii="Helvetica Neue" w:eastAsia="Helvetica Neue" w:hAnsi="Helvetica Neue" w:cs="Helvetica Neue"/>
        </w:rPr>
      </w:pPr>
      <w:r>
        <w:br w:type="page"/>
      </w:r>
      <w:r>
        <w:rPr>
          <w:rFonts w:ascii="Helvetica Neue" w:eastAsia="Helvetica Neue" w:hAnsi="Helvetica Neue" w:cs="Helvetica Neue"/>
        </w:rPr>
        <w:lastRenderedPageBreak/>
        <w:t>Summary: Analysis &amp; Evidence</w:t>
      </w:r>
      <w:r>
        <w:rPr>
          <w:rFonts w:ascii="Helvetica Neue" w:eastAsia="Helvetica Neue" w:hAnsi="Helvetica Neue" w:cs="Helvetica Neue"/>
        </w:rPr>
        <w:tab/>
      </w:r>
    </w:p>
    <w:p w14:paraId="3DC79A66" w14:textId="77777777" w:rsidR="007058F1" w:rsidRDefault="00ED1797">
      <w:pPr>
        <w:pStyle w:val="Heading1"/>
        <w:spacing w:before="0"/>
        <w:rPr>
          <w:rFonts w:ascii="Helvetica Neue" w:eastAsia="Helvetica Neue" w:hAnsi="Helvetica Neue" w:cs="Helvetica Neue"/>
          <w:b w:val="0"/>
          <w:sz w:val="28"/>
          <w:szCs w:val="28"/>
        </w:rPr>
      </w:pPr>
      <w:r>
        <w:rPr>
          <w:rFonts w:ascii="Helvetica Neue" w:eastAsia="Helvetica Neue" w:hAnsi="Helvetica Neue" w:cs="Helvetica Neue"/>
          <w:b w:val="0"/>
          <w:sz w:val="28"/>
          <w:szCs w:val="28"/>
        </w:rPr>
        <w:t>Policy Option 4 - domestic legislation without one-sided retail obligations</w:t>
      </w:r>
    </w:p>
    <w:p w14:paraId="2D7B2022" w14:textId="77777777" w:rsidR="007058F1" w:rsidRDefault="007058F1">
      <w:pPr>
        <w:pBdr>
          <w:top w:val="nil"/>
          <w:left w:val="nil"/>
          <w:bottom w:val="nil"/>
          <w:right w:val="nil"/>
          <w:between w:val="nil"/>
        </w:pBdr>
        <w:spacing w:before="50" w:after="50"/>
        <w:rPr>
          <w:rFonts w:ascii="Helvetica Neue" w:eastAsia="Helvetica Neue" w:hAnsi="Helvetica Neue" w:cs="Helvetica Neue"/>
          <w:b/>
          <w:sz w:val="20"/>
          <w:szCs w:val="20"/>
        </w:rPr>
      </w:pPr>
    </w:p>
    <w:p w14:paraId="678C9376" w14:textId="77777777" w:rsidR="007058F1" w:rsidRDefault="00ED1797">
      <w:pPr>
        <w:pBdr>
          <w:top w:val="nil"/>
          <w:left w:val="nil"/>
          <w:bottom w:val="nil"/>
          <w:right w:val="nil"/>
          <w:between w:val="nil"/>
        </w:pBdr>
        <w:spacing w:before="50" w:after="50"/>
        <w:rPr>
          <w:rFonts w:ascii="Helvetica Neue" w:eastAsia="Helvetica Neue" w:hAnsi="Helvetica Neue" w:cs="Helvetica Neue"/>
          <w:sz w:val="22"/>
          <w:szCs w:val="22"/>
        </w:rPr>
      </w:pPr>
      <w:r>
        <w:rPr>
          <w:rFonts w:ascii="Helvetica Neue" w:eastAsia="Helvetica Neue" w:hAnsi="Helvetica Neue" w:cs="Helvetica Neue"/>
          <w:b/>
          <w:color w:val="000000"/>
          <w:sz w:val="22"/>
          <w:szCs w:val="22"/>
        </w:rPr>
        <w:t xml:space="preserve">Description: </w:t>
      </w:r>
      <w:r>
        <w:rPr>
          <w:rFonts w:ascii="Helvetica Neue" w:eastAsia="Helvetica Neue" w:hAnsi="Helvetica Neue" w:cs="Helvetica Neue"/>
        </w:rPr>
        <w:t xml:space="preserve"> </w:t>
      </w:r>
      <w:r>
        <w:rPr>
          <w:rFonts w:ascii="Helvetica Neue" w:eastAsia="Helvetica Neue" w:hAnsi="Helvetica Neue" w:cs="Helvetica Neue"/>
          <w:sz w:val="22"/>
          <w:szCs w:val="22"/>
        </w:rPr>
        <w:t xml:space="preserve">Leaving the EU will mean the wholesale rates EU network operators charge UK operators will become unconstrained by regulation. The rate UK network operators charge EU operators will similarly be unconstrained. The cost of EU-UK roaming will be set commercially by each operator. </w:t>
      </w:r>
    </w:p>
    <w:p w14:paraId="17021147" w14:textId="77777777" w:rsidR="007058F1" w:rsidRDefault="007058F1">
      <w:pPr>
        <w:pBdr>
          <w:top w:val="nil"/>
          <w:left w:val="nil"/>
          <w:bottom w:val="nil"/>
          <w:right w:val="nil"/>
          <w:between w:val="nil"/>
        </w:pBdr>
        <w:spacing w:before="50" w:after="50"/>
        <w:rPr>
          <w:rFonts w:ascii="Helvetica Neue" w:eastAsia="Helvetica Neue" w:hAnsi="Helvetica Neue" w:cs="Helvetica Neue"/>
          <w:sz w:val="22"/>
          <w:szCs w:val="22"/>
        </w:rPr>
      </w:pPr>
    </w:p>
    <w:p w14:paraId="455D8A7D" w14:textId="77777777" w:rsidR="007058F1" w:rsidRDefault="00ED1797">
      <w:pPr>
        <w:pBdr>
          <w:top w:val="nil"/>
          <w:left w:val="nil"/>
          <w:bottom w:val="nil"/>
          <w:right w:val="nil"/>
          <w:between w:val="nil"/>
        </w:pBdr>
        <w:spacing w:before="50" w:after="5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In this scenario, the Statutory Instrument makes clear that operators are not subject to one-sided regulation, as it explicitly removes the retail roaming caps to which UK operators are currently subject. It also ensures that the transparency requirements on UK operators continue. This means that UK operators will be able to respond to changes in wholesale prices and pass on the cost of roaming to customers through surcharges. </w:t>
      </w:r>
    </w:p>
    <w:p w14:paraId="3096B201" w14:textId="77777777" w:rsidR="007058F1" w:rsidRDefault="007058F1">
      <w:pPr>
        <w:pBdr>
          <w:top w:val="nil"/>
          <w:left w:val="nil"/>
          <w:bottom w:val="nil"/>
          <w:right w:val="nil"/>
          <w:between w:val="nil"/>
        </w:pBdr>
        <w:spacing w:before="50" w:after="50"/>
        <w:rPr>
          <w:rFonts w:ascii="Helvetica Neue" w:eastAsia="Helvetica Neue" w:hAnsi="Helvetica Neue" w:cs="Helvetica Neue"/>
          <w:sz w:val="22"/>
          <w:szCs w:val="22"/>
        </w:rPr>
      </w:pPr>
    </w:p>
    <w:p w14:paraId="2037ACFA" w14:textId="77777777" w:rsidR="007058F1" w:rsidRDefault="007058F1">
      <w:pPr>
        <w:pBdr>
          <w:top w:val="nil"/>
          <w:left w:val="nil"/>
          <w:bottom w:val="nil"/>
          <w:right w:val="nil"/>
          <w:between w:val="nil"/>
        </w:pBdr>
        <w:spacing w:before="50" w:after="50"/>
        <w:rPr>
          <w:rFonts w:ascii="Helvetica Neue" w:eastAsia="Helvetica Neue" w:hAnsi="Helvetica Neue" w:cs="Helvetica Neue"/>
          <w:sz w:val="20"/>
          <w:szCs w:val="20"/>
        </w:rPr>
      </w:pPr>
    </w:p>
    <w:p w14:paraId="12F3B9C8" w14:textId="77777777" w:rsidR="007058F1" w:rsidRDefault="00ED1797">
      <w:pPr>
        <w:pBdr>
          <w:top w:val="nil"/>
          <w:left w:val="nil"/>
          <w:bottom w:val="nil"/>
          <w:right w:val="nil"/>
          <w:between w:val="nil"/>
        </w:pBdr>
        <w:spacing w:before="50" w:after="50"/>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FULL ECONOMIC ASSESSMENT</w:t>
      </w:r>
    </w:p>
    <w:tbl>
      <w:tblPr>
        <w:tblStyle w:val="a6"/>
        <w:tblW w:w="1022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6"/>
        <w:gridCol w:w="1260"/>
        <w:gridCol w:w="1440"/>
        <w:gridCol w:w="1800"/>
        <w:gridCol w:w="1827"/>
        <w:gridCol w:w="2632"/>
      </w:tblGrid>
      <w:tr w:rsidR="007058F1" w14:paraId="3290AD0A" w14:textId="77777777">
        <w:tc>
          <w:tcPr>
            <w:tcW w:w="1266" w:type="dxa"/>
            <w:shd w:val="clear" w:color="auto" w:fill="auto"/>
            <w:tcMar>
              <w:top w:w="0" w:type="dxa"/>
              <w:left w:w="0" w:type="dxa"/>
              <w:bottom w:w="0" w:type="dxa"/>
              <w:right w:w="0" w:type="dxa"/>
            </w:tcMar>
          </w:tcPr>
          <w:p w14:paraId="2B2AE1A8"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Price Base Year  </w:t>
            </w:r>
          </w:p>
        </w:tc>
        <w:tc>
          <w:tcPr>
            <w:tcW w:w="1260" w:type="dxa"/>
            <w:shd w:val="clear" w:color="auto" w:fill="auto"/>
            <w:tcMar>
              <w:top w:w="0" w:type="dxa"/>
              <w:left w:w="0" w:type="dxa"/>
              <w:bottom w:w="0" w:type="dxa"/>
              <w:right w:w="0" w:type="dxa"/>
            </w:tcMar>
          </w:tcPr>
          <w:p w14:paraId="271FC61F"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PV Base Year  </w:t>
            </w:r>
          </w:p>
        </w:tc>
        <w:tc>
          <w:tcPr>
            <w:tcW w:w="1440" w:type="dxa"/>
            <w:shd w:val="clear" w:color="auto" w:fill="auto"/>
            <w:tcMar>
              <w:top w:w="0" w:type="dxa"/>
              <w:left w:w="0" w:type="dxa"/>
              <w:bottom w:w="0" w:type="dxa"/>
              <w:right w:w="0" w:type="dxa"/>
            </w:tcMar>
          </w:tcPr>
          <w:p w14:paraId="09004FCF"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Time Period Years  </w:t>
            </w:r>
          </w:p>
        </w:tc>
        <w:tc>
          <w:tcPr>
            <w:tcW w:w="6259" w:type="dxa"/>
            <w:gridSpan w:val="3"/>
            <w:shd w:val="clear" w:color="auto" w:fill="FFFFFF"/>
            <w:tcMar>
              <w:top w:w="0" w:type="dxa"/>
              <w:left w:w="0" w:type="dxa"/>
              <w:bottom w:w="0" w:type="dxa"/>
              <w:right w:w="0" w:type="dxa"/>
            </w:tcMar>
          </w:tcPr>
          <w:p w14:paraId="6C0262AE" w14:textId="77777777" w:rsidR="007058F1" w:rsidRDefault="00ED1797">
            <w:pPr>
              <w:pBdr>
                <w:top w:val="nil"/>
                <w:left w:val="nil"/>
                <w:bottom w:val="nil"/>
                <w:right w:val="nil"/>
                <w:between w:val="nil"/>
              </w:pBdr>
              <w:spacing w:before="50" w:after="50"/>
              <w:ind w:left="113" w:right="113"/>
              <w:jc w:val="center"/>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Net Benefit (Present Value (PV)) (£m)</w:t>
            </w:r>
          </w:p>
        </w:tc>
      </w:tr>
      <w:tr w:rsidR="007058F1" w14:paraId="606EEB88" w14:textId="77777777">
        <w:tc>
          <w:tcPr>
            <w:tcW w:w="1266" w:type="dxa"/>
            <w:shd w:val="clear" w:color="auto" w:fill="auto"/>
            <w:tcMar>
              <w:top w:w="0" w:type="dxa"/>
              <w:left w:w="0" w:type="dxa"/>
              <w:bottom w:w="0" w:type="dxa"/>
              <w:right w:w="0" w:type="dxa"/>
            </w:tcMar>
          </w:tcPr>
          <w:p w14:paraId="734B2DF9" w14:textId="77777777" w:rsidR="007058F1" w:rsidRDefault="00ED1797">
            <w:pPr>
              <w:pBdr>
                <w:top w:val="nil"/>
                <w:left w:val="nil"/>
                <w:bottom w:val="nil"/>
                <w:right w:val="nil"/>
                <w:between w:val="nil"/>
              </w:pBdr>
              <w:spacing w:before="60" w:after="60"/>
              <w:ind w:right="113"/>
              <w:rPr>
                <w:rFonts w:ascii="Helvetica Neue" w:eastAsia="Helvetica Neue" w:hAnsi="Helvetica Neue" w:cs="Helvetica Neue"/>
                <w:b/>
                <w:color w:val="000000"/>
                <w:sz w:val="20"/>
                <w:szCs w:val="20"/>
              </w:rPr>
            </w:pPr>
            <w:r>
              <w:rPr>
                <w:rFonts w:ascii="Helvetica Neue" w:eastAsia="Helvetica Neue" w:hAnsi="Helvetica Neue" w:cs="Helvetica Neue"/>
                <w:b/>
                <w:sz w:val="20"/>
                <w:szCs w:val="20"/>
              </w:rPr>
              <w:t>n/a</w:t>
            </w:r>
          </w:p>
        </w:tc>
        <w:tc>
          <w:tcPr>
            <w:tcW w:w="1260" w:type="dxa"/>
            <w:shd w:val="clear" w:color="auto" w:fill="auto"/>
            <w:tcMar>
              <w:top w:w="0" w:type="dxa"/>
              <w:left w:w="0" w:type="dxa"/>
              <w:bottom w:w="0" w:type="dxa"/>
              <w:right w:w="0" w:type="dxa"/>
            </w:tcMar>
          </w:tcPr>
          <w:p w14:paraId="262FA564" w14:textId="77777777" w:rsidR="007058F1" w:rsidRDefault="00ED1797">
            <w:pPr>
              <w:pBdr>
                <w:top w:val="nil"/>
                <w:left w:val="nil"/>
                <w:bottom w:val="nil"/>
                <w:right w:val="nil"/>
                <w:between w:val="nil"/>
              </w:pBdr>
              <w:spacing w:before="60" w:after="60"/>
              <w:ind w:right="113"/>
              <w:rPr>
                <w:rFonts w:ascii="Helvetica Neue" w:eastAsia="Helvetica Neue" w:hAnsi="Helvetica Neue" w:cs="Helvetica Neue"/>
                <w:b/>
                <w:color w:val="000000"/>
                <w:sz w:val="20"/>
                <w:szCs w:val="20"/>
              </w:rPr>
            </w:pPr>
            <w:r>
              <w:rPr>
                <w:rFonts w:ascii="Helvetica Neue" w:eastAsia="Helvetica Neue" w:hAnsi="Helvetica Neue" w:cs="Helvetica Neue"/>
                <w:b/>
                <w:sz w:val="20"/>
                <w:szCs w:val="20"/>
              </w:rPr>
              <w:t>n/a</w:t>
            </w:r>
          </w:p>
        </w:tc>
        <w:tc>
          <w:tcPr>
            <w:tcW w:w="1440" w:type="dxa"/>
            <w:shd w:val="clear" w:color="auto" w:fill="auto"/>
            <w:tcMar>
              <w:top w:w="0" w:type="dxa"/>
              <w:left w:w="0" w:type="dxa"/>
              <w:bottom w:w="0" w:type="dxa"/>
              <w:right w:w="0" w:type="dxa"/>
            </w:tcMar>
          </w:tcPr>
          <w:p w14:paraId="0CE8B197" w14:textId="77777777" w:rsidR="007058F1" w:rsidRDefault="00ED1797">
            <w:pPr>
              <w:pBdr>
                <w:top w:val="nil"/>
                <w:left w:val="nil"/>
                <w:bottom w:val="nil"/>
                <w:right w:val="nil"/>
                <w:between w:val="nil"/>
              </w:pBdr>
              <w:spacing w:before="60" w:after="60"/>
              <w:ind w:right="113"/>
              <w:rPr>
                <w:rFonts w:ascii="Helvetica Neue" w:eastAsia="Helvetica Neue" w:hAnsi="Helvetica Neue" w:cs="Helvetica Neue"/>
                <w:b/>
                <w:color w:val="000000"/>
                <w:sz w:val="20"/>
                <w:szCs w:val="20"/>
              </w:rPr>
            </w:pPr>
            <w:r>
              <w:rPr>
                <w:rFonts w:ascii="Helvetica Neue" w:eastAsia="Helvetica Neue" w:hAnsi="Helvetica Neue" w:cs="Helvetica Neue"/>
                <w:b/>
                <w:sz w:val="20"/>
                <w:szCs w:val="20"/>
              </w:rPr>
              <w:t>n/a</w:t>
            </w:r>
          </w:p>
        </w:tc>
        <w:tc>
          <w:tcPr>
            <w:tcW w:w="1800" w:type="dxa"/>
            <w:shd w:val="clear" w:color="auto" w:fill="auto"/>
            <w:tcMar>
              <w:top w:w="0" w:type="dxa"/>
              <w:left w:w="0" w:type="dxa"/>
              <w:bottom w:w="0" w:type="dxa"/>
              <w:right w:w="0" w:type="dxa"/>
            </w:tcMar>
          </w:tcPr>
          <w:p w14:paraId="55F1B38A"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color w:val="000000"/>
                <w:sz w:val="20"/>
                <w:szCs w:val="20"/>
              </w:rPr>
            </w:pPr>
            <w:r>
              <w:rPr>
                <w:rFonts w:ascii="Helvetica Neue" w:eastAsia="Helvetica Neue" w:hAnsi="Helvetica Neue" w:cs="Helvetica Neue"/>
                <w:b/>
                <w:color w:val="000000"/>
                <w:sz w:val="20"/>
                <w:szCs w:val="20"/>
              </w:rPr>
              <w:t xml:space="preserve">Low: </w:t>
            </w:r>
            <w:r>
              <w:rPr>
                <w:rFonts w:ascii="Helvetica Neue" w:eastAsia="Helvetica Neue" w:hAnsi="Helvetica Neue" w:cs="Helvetica Neue"/>
                <w:color w:val="000000"/>
                <w:sz w:val="20"/>
                <w:szCs w:val="20"/>
              </w:rPr>
              <w:t>Optional</w:t>
            </w:r>
          </w:p>
        </w:tc>
        <w:tc>
          <w:tcPr>
            <w:tcW w:w="1827" w:type="dxa"/>
            <w:shd w:val="clear" w:color="auto" w:fill="auto"/>
            <w:tcMar>
              <w:top w:w="0" w:type="dxa"/>
              <w:left w:w="0" w:type="dxa"/>
              <w:bottom w:w="0" w:type="dxa"/>
              <w:right w:w="0" w:type="dxa"/>
            </w:tcMar>
          </w:tcPr>
          <w:p w14:paraId="34818C20"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color w:val="000000"/>
                <w:sz w:val="20"/>
                <w:szCs w:val="20"/>
              </w:rPr>
            </w:pPr>
            <w:r>
              <w:rPr>
                <w:rFonts w:ascii="Helvetica Neue" w:eastAsia="Helvetica Neue" w:hAnsi="Helvetica Neue" w:cs="Helvetica Neue"/>
                <w:b/>
                <w:color w:val="000000"/>
                <w:sz w:val="20"/>
                <w:szCs w:val="20"/>
              </w:rPr>
              <w:t xml:space="preserve">High: </w:t>
            </w:r>
            <w:r>
              <w:rPr>
                <w:rFonts w:ascii="Helvetica Neue" w:eastAsia="Helvetica Neue" w:hAnsi="Helvetica Neue" w:cs="Helvetica Neue"/>
                <w:color w:val="000000"/>
                <w:sz w:val="20"/>
                <w:szCs w:val="20"/>
              </w:rPr>
              <w:t>Optional</w:t>
            </w:r>
          </w:p>
        </w:tc>
        <w:tc>
          <w:tcPr>
            <w:tcW w:w="2632" w:type="dxa"/>
            <w:shd w:val="clear" w:color="auto" w:fill="FFFFFF"/>
            <w:tcMar>
              <w:top w:w="0" w:type="dxa"/>
              <w:left w:w="0" w:type="dxa"/>
              <w:bottom w:w="0" w:type="dxa"/>
              <w:right w:w="0" w:type="dxa"/>
            </w:tcMar>
          </w:tcPr>
          <w:p w14:paraId="68E97D0B"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Best Estimate: n/a</w:t>
            </w:r>
          </w:p>
        </w:tc>
      </w:tr>
    </w:tbl>
    <w:p w14:paraId="1A4EA6C3" w14:textId="77777777" w:rsidR="007058F1" w:rsidRDefault="007058F1">
      <w:pPr>
        <w:pBdr>
          <w:top w:val="nil"/>
          <w:left w:val="nil"/>
          <w:bottom w:val="nil"/>
          <w:right w:val="nil"/>
          <w:between w:val="nil"/>
        </w:pBdr>
        <w:rPr>
          <w:rFonts w:ascii="Helvetica Neue" w:eastAsia="Helvetica Neue" w:hAnsi="Helvetica Neue" w:cs="Helvetica Neue"/>
          <w:b/>
          <w:color w:val="000000"/>
          <w:sz w:val="20"/>
          <w:szCs w:val="20"/>
        </w:rPr>
      </w:pPr>
    </w:p>
    <w:tbl>
      <w:tblPr>
        <w:tblStyle w:val="a7"/>
        <w:tblW w:w="1023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6"/>
        <w:gridCol w:w="1948"/>
        <w:gridCol w:w="790"/>
        <w:gridCol w:w="2865"/>
        <w:gridCol w:w="1776"/>
        <w:gridCol w:w="860"/>
      </w:tblGrid>
      <w:tr w:rsidR="007058F1" w14:paraId="3C1D61EF" w14:textId="77777777">
        <w:tc>
          <w:tcPr>
            <w:tcW w:w="1996" w:type="dxa"/>
            <w:shd w:val="clear" w:color="auto" w:fill="FFFFFF"/>
            <w:tcMar>
              <w:top w:w="0" w:type="dxa"/>
              <w:left w:w="0" w:type="dxa"/>
              <w:bottom w:w="0" w:type="dxa"/>
              <w:right w:w="0" w:type="dxa"/>
            </w:tcMar>
          </w:tcPr>
          <w:p w14:paraId="56603EF6"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rPr>
            </w:pPr>
            <w:r>
              <w:rPr>
                <w:rFonts w:ascii="Helvetica Neue" w:eastAsia="Helvetica Neue" w:hAnsi="Helvetica Neue" w:cs="Helvetica Neue"/>
                <w:b/>
                <w:color w:val="000000"/>
              </w:rPr>
              <w:t>COSTS (£m)</w:t>
            </w:r>
          </w:p>
        </w:tc>
        <w:tc>
          <w:tcPr>
            <w:tcW w:w="2738" w:type="dxa"/>
            <w:gridSpan w:val="2"/>
            <w:shd w:val="clear" w:color="auto" w:fill="auto"/>
            <w:tcMar>
              <w:top w:w="0" w:type="dxa"/>
              <w:left w:w="0" w:type="dxa"/>
              <w:bottom w:w="0" w:type="dxa"/>
              <w:right w:w="0" w:type="dxa"/>
            </w:tcMar>
          </w:tcPr>
          <w:p w14:paraId="455C3F14" w14:textId="77777777" w:rsidR="007058F1" w:rsidRDefault="00ED1797">
            <w:pPr>
              <w:pBdr>
                <w:top w:val="nil"/>
                <w:left w:val="nil"/>
                <w:bottom w:val="nil"/>
                <w:right w:val="nil"/>
                <w:between w:val="nil"/>
              </w:pBdr>
              <w:tabs>
                <w:tab w:val="right" w:pos="1800"/>
                <w:tab w:val="center" w:pos="2340"/>
              </w:tabs>
              <w:spacing w:before="50" w:after="50"/>
              <w:ind w:left="113" w:right="113"/>
              <w:jc w:val="right"/>
              <w:rPr>
                <w:rFonts w:ascii="Helvetica Neue" w:eastAsia="Helvetica Neue" w:hAnsi="Helvetica Neue" w:cs="Helvetica Neue"/>
                <w:color w:val="000000"/>
                <w:sz w:val="18"/>
                <w:szCs w:val="18"/>
              </w:rPr>
            </w:pPr>
            <w:r>
              <w:rPr>
                <w:rFonts w:ascii="Helvetica Neue" w:eastAsia="Helvetica Neue" w:hAnsi="Helvetica Neue" w:cs="Helvetica Neue"/>
                <w:b/>
                <w:color w:val="000000"/>
                <w:sz w:val="20"/>
                <w:szCs w:val="20"/>
              </w:rPr>
              <w:t xml:space="preserve">Total Transition </w:t>
            </w:r>
            <w:r>
              <w:rPr>
                <w:rFonts w:ascii="Helvetica Neue" w:eastAsia="Helvetica Neue" w:hAnsi="Helvetica Neue" w:cs="Helvetica Neue"/>
                <w:b/>
                <w:color w:val="000000"/>
                <w:sz w:val="20"/>
                <w:szCs w:val="20"/>
              </w:rPr>
              <w:br/>
            </w:r>
            <w:r>
              <w:rPr>
                <w:rFonts w:ascii="Helvetica Neue" w:eastAsia="Helvetica Neue" w:hAnsi="Helvetica Neue" w:cs="Helvetica Neue"/>
                <w:b/>
                <w:color w:val="000000"/>
                <w:sz w:val="20"/>
                <w:szCs w:val="20"/>
              </w:rPr>
              <w:tab/>
            </w:r>
            <w:r>
              <w:rPr>
                <w:rFonts w:ascii="Helvetica Neue" w:eastAsia="Helvetica Neue" w:hAnsi="Helvetica Neue" w:cs="Helvetica Neue"/>
                <w:color w:val="000000"/>
                <w:sz w:val="18"/>
                <w:szCs w:val="18"/>
              </w:rPr>
              <w:t>(Constant Price)</w:t>
            </w:r>
            <w:r>
              <w:rPr>
                <w:rFonts w:ascii="Helvetica Neue" w:eastAsia="Helvetica Neue" w:hAnsi="Helvetica Neue" w:cs="Helvetica Neue"/>
                <w:b/>
                <w:color w:val="000000"/>
                <w:sz w:val="20"/>
                <w:szCs w:val="20"/>
              </w:rPr>
              <w:tab/>
            </w:r>
            <w:r>
              <w:rPr>
                <w:rFonts w:ascii="Helvetica Neue" w:eastAsia="Helvetica Neue" w:hAnsi="Helvetica Neue" w:cs="Helvetica Neue"/>
                <w:color w:val="000000"/>
                <w:sz w:val="18"/>
                <w:szCs w:val="18"/>
              </w:rPr>
              <w:t>Years</w:t>
            </w:r>
          </w:p>
          <w:p w14:paraId="7EECC8B0" w14:textId="77777777" w:rsidR="007058F1" w:rsidRDefault="00ED1797">
            <w:pPr>
              <w:pBdr>
                <w:top w:val="nil"/>
                <w:left w:val="nil"/>
                <w:bottom w:val="nil"/>
                <w:right w:val="nil"/>
                <w:between w:val="nil"/>
              </w:pBdr>
              <w:spacing w:before="50" w:after="50"/>
              <w:ind w:left="113" w:right="113"/>
              <w:jc w:val="right"/>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br/>
            </w:r>
          </w:p>
        </w:tc>
        <w:tc>
          <w:tcPr>
            <w:tcW w:w="2865" w:type="dxa"/>
            <w:shd w:val="clear" w:color="auto" w:fill="auto"/>
            <w:tcMar>
              <w:top w:w="0" w:type="dxa"/>
              <w:left w:w="0" w:type="dxa"/>
              <w:bottom w:w="0" w:type="dxa"/>
              <w:right w:w="0" w:type="dxa"/>
            </w:tcMar>
          </w:tcPr>
          <w:p w14:paraId="5CDC13C1" w14:textId="77777777" w:rsidR="007058F1" w:rsidRDefault="00ED1797">
            <w:pPr>
              <w:pBdr>
                <w:top w:val="nil"/>
                <w:left w:val="nil"/>
                <w:bottom w:val="nil"/>
                <w:right w:val="nil"/>
                <w:between w:val="nil"/>
              </w:pBdr>
              <w:spacing w:before="50" w:after="50"/>
              <w:ind w:left="113" w:right="113"/>
              <w:jc w:val="right"/>
              <w:rPr>
                <w:rFonts w:ascii="Helvetica Neue" w:eastAsia="Helvetica Neue" w:hAnsi="Helvetica Neue" w:cs="Helvetica Neue"/>
                <w:color w:val="000000"/>
                <w:sz w:val="18"/>
                <w:szCs w:val="18"/>
              </w:rPr>
            </w:pPr>
            <w:r>
              <w:rPr>
                <w:rFonts w:ascii="Helvetica Neue" w:eastAsia="Helvetica Neue" w:hAnsi="Helvetica Neue" w:cs="Helvetica Neue"/>
                <w:b/>
                <w:color w:val="000000"/>
                <w:sz w:val="20"/>
                <w:szCs w:val="20"/>
              </w:rPr>
              <w:t xml:space="preserve">Average Annual </w:t>
            </w:r>
            <w:r>
              <w:rPr>
                <w:rFonts w:ascii="Helvetica Neue" w:eastAsia="Helvetica Neue" w:hAnsi="Helvetica Neue" w:cs="Helvetica Neue"/>
                <w:b/>
                <w:color w:val="000000"/>
                <w:sz w:val="20"/>
                <w:szCs w:val="20"/>
              </w:rPr>
              <w:br/>
            </w:r>
            <w:r>
              <w:rPr>
                <w:rFonts w:ascii="Helvetica Neue" w:eastAsia="Helvetica Neue" w:hAnsi="Helvetica Neue" w:cs="Helvetica Neue"/>
                <w:color w:val="000000"/>
                <w:sz w:val="18"/>
                <w:szCs w:val="18"/>
              </w:rPr>
              <w:t>(excl. Transition) (Constant Price)</w:t>
            </w:r>
          </w:p>
        </w:tc>
        <w:tc>
          <w:tcPr>
            <w:tcW w:w="2636" w:type="dxa"/>
            <w:gridSpan w:val="2"/>
            <w:shd w:val="clear" w:color="auto" w:fill="auto"/>
            <w:tcMar>
              <w:top w:w="0" w:type="dxa"/>
              <w:left w:w="0" w:type="dxa"/>
              <w:bottom w:w="0" w:type="dxa"/>
              <w:right w:w="0" w:type="dxa"/>
            </w:tcMar>
          </w:tcPr>
          <w:p w14:paraId="01EEAADC" w14:textId="77777777" w:rsidR="007058F1" w:rsidRDefault="00ED1797">
            <w:pPr>
              <w:pBdr>
                <w:top w:val="nil"/>
                <w:left w:val="nil"/>
                <w:bottom w:val="nil"/>
                <w:right w:val="nil"/>
                <w:between w:val="nil"/>
              </w:pBdr>
              <w:spacing w:before="50" w:after="50"/>
              <w:ind w:left="113" w:right="113"/>
              <w:jc w:val="right"/>
              <w:rPr>
                <w:rFonts w:ascii="Helvetica Neue" w:eastAsia="Helvetica Neue" w:hAnsi="Helvetica Neue" w:cs="Helvetica Neue"/>
                <w:color w:val="000000"/>
                <w:sz w:val="18"/>
                <w:szCs w:val="18"/>
              </w:rPr>
            </w:pPr>
            <w:r>
              <w:rPr>
                <w:rFonts w:ascii="Helvetica Neue" w:eastAsia="Helvetica Neue" w:hAnsi="Helvetica Neue" w:cs="Helvetica Neue"/>
                <w:b/>
                <w:color w:val="000000"/>
                <w:sz w:val="20"/>
                <w:szCs w:val="20"/>
              </w:rPr>
              <w:t>Total Cost</w:t>
            </w:r>
            <w:r>
              <w:rPr>
                <w:rFonts w:ascii="Helvetica Neue" w:eastAsia="Helvetica Neue" w:hAnsi="Helvetica Neue" w:cs="Helvetica Neue"/>
                <w:color w:val="000000"/>
                <w:sz w:val="18"/>
                <w:szCs w:val="18"/>
              </w:rPr>
              <w:t xml:space="preserve"> </w:t>
            </w:r>
            <w:r>
              <w:rPr>
                <w:rFonts w:ascii="Helvetica Neue" w:eastAsia="Helvetica Neue" w:hAnsi="Helvetica Neue" w:cs="Helvetica Neue"/>
                <w:color w:val="000000"/>
                <w:sz w:val="18"/>
                <w:szCs w:val="18"/>
              </w:rPr>
              <w:br/>
              <w:t>(Present Value)</w:t>
            </w:r>
          </w:p>
        </w:tc>
      </w:tr>
      <w:tr w:rsidR="007058F1" w14:paraId="519EB982" w14:textId="77777777">
        <w:trPr>
          <w:trHeight w:val="200"/>
        </w:trPr>
        <w:tc>
          <w:tcPr>
            <w:tcW w:w="1996" w:type="dxa"/>
            <w:shd w:val="clear" w:color="auto" w:fill="auto"/>
            <w:tcMar>
              <w:top w:w="0" w:type="dxa"/>
              <w:left w:w="0" w:type="dxa"/>
              <w:bottom w:w="0" w:type="dxa"/>
              <w:right w:w="0" w:type="dxa"/>
            </w:tcMar>
            <w:vAlign w:val="center"/>
          </w:tcPr>
          <w:p w14:paraId="4E42E784"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Low </w:t>
            </w:r>
          </w:p>
        </w:tc>
        <w:tc>
          <w:tcPr>
            <w:tcW w:w="1948" w:type="dxa"/>
            <w:shd w:val="clear" w:color="auto" w:fill="auto"/>
            <w:tcMar>
              <w:top w:w="0" w:type="dxa"/>
              <w:left w:w="0" w:type="dxa"/>
              <w:bottom w:w="0" w:type="dxa"/>
              <w:right w:w="0" w:type="dxa"/>
            </w:tcMar>
            <w:vAlign w:val="center"/>
          </w:tcPr>
          <w:p w14:paraId="77B88DB0" w14:textId="09E4FD7E" w:rsidR="007058F1" w:rsidRDefault="00ED1797">
            <w:pPr>
              <w:pBdr>
                <w:top w:val="nil"/>
                <w:left w:val="nil"/>
                <w:bottom w:val="nil"/>
                <w:right w:val="nil"/>
                <w:between w:val="nil"/>
              </w:pBdr>
              <w:spacing w:before="50" w:after="50"/>
              <w:ind w:left="113" w:right="113"/>
              <w:jc w:val="right"/>
              <w:rPr>
                <w:rFonts w:ascii="Helvetica Neue" w:eastAsia="Helvetica Neue" w:hAnsi="Helvetica Neue" w:cs="Helvetica Neue"/>
                <w:color w:val="000000"/>
                <w:sz w:val="20"/>
                <w:szCs w:val="20"/>
              </w:rPr>
            </w:pPr>
            <w:r w:rsidRPr="006B61F1">
              <w:rPr>
                <w:rFonts w:ascii="Helvetica Neue" w:eastAsia="Helvetica Neue" w:hAnsi="Helvetica Neue" w:cs="Helvetica Neue"/>
                <w:sz w:val="20"/>
                <w:szCs w:val="20"/>
              </w:rPr>
              <w:t>Optional</w:t>
            </w:r>
          </w:p>
        </w:tc>
        <w:tc>
          <w:tcPr>
            <w:tcW w:w="790" w:type="dxa"/>
            <w:vMerge w:val="restart"/>
            <w:shd w:val="clear" w:color="auto" w:fill="auto"/>
            <w:tcMar>
              <w:top w:w="0" w:type="dxa"/>
              <w:left w:w="0" w:type="dxa"/>
              <w:bottom w:w="0" w:type="dxa"/>
              <w:right w:w="0" w:type="dxa"/>
            </w:tcMar>
            <w:vAlign w:val="center"/>
          </w:tcPr>
          <w:p w14:paraId="7E2097DD" w14:textId="77777777" w:rsidR="007058F1" w:rsidRDefault="00ED1797">
            <w:pPr>
              <w:spacing w:before="50" w:after="50"/>
              <w:ind w:left="113" w:right="113"/>
              <w:jc w:val="right"/>
              <w:rPr>
                <w:rFonts w:ascii="Helvetica Neue" w:eastAsia="Helvetica Neue" w:hAnsi="Helvetica Neue" w:cs="Helvetica Neue"/>
                <w:color w:val="000000"/>
                <w:sz w:val="20"/>
                <w:szCs w:val="20"/>
              </w:rPr>
            </w:pPr>
            <w:r>
              <w:rPr>
                <w:rFonts w:ascii="Helvetica Neue" w:eastAsia="Helvetica Neue" w:hAnsi="Helvetica Neue" w:cs="Helvetica Neue"/>
                <w:sz w:val="20"/>
                <w:szCs w:val="20"/>
              </w:rPr>
              <w:t>n/a</w:t>
            </w:r>
          </w:p>
        </w:tc>
        <w:tc>
          <w:tcPr>
            <w:tcW w:w="2865" w:type="dxa"/>
            <w:shd w:val="clear" w:color="auto" w:fill="auto"/>
            <w:tcMar>
              <w:top w:w="0" w:type="dxa"/>
              <w:left w:w="0" w:type="dxa"/>
              <w:bottom w:w="0" w:type="dxa"/>
              <w:right w:w="0" w:type="dxa"/>
            </w:tcMar>
            <w:vAlign w:val="center"/>
          </w:tcPr>
          <w:p w14:paraId="436EEE19" w14:textId="30DD7350" w:rsidR="007058F1" w:rsidRDefault="00ED1797">
            <w:pPr>
              <w:spacing w:before="50" w:after="50"/>
              <w:ind w:left="113" w:right="113"/>
              <w:jc w:val="right"/>
              <w:rPr>
                <w:rFonts w:ascii="Helvetica Neue" w:eastAsia="Helvetica Neue" w:hAnsi="Helvetica Neue" w:cs="Helvetica Neue"/>
                <w:color w:val="000000"/>
                <w:sz w:val="20"/>
                <w:szCs w:val="20"/>
              </w:rPr>
            </w:pPr>
            <w:r w:rsidRPr="006B61F1">
              <w:rPr>
                <w:rFonts w:ascii="Helvetica Neue" w:eastAsia="Helvetica Neue" w:hAnsi="Helvetica Neue" w:cs="Helvetica Neue"/>
                <w:sz w:val="20"/>
                <w:szCs w:val="20"/>
              </w:rPr>
              <w:t>Optional</w:t>
            </w:r>
          </w:p>
        </w:tc>
        <w:tc>
          <w:tcPr>
            <w:tcW w:w="2636" w:type="dxa"/>
            <w:gridSpan w:val="2"/>
            <w:shd w:val="clear" w:color="auto" w:fill="auto"/>
            <w:tcMar>
              <w:top w:w="0" w:type="dxa"/>
              <w:left w:w="0" w:type="dxa"/>
              <w:bottom w:w="0" w:type="dxa"/>
              <w:right w:w="0" w:type="dxa"/>
            </w:tcMar>
            <w:vAlign w:val="center"/>
          </w:tcPr>
          <w:p w14:paraId="11B115D1" w14:textId="3A9D81CE" w:rsidR="007058F1" w:rsidRDefault="00ED1797">
            <w:pPr>
              <w:spacing w:before="50" w:after="50"/>
              <w:ind w:left="113" w:right="113"/>
              <w:jc w:val="right"/>
              <w:rPr>
                <w:rFonts w:ascii="Helvetica Neue" w:eastAsia="Helvetica Neue" w:hAnsi="Helvetica Neue" w:cs="Helvetica Neue"/>
                <w:b/>
                <w:color w:val="000000"/>
                <w:sz w:val="20"/>
                <w:szCs w:val="20"/>
              </w:rPr>
            </w:pPr>
            <w:r w:rsidRPr="006B61F1">
              <w:rPr>
                <w:rFonts w:ascii="Helvetica Neue" w:eastAsia="Helvetica Neue" w:hAnsi="Helvetica Neue" w:cs="Helvetica Neue"/>
                <w:sz w:val="20"/>
                <w:szCs w:val="20"/>
              </w:rPr>
              <w:t>Optional</w:t>
            </w:r>
          </w:p>
        </w:tc>
      </w:tr>
      <w:tr w:rsidR="007058F1" w14:paraId="2CB35FB1" w14:textId="77777777">
        <w:trPr>
          <w:trHeight w:val="200"/>
        </w:trPr>
        <w:tc>
          <w:tcPr>
            <w:tcW w:w="1996" w:type="dxa"/>
            <w:shd w:val="clear" w:color="auto" w:fill="auto"/>
            <w:tcMar>
              <w:top w:w="0" w:type="dxa"/>
              <w:left w:w="0" w:type="dxa"/>
              <w:bottom w:w="0" w:type="dxa"/>
              <w:right w:w="0" w:type="dxa"/>
            </w:tcMar>
            <w:vAlign w:val="center"/>
          </w:tcPr>
          <w:p w14:paraId="513F8E1C"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High </w:t>
            </w:r>
          </w:p>
        </w:tc>
        <w:tc>
          <w:tcPr>
            <w:tcW w:w="1948" w:type="dxa"/>
            <w:shd w:val="clear" w:color="auto" w:fill="auto"/>
            <w:tcMar>
              <w:top w:w="0" w:type="dxa"/>
              <w:left w:w="0" w:type="dxa"/>
              <w:bottom w:w="0" w:type="dxa"/>
              <w:right w:w="0" w:type="dxa"/>
            </w:tcMar>
            <w:vAlign w:val="center"/>
          </w:tcPr>
          <w:p w14:paraId="0E3BB8DE" w14:textId="47898916" w:rsidR="007058F1" w:rsidRDefault="00ED1797">
            <w:pPr>
              <w:spacing w:before="50" w:after="50"/>
              <w:ind w:left="113" w:right="113"/>
              <w:jc w:val="right"/>
              <w:rPr>
                <w:rFonts w:ascii="Helvetica Neue" w:eastAsia="Helvetica Neue" w:hAnsi="Helvetica Neue" w:cs="Helvetica Neue"/>
                <w:color w:val="000000"/>
                <w:sz w:val="20"/>
                <w:szCs w:val="20"/>
              </w:rPr>
            </w:pPr>
            <w:r w:rsidRPr="006B61F1">
              <w:rPr>
                <w:rFonts w:ascii="Helvetica Neue" w:eastAsia="Helvetica Neue" w:hAnsi="Helvetica Neue" w:cs="Helvetica Neue"/>
                <w:sz w:val="20"/>
                <w:szCs w:val="20"/>
              </w:rPr>
              <w:t>Optional</w:t>
            </w:r>
          </w:p>
        </w:tc>
        <w:tc>
          <w:tcPr>
            <w:tcW w:w="790" w:type="dxa"/>
            <w:vMerge/>
            <w:shd w:val="clear" w:color="auto" w:fill="auto"/>
            <w:tcMar>
              <w:top w:w="0" w:type="dxa"/>
              <w:left w:w="0" w:type="dxa"/>
              <w:bottom w:w="0" w:type="dxa"/>
              <w:right w:w="0" w:type="dxa"/>
            </w:tcMar>
            <w:vAlign w:val="center"/>
          </w:tcPr>
          <w:p w14:paraId="242FD752" w14:textId="77777777" w:rsidR="007058F1" w:rsidRDefault="007058F1">
            <w:pPr>
              <w:widowControl w:val="0"/>
              <w:pBdr>
                <w:top w:val="nil"/>
                <w:left w:val="nil"/>
                <w:bottom w:val="nil"/>
                <w:right w:val="nil"/>
                <w:between w:val="nil"/>
              </w:pBdr>
              <w:spacing w:line="276" w:lineRule="auto"/>
              <w:rPr>
                <w:rFonts w:ascii="Helvetica Neue" w:eastAsia="Helvetica Neue" w:hAnsi="Helvetica Neue" w:cs="Helvetica Neue"/>
                <w:color w:val="000000"/>
                <w:sz w:val="20"/>
                <w:szCs w:val="20"/>
              </w:rPr>
            </w:pPr>
          </w:p>
        </w:tc>
        <w:tc>
          <w:tcPr>
            <w:tcW w:w="2865" w:type="dxa"/>
            <w:shd w:val="clear" w:color="auto" w:fill="auto"/>
            <w:tcMar>
              <w:top w:w="0" w:type="dxa"/>
              <w:left w:w="0" w:type="dxa"/>
              <w:bottom w:w="0" w:type="dxa"/>
              <w:right w:w="0" w:type="dxa"/>
            </w:tcMar>
            <w:vAlign w:val="center"/>
          </w:tcPr>
          <w:p w14:paraId="5A6420E1" w14:textId="025CF540" w:rsidR="007058F1" w:rsidRDefault="00ED1797">
            <w:pPr>
              <w:spacing w:before="50" w:after="50"/>
              <w:ind w:left="113" w:right="113"/>
              <w:jc w:val="right"/>
              <w:rPr>
                <w:rFonts w:ascii="Helvetica Neue" w:eastAsia="Helvetica Neue" w:hAnsi="Helvetica Neue" w:cs="Helvetica Neue"/>
                <w:color w:val="000000"/>
                <w:sz w:val="20"/>
                <w:szCs w:val="20"/>
              </w:rPr>
            </w:pPr>
            <w:r w:rsidRPr="006B61F1">
              <w:rPr>
                <w:rFonts w:ascii="Helvetica Neue" w:eastAsia="Helvetica Neue" w:hAnsi="Helvetica Neue" w:cs="Helvetica Neue"/>
                <w:sz w:val="20"/>
                <w:szCs w:val="20"/>
              </w:rPr>
              <w:t>Optional</w:t>
            </w:r>
          </w:p>
        </w:tc>
        <w:tc>
          <w:tcPr>
            <w:tcW w:w="2636" w:type="dxa"/>
            <w:gridSpan w:val="2"/>
            <w:shd w:val="clear" w:color="auto" w:fill="auto"/>
            <w:tcMar>
              <w:top w:w="0" w:type="dxa"/>
              <w:left w:w="0" w:type="dxa"/>
              <w:bottom w:w="0" w:type="dxa"/>
              <w:right w:w="0" w:type="dxa"/>
            </w:tcMar>
            <w:vAlign w:val="center"/>
          </w:tcPr>
          <w:p w14:paraId="4E4E4B80" w14:textId="43394D13" w:rsidR="007058F1" w:rsidRDefault="00ED1797">
            <w:pPr>
              <w:spacing w:before="50" w:after="50"/>
              <w:ind w:left="113" w:right="113"/>
              <w:jc w:val="right"/>
              <w:rPr>
                <w:rFonts w:ascii="Helvetica Neue" w:eastAsia="Helvetica Neue" w:hAnsi="Helvetica Neue" w:cs="Helvetica Neue"/>
                <w:b/>
                <w:color w:val="000000"/>
                <w:sz w:val="20"/>
                <w:szCs w:val="20"/>
              </w:rPr>
            </w:pPr>
            <w:r w:rsidRPr="006B61F1">
              <w:rPr>
                <w:rFonts w:ascii="Helvetica Neue" w:eastAsia="Helvetica Neue" w:hAnsi="Helvetica Neue" w:cs="Helvetica Neue"/>
                <w:sz w:val="20"/>
                <w:szCs w:val="20"/>
              </w:rPr>
              <w:t>Optional</w:t>
            </w:r>
          </w:p>
        </w:tc>
      </w:tr>
      <w:tr w:rsidR="007058F1" w14:paraId="4A51174A" w14:textId="77777777">
        <w:trPr>
          <w:trHeight w:val="200"/>
        </w:trPr>
        <w:tc>
          <w:tcPr>
            <w:tcW w:w="1996" w:type="dxa"/>
            <w:shd w:val="clear" w:color="auto" w:fill="FFFFFF"/>
            <w:tcMar>
              <w:top w:w="0" w:type="dxa"/>
              <w:left w:w="0" w:type="dxa"/>
              <w:bottom w:w="0" w:type="dxa"/>
              <w:right w:w="0" w:type="dxa"/>
            </w:tcMar>
            <w:vAlign w:val="center"/>
          </w:tcPr>
          <w:p w14:paraId="786ADC3E"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Best Estimate</w:t>
            </w:r>
          </w:p>
          <w:p w14:paraId="369039A6" w14:textId="77777777" w:rsidR="007058F1" w:rsidRDefault="007058F1">
            <w:pPr>
              <w:pBdr>
                <w:top w:val="nil"/>
                <w:left w:val="nil"/>
                <w:bottom w:val="nil"/>
                <w:right w:val="nil"/>
                <w:between w:val="nil"/>
              </w:pBdr>
              <w:spacing w:before="96" w:after="60"/>
              <w:ind w:right="-22"/>
              <w:jc w:val="center"/>
              <w:rPr>
                <w:rFonts w:ascii="Helvetica Neue" w:eastAsia="Helvetica Neue" w:hAnsi="Helvetica Neue" w:cs="Helvetica Neue"/>
                <w:b/>
                <w:color w:val="000000"/>
                <w:sz w:val="20"/>
                <w:szCs w:val="20"/>
              </w:rPr>
            </w:pPr>
          </w:p>
        </w:tc>
        <w:tc>
          <w:tcPr>
            <w:tcW w:w="1948" w:type="dxa"/>
            <w:shd w:val="clear" w:color="auto" w:fill="FFFFFF"/>
            <w:tcMar>
              <w:top w:w="0" w:type="dxa"/>
              <w:left w:w="0" w:type="dxa"/>
              <w:bottom w:w="0" w:type="dxa"/>
              <w:right w:w="0" w:type="dxa"/>
            </w:tcMar>
            <w:vAlign w:val="center"/>
          </w:tcPr>
          <w:p w14:paraId="56006A59" w14:textId="77777777" w:rsidR="007058F1" w:rsidRDefault="00ED1797">
            <w:pPr>
              <w:spacing w:before="50" w:after="50"/>
              <w:ind w:left="113" w:right="113"/>
              <w:jc w:val="right"/>
              <w:rPr>
                <w:rFonts w:ascii="Helvetica Neue" w:eastAsia="Helvetica Neue" w:hAnsi="Helvetica Neue" w:cs="Helvetica Neue"/>
                <w:b/>
                <w:color w:val="000000"/>
                <w:sz w:val="20"/>
                <w:szCs w:val="20"/>
              </w:rPr>
            </w:pPr>
            <w:r>
              <w:rPr>
                <w:rFonts w:ascii="Helvetica Neue" w:eastAsia="Helvetica Neue" w:hAnsi="Helvetica Neue" w:cs="Helvetica Neue"/>
                <w:sz w:val="20"/>
                <w:szCs w:val="20"/>
              </w:rPr>
              <w:t>n/a</w:t>
            </w:r>
          </w:p>
        </w:tc>
        <w:tc>
          <w:tcPr>
            <w:tcW w:w="790" w:type="dxa"/>
            <w:vMerge/>
            <w:shd w:val="clear" w:color="auto" w:fill="auto"/>
            <w:tcMar>
              <w:top w:w="0" w:type="dxa"/>
              <w:left w:w="0" w:type="dxa"/>
              <w:bottom w:w="0" w:type="dxa"/>
              <w:right w:w="0" w:type="dxa"/>
            </w:tcMar>
            <w:vAlign w:val="center"/>
          </w:tcPr>
          <w:p w14:paraId="68FCB863" w14:textId="77777777" w:rsidR="007058F1" w:rsidRDefault="007058F1">
            <w:pPr>
              <w:widowControl w:val="0"/>
              <w:pBdr>
                <w:top w:val="nil"/>
                <w:left w:val="nil"/>
                <w:bottom w:val="nil"/>
                <w:right w:val="nil"/>
                <w:between w:val="nil"/>
              </w:pBdr>
              <w:spacing w:line="276" w:lineRule="auto"/>
              <w:rPr>
                <w:rFonts w:ascii="Helvetica Neue" w:eastAsia="Helvetica Neue" w:hAnsi="Helvetica Neue" w:cs="Helvetica Neue"/>
                <w:b/>
                <w:color w:val="000000"/>
                <w:sz w:val="20"/>
                <w:szCs w:val="20"/>
              </w:rPr>
            </w:pPr>
          </w:p>
        </w:tc>
        <w:tc>
          <w:tcPr>
            <w:tcW w:w="2865" w:type="dxa"/>
            <w:shd w:val="clear" w:color="auto" w:fill="auto"/>
            <w:tcMar>
              <w:top w:w="0" w:type="dxa"/>
              <w:left w:w="0" w:type="dxa"/>
              <w:bottom w:w="0" w:type="dxa"/>
              <w:right w:w="0" w:type="dxa"/>
            </w:tcMar>
            <w:vAlign w:val="center"/>
          </w:tcPr>
          <w:p w14:paraId="423AA8EC" w14:textId="77777777" w:rsidR="007058F1" w:rsidRDefault="00ED1797">
            <w:pPr>
              <w:spacing w:before="50" w:after="50"/>
              <w:ind w:left="113" w:right="113"/>
              <w:jc w:val="right"/>
              <w:rPr>
                <w:rFonts w:ascii="Helvetica Neue" w:eastAsia="Helvetica Neue" w:hAnsi="Helvetica Neue" w:cs="Helvetica Neue"/>
                <w:sz w:val="20"/>
                <w:szCs w:val="20"/>
              </w:rPr>
            </w:pPr>
            <w:r>
              <w:rPr>
                <w:rFonts w:ascii="Helvetica Neue" w:eastAsia="Helvetica Neue" w:hAnsi="Helvetica Neue" w:cs="Helvetica Neue"/>
                <w:sz w:val="20"/>
                <w:szCs w:val="20"/>
              </w:rPr>
              <w:t>n/a</w:t>
            </w:r>
          </w:p>
        </w:tc>
        <w:tc>
          <w:tcPr>
            <w:tcW w:w="2636" w:type="dxa"/>
            <w:gridSpan w:val="2"/>
            <w:shd w:val="clear" w:color="auto" w:fill="auto"/>
            <w:tcMar>
              <w:top w:w="0" w:type="dxa"/>
              <w:left w:w="0" w:type="dxa"/>
              <w:bottom w:w="0" w:type="dxa"/>
              <w:right w:w="0" w:type="dxa"/>
            </w:tcMar>
            <w:vAlign w:val="center"/>
          </w:tcPr>
          <w:p w14:paraId="5F6F4258" w14:textId="77777777" w:rsidR="007058F1" w:rsidRDefault="00ED1797">
            <w:pPr>
              <w:spacing w:before="50" w:after="50"/>
              <w:ind w:left="113" w:right="113"/>
              <w:jc w:val="right"/>
              <w:rPr>
                <w:rFonts w:ascii="Helvetica Neue" w:eastAsia="Helvetica Neue" w:hAnsi="Helvetica Neue" w:cs="Helvetica Neue"/>
                <w:b/>
                <w:sz w:val="20"/>
                <w:szCs w:val="20"/>
              </w:rPr>
            </w:pPr>
            <w:r>
              <w:rPr>
                <w:rFonts w:ascii="Helvetica Neue" w:eastAsia="Helvetica Neue" w:hAnsi="Helvetica Neue" w:cs="Helvetica Neue"/>
                <w:b/>
                <w:sz w:val="20"/>
                <w:szCs w:val="20"/>
              </w:rPr>
              <w:t>n/a</w:t>
            </w:r>
          </w:p>
        </w:tc>
      </w:tr>
      <w:tr w:rsidR="007058F1" w14:paraId="69BB6FA1" w14:textId="77777777">
        <w:tc>
          <w:tcPr>
            <w:tcW w:w="10235" w:type="dxa"/>
            <w:gridSpan w:val="6"/>
            <w:shd w:val="clear" w:color="auto" w:fill="auto"/>
            <w:tcMar>
              <w:top w:w="0" w:type="dxa"/>
              <w:left w:w="0" w:type="dxa"/>
              <w:bottom w:w="0" w:type="dxa"/>
              <w:right w:w="0" w:type="dxa"/>
            </w:tcMar>
          </w:tcPr>
          <w:p w14:paraId="23F74C40"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Description and scale of key monetised costs by ‘main affected groups’ </w:t>
            </w:r>
          </w:p>
          <w:p w14:paraId="6134E8F9" w14:textId="77777777" w:rsidR="007058F1" w:rsidRPr="006B61F1" w:rsidRDefault="00ED1797">
            <w:pPr>
              <w:ind w:left="113" w:right="113" w:firstLine="28"/>
              <w:rPr>
                <w:rFonts w:ascii="Helvetica Neue" w:eastAsia="Helvetica Neue" w:hAnsi="Helvetica Neue" w:cs="Helvetica Neue"/>
                <w:sz w:val="22"/>
                <w:szCs w:val="22"/>
              </w:rPr>
            </w:pPr>
            <w:r w:rsidRPr="006B61F1">
              <w:rPr>
                <w:rFonts w:ascii="Helvetica Neue" w:eastAsia="Helvetica Neue" w:hAnsi="Helvetica Neue" w:cs="Helvetica Neue"/>
                <w:sz w:val="22"/>
                <w:szCs w:val="22"/>
              </w:rPr>
              <w:t>Retaining the transparency requirements would incur minimal familiarisation cost to operators in that the currency of the default financial limit for mobile data usage whilst roaming would be converted from Euro to Sterling: from €50 to £45. Our best estimate for total costs to all operators is £10,000.</w:t>
            </w:r>
          </w:p>
          <w:p w14:paraId="45DA7B5D" w14:textId="084EADEC" w:rsidR="007058F1" w:rsidRDefault="007058F1">
            <w:pPr>
              <w:pBdr>
                <w:top w:val="nil"/>
                <w:left w:val="nil"/>
                <w:bottom w:val="nil"/>
                <w:right w:val="nil"/>
                <w:between w:val="nil"/>
              </w:pBdr>
              <w:ind w:right="113"/>
              <w:rPr>
                <w:rFonts w:ascii="Helvetica Neue" w:eastAsia="Helvetica Neue" w:hAnsi="Helvetica Neue" w:cs="Helvetica Neue"/>
                <w:sz w:val="22"/>
                <w:szCs w:val="22"/>
              </w:rPr>
            </w:pPr>
          </w:p>
        </w:tc>
      </w:tr>
      <w:tr w:rsidR="007058F1" w14:paraId="4A89BD56" w14:textId="77777777">
        <w:tc>
          <w:tcPr>
            <w:tcW w:w="10235" w:type="dxa"/>
            <w:gridSpan w:val="6"/>
            <w:shd w:val="clear" w:color="auto" w:fill="auto"/>
            <w:tcMar>
              <w:top w:w="0" w:type="dxa"/>
              <w:left w:w="0" w:type="dxa"/>
              <w:bottom w:w="0" w:type="dxa"/>
              <w:right w:w="0" w:type="dxa"/>
            </w:tcMar>
          </w:tcPr>
          <w:p w14:paraId="56B67351"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sz w:val="22"/>
                <w:szCs w:val="22"/>
              </w:rPr>
            </w:pPr>
            <w:r>
              <w:rPr>
                <w:rFonts w:ascii="Helvetica Neue" w:eastAsia="Helvetica Neue" w:hAnsi="Helvetica Neue" w:cs="Helvetica Neue"/>
                <w:b/>
                <w:color w:val="000000"/>
                <w:sz w:val="20"/>
                <w:szCs w:val="20"/>
              </w:rPr>
              <w:t xml:space="preserve">Other key non-monetised costs by ‘main affected groups’ </w:t>
            </w:r>
          </w:p>
          <w:p w14:paraId="3072BF9F" w14:textId="73EC5678" w:rsidR="007058F1" w:rsidRDefault="00ED1797">
            <w:pPr>
              <w:pBdr>
                <w:top w:val="nil"/>
                <w:left w:val="nil"/>
                <w:bottom w:val="nil"/>
                <w:right w:val="nil"/>
                <w:between w:val="nil"/>
              </w:pBdr>
              <w:ind w:left="113" w:right="113" w:firstLine="28"/>
              <w:rPr>
                <w:rFonts w:ascii="Helvetica Neue" w:eastAsia="Helvetica Neue" w:hAnsi="Helvetica Neue" w:cs="Helvetica Neue"/>
                <w:sz w:val="22"/>
                <w:szCs w:val="22"/>
              </w:rPr>
            </w:pPr>
            <w:r>
              <w:rPr>
                <w:rFonts w:ascii="Helvetica Neue" w:eastAsia="Helvetica Neue" w:hAnsi="Helvetica Neue" w:cs="Helvetica Neue"/>
                <w:sz w:val="22"/>
                <w:szCs w:val="22"/>
              </w:rPr>
              <w:t>If operators were to pass on costs as roaming surcharges, consumers (both business and individuals) would be able to consume fewer roaming services at a similar price. We set out below why this is linked to wholesale rates. UK operators losing access to capped wholesale rates is a function of no longer being party to the EU Roaming Regulation. It is not a function of this SI.</w:t>
            </w:r>
          </w:p>
          <w:p w14:paraId="3D2DFE65" w14:textId="77777777" w:rsidR="007058F1" w:rsidRDefault="007058F1">
            <w:pPr>
              <w:pBdr>
                <w:top w:val="nil"/>
                <w:left w:val="nil"/>
                <w:bottom w:val="nil"/>
                <w:right w:val="nil"/>
                <w:between w:val="nil"/>
              </w:pBdr>
              <w:ind w:left="113" w:right="113" w:firstLine="28"/>
              <w:rPr>
                <w:rFonts w:ascii="Helvetica Neue" w:eastAsia="Helvetica Neue" w:hAnsi="Helvetica Neue" w:cs="Helvetica Neue"/>
                <w:sz w:val="22"/>
                <w:szCs w:val="22"/>
              </w:rPr>
            </w:pPr>
          </w:p>
          <w:p w14:paraId="2885350C" w14:textId="77777777" w:rsidR="007058F1" w:rsidRDefault="00ED1797">
            <w:pPr>
              <w:pBdr>
                <w:top w:val="nil"/>
                <w:left w:val="nil"/>
                <w:bottom w:val="nil"/>
                <w:right w:val="nil"/>
                <w:between w:val="nil"/>
              </w:pBdr>
              <w:ind w:left="113" w:right="113" w:firstLine="28"/>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Other costs, such as those potentially arising from operator market power, are too uncertain to quantify. </w:t>
            </w:r>
          </w:p>
          <w:p w14:paraId="1950C45C" w14:textId="2C57C878" w:rsidR="007058F1" w:rsidRDefault="007058F1">
            <w:pPr>
              <w:pBdr>
                <w:top w:val="nil"/>
                <w:left w:val="nil"/>
                <w:bottom w:val="nil"/>
                <w:right w:val="nil"/>
                <w:between w:val="nil"/>
              </w:pBdr>
              <w:ind w:left="113" w:right="113"/>
              <w:rPr>
                <w:rFonts w:ascii="Helvetica Neue" w:eastAsia="Helvetica Neue" w:hAnsi="Helvetica Neue" w:cs="Helvetica Neue"/>
                <w:sz w:val="22"/>
                <w:szCs w:val="22"/>
                <w:highlight w:val="yellow"/>
              </w:rPr>
            </w:pPr>
          </w:p>
        </w:tc>
      </w:tr>
      <w:tr w:rsidR="007058F1" w14:paraId="2E7F9C21" w14:textId="77777777">
        <w:tc>
          <w:tcPr>
            <w:tcW w:w="1996" w:type="dxa"/>
            <w:shd w:val="clear" w:color="auto" w:fill="FFFFFF"/>
            <w:tcMar>
              <w:top w:w="0" w:type="dxa"/>
              <w:left w:w="0" w:type="dxa"/>
              <w:bottom w:w="0" w:type="dxa"/>
              <w:right w:w="0" w:type="dxa"/>
            </w:tcMar>
          </w:tcPr>
          <w:p w14:paraId="213163C3"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rPr>
            </w:pPr>
            <w:r>
              <w:rPr>
                <w:rFonts w:ascii="Helvetica Neue" w:eastAsia="Helvetica Neue" w:hAnsi="Helvetica Neue" w:cs="Helvetica Neue"/>
                <w:b/>
                <w:color w:val="000000"/>
              </w:rPr>
              <w:t>BENEFITS (£m)</w:t>
            </w:r>
          </w:p>
        </w:tc>
        <w:tc>
          <w:tcPr>
            <w:tcW w:w="2738" w:type="dxa"/>
            <w:gridSpan w:val="2"/>
            <w:shd w:val="clear" w:color="auto" w:fill="auto"/>
            <w:tcMar>
              <w:top w:w="0" w:type="dxa"/>
              <w:left w:w="0" w:type="dxa"/>
              <w:bottom w:w="0" w:type="dxa"/>
              <w:right w:w="0" w:type="dxa"/>
            </w:tcMar>
          </w:tcPr>
          <w:p w14:paraId="7ECCE94E" w14:textId="77777777" w:rsidR="007058F1" w:rsidRDefault="00ED1797">
            <w:pPr>
              <w:pBdr>
                <w:top w:val="nil"/>
                <w:left w:val="nil"/>
                <w:bottom w:val="nil"/>
                <w:right w:val="nil"/>
                <w:between w:val="nil"/>
              </w:pBdr>
              <w:tabs>
                <w:tab w:val="right" w:pos="1797"/>
                <w:tab w:val="center" w:pos="2340"/>
              </w:tabs>
              <w:spacing w:before="50" w:after="50"/>
              <w:ind w:left="113" w:right="113"/>
              <w:jc w:val="right"/>
              <w:rPr>
                <w:rFonts w:ascii="Helvetica Neue" w:eastAsia="Helvetica Neue" w:hAnsi="Helvetica Neue" w:cs="Helvetica Neue"/>
                <w:color w:val="000000"/>
                <w:sz w:val="18"/>
                <w:szCs w:val="18"/>
              </w:rPr>
            </w:pPr>
            <w:r>
              <w:rPr>
                <w:rFonts w:ascii="Helvetica Neue" w:eastAsia="Helvetica Neue" w:hAnsi="Helvetica Neue" w:cs="Helvetica Neue"/>
                <w:b/>
                <w:color w:val="000000"/>
                <w:sz w:val="20"/>
                <w:szCs w:val="20"/>
              </w:rPr>
              <w:t xml:space="preserve">Total Transition </w:t>
            </w:r>
            <w:r>
              <w:rPr>
                <w:rFonts w:ascii="Helvetica Neue" w:eastAsia="Helvetica Neue" w:hAnsi="Helvetica Neue" w:cs="Helvetica Neue"/>
                <w:b/>
                <w:color w:val="000000"/>
                <w:sz w:val="20"/>
                <w:szCs w:val="20"/>
              </w:rPr>
              <w:br/>
            </w:r>
            <w:r>
              <w:rPr>
                <w:rFonts w:ascii="Helvetica Neue" w:eastAsia="Helvetica Neue" w:hAnsi="Helvetica Neue" w:cs="Helvetica Neue"/>
                <w:b/>
                <w:color w:val="000000"/>
                <w:sz w:val="20"/>
                <w:szCs w:val="20"/>
              </w:rPr>
              <w:tab/>
            </w:r>
            <w:r>
              <w:rPr>
                <w:rFonts w:ascii="Helvetica Neue" w:eastAsia="Helvetica Neue" w:hAnsi="Helvetica Neue" w:cs="Helvetica Neue"/>
                <w:color w:val="000000"/>
                <w:sz w:val="18"/>
                <w:szCs w:val="18"/>
              </w:rPr>
              <w:t>(Constant Price)</w:t>
            </w:r>
            <w:r>
              <w:rPr>
                <w:rFonts w:ascii="Helvetica Neue" w:eastAsia="Helvetica Neue" w:hAnsi="Helvetica Neue" w:cs="Helvetica Neue"/>
                <w:b/>
                <w:color w:val="000000"/>
                <w:sz w:val="20"/>
                <w:szCs w:val="20"/>
              </w:rPr>
              <w:tab/>
            </w:r>
            <w:r>
              <w:rPr>
                <w:rFonts w:ascii="Helvetica Neue" w:eastAsia="Helvetica Neue" w:hAnsi="Helvetica Neue" w:cs="Helvetica Neue"/>
                <w:color w:val="000000"/>
                <w:sz w:val="18"/>
                <w:szCs w:val="18"/>
              </w:rPr>
              <w:t>Years</w:t>
            </w:r>
          </w:p>
          <w:p w14:paraId="161F61C1" w14:textId="77777777" w:rsidR="007058F1" w:rsidRDefault="00ED1797">
            <w:pPr>
              <w:pBdr>
                <w:top w:val="nil"/>
                <w:left w:val="nil"/>
                <w:bottom w:val="nil"/>
                <w:right w:val="nil"/>
                <w:between w:val="nil"/>
              </w:pBdr>
              <w:spacing w:before="50" w:after="50"/>
              <w:ind w:left="113" w:right="113"/>
              <w:jc w:val="right"/>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br/>
            </w:r>
          </w:p>
        </w:tc>
        <w:tc>
          <w:tcPr>
            <w:tcW w:w="2865" w:type="dxa"/>
            <w:shd w:val="clear" w:color="auto" w:fill="auto"/>
            <w:tcMar>
              <w:top w:w="0" w:type="dxa"/>
              <w:left w:w="0" w:type="dxa"/>
              <w:bottom w:w="0" w:type="dxa"/>
              <w:right w:w="0" w:type="dxa"/>
            </w:tcMar>
          </w:tcPr>
          <w:p w14:paraId="4CF5EBE0" w14:textId="77777777" w:rsidR="007058F1" w:rsidRDefault="00ED1797">
            <w:pPr>
              <w:pBdr>
                <w:top w:val="nil"/>
                <w:left w:val="nil"/>
                <w:bottom w:val="nil"/>
                <w:right w:val="nil"/>
                <w:between w:val="nil"/>
              </w:pBdr>
              <w:spacing w:before="50" w:after="50"/>
              <w:ind w:left="113" w:right="113"/>
              <w:jc w:val="right"/>
              <w:rPr>
                <w:rFonts w:ascii="Helvetica Neue" w:eastAsia="Helvetica Neue" w:hAnsi="Helvetica Neue" w:cs="Helvetica Neue"/>
                <w:color w:val="000000"/>
                <w:sz w:val="18"/>
                <w:szCs w:val="18"/>
              </w:rPr>
            </w:pPr>
            <w:r>
              <w:rPr>
                <w:rFonts w:ascii="Helvetica Neue" w:eastAsia="Helvetica Neue" w:hAnsi="Helvetica Neue" w:cs="Helvetica Neue"/>
                <w:b/>
                <w:color w:val="000000"/>
                <w:sz w:val="20"/>
                <w:szCs w:val="20"/>
              </w:rPr>
              <w:t xml:space="preserve">Average Annual </w:t>
            </w:r>
            <w:r>
              <w:rPr>
                <w:rFonts w:ascii="Helvetica Neue" w:eastAsia="Helvetica Neue" w:hAnsi="Helvetica Neue" w:cs="Helvetica Neue"/>
                <w:b/>
                <w:color w:val="000000"/>
                <w:sz w:val="20"/>
                <w:szCs w:val="20"/>
              </w:rPr>
              <w:br/>
            </w:r>
            <w:r>
              <w:rPr>
                <w:rFonts w:ascii="Helvetica Neue" w:eastAsia="Helvetica Neue" w:hAnsi="Helvetica Neue" w:cs="Helvetica Neue"/>
                <w:color w:val="000000"/>
                <w:sz w:val="18"/>
                <w:szCs w:val="18"/>
              </w:rPr>
              <w:t>(excl. Transition) (Constant Price)</w:t>
            </w:r>
          </w:p>
        </w:tc>
        <w:tc>
          <w:tcPr>
            <w:tcW w:w="2636" w:type="dxa"/>
            <w:gridSpan w:val="2"/>
            <w:shd w:val="clear" w:color="auto" w:fill="auto"/>
            <w:tcMar>
              <w:top w:w="0" w:type="dxa"/>
              <w:left w:w="0" w:type="dxa"/>
              <w:bottom w:w="0" w:type="dxa"/>
              <w:right w:w="0" w:type="dxa"/>
            </w:tcMar>
          </w:tcPr>
          <w:p w14:paraId="1166C426" w14:textId="77777777" w:rsidR="007058F1" w:rsidRDefault="00ED1797">
            <w:pPr>
              <w:pBdr>
                <w:top w:val="nil"/>
                <w:left w:val="nil"/>
                <w:bottom w:val="nil"/>
                <w:right w:val="nil"/>
                <w:between w:val="nil"/>
              </w:pBdr>
              <w:spacing w:before="50" w:after="50"/>
              <w:ind w:left="113" w:right="113"/>
              <w:jc w:val="right"/>
              <w:rPr>
                <w:rFonts w:ascii="Helvetica Neue" w:eastAsia="Helvetica Neue" w:hAnsi="Helvetica Neue" w:cs="Helvetica Neue"/>
                <w:color w:val="000000"/>
                <w:sz w:val="18"/>
                <w:szCs w:val="18"/>
              </w:rPr>
            </w:pPr>
            <w:r>
              <w:rPr>
                <w:rFonts w:ascii="Helvetica Neue" w:eastAsia="Helvetica Neue" w:hAnsi="Helvetica Neue" w:cs="Helvetica Neue"/>
                <w:b/>
                <w:color w:val="000000"/>
                <w:sz w:val="20"/>
                <w:szCs w:val="20"/>
              </w:rPr>
              <w:t>Total Benefit</w:t>
            </w:r>
            <w:r>
              <w:rPr>
                <w:rFonts w:ascii="Helvetica Neue" w:eastAsia="Helvetica Neue" w:hAnsi="Helvetica Neue" w:cs="Helvetica Neue"/>
                <w:color w:val="000000"/>
                <w:sz w:val="18"/>
                <w:szCs w:val="18"/>
              </w:rPr>
              <w:t xml:space="preserve"> </w:t>
            </w:r>
            <w:r>
              <w:rPr>
                <w:rFonts w:ascii="Helvetica Neue" w:eastAsia="Helvetica Neue" w:hAnsi="Helvetica Neue" w:cs="Helvetica Neue"/>
                <w:color w:val="000000"/>
                <w:sz w:val="18"/>
                <w:szCs w:val="18"/>
              </w:rPr>
              <w:br/>
              <w:t>(Present Value)</w:t>
            </w:r>
          </w:p>
        </w:tc>
      </w:tr>
      <w:tr w:rsidR="007058F1" w14:paraId="2D9C566D" w14:textId="77777777">
        <w:trPr>
          <w:trHeight w:val="200"/>
        </w:trPr>
        <w:tc>
          <w:tcPr>
            <w:tcW w:w="1996" w:type="dxa"/>
            <w:shd w:val="clear" w:color="auto" w:fill="auto"/>
            <w:tcMar>
              <w:top w:w="0" w:type="dxa"/>
              <w:left w:w="0" w:type="dxa"/>
              <w:bottom w:w="0" w:type="dxa"/>
              <w:right w:w="0" w:type="dxa"/>
            </w:tcMar>
            <w:vAlign w:val="center"/>
          </w:tcPr>
          <w:p w14:paraId="70956BE9"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Low </w:t>
            </w:r>
          </w:p>
        </w:tc>
        <w:tc>
          <w:tcPr>
            <w:tcW w:w="1948" w:type="dxa"/>
            <w:shd w:val="clear" w:color="auto" w:fill="auto"/>
            <w:tcMar>
              <w:top w:w="0" w:type="dxa"/>
              <w:left w:w="0" w:type="dxa"/>
              <w:bottom w:w="0" w:type="dxa"/>
              <w:right w:w="0" w:type="dxa"/>
            </w:tcMar>
            <w:vAlign w:val="center"/>
          </w:tcPr>
          <w:p w14:paraId="2F59C640" w14:textId="3EB25FD6" w:rsidR="007058F1" w:rsidRDefault="00ED1797">
            <w:pPr>
              <w:spacing w:before="50" w:after="50"/>
              <w:ind w:left="113" w:right="113"/>
              <w:jc w:val="right"/>
              <w:rPr>
                <w:rFonts w:ascii="Helvetica Neue" w:eastAsia="Helvetica Neue" w:hAnsi="Helvetica Neue" w:cs="Helvetica Neue"/>
                <w:color w:val="000000"/>
                <w:sz w:val="20"/>
                <w:szCs w:val="20"/>
              </w:rPr>
            </w:pPr>
            <w:r w:rsidRPr="006B61F1">
              <w:rPr>
                <w:rFonts w:ascii="Helvetica Neue" w:eastAsia="Helvetica Neue" w:hAnsi="Helvetica Neue" w:cs="Helvetica Neue"/>
                <w:sz w:val="20"/>
                <w:szCs w:val="20"/>
              </w:rPr>
              <w:t>Optional</w:t>
            </w:r>
          </w:p>
        </w:tc>
        <w:tc>
          <w:tcPr>
            <w:tcW w:w="790" w:type="dxa"/>
            <w:vMerge w:val="restart"/>
            <w:shd w:val="clear" w:color="auto" w:fill="auto"/>
            <w:tcMar>
              <w:top w:w="0" w:type="dxa"/>
              <w:left w:w="0" w:type="dxa"/>
              <w:bottom w:w="0" w:type="dxa"/>
              <w:right w:w="0" w:type="dxa"/>
            </w:tcMar>
            <w:vAlign w:val="center"/>
          </w:tcPr>
          <w:p w14:paraId="221761CA" w14:textId="77777777" w:rsidR="007058F1" w:rsidRDefault="00ED1797">
            <w:pPr>
              <w:spacing w:before="50" w:after="50"/>
              <w:ind w:left="113" w:right="113"/>
              <w:jc w:val="right"/>
              <w:rPr>
                <w:rFonts w:ascii="Helvetica Neue" w:eastAsia="Helvetica Neue" w:hAnsi="Helvetica Neue" w:cs="Helvetica Neue"/>
                <w:color w:val="000000"/>
                <w:sz w:val="20"/>
                <w:szCs w:val="20"/>
              </w:rPr>
            </w:pPr>
            <w:r>
              <w:rPr>
                <w:rFonts w:ascii="Helvetica Neue" w:eastAsia="Helvetica Neue" w:hAnsi="Helvetica Neue" w:cs="Helvetica Neue"/>
                <w:sz w:val="20"/>
                <w:szCs w:val="20"/>
              </w:rPr>
              <w:t>n/a</w:t>
            </w:r>
          </w:p>
        </w:tc>
        <w:tc>
          <w:tcPr>
            <w:tcW w:w="2865" w:type="dxa"/>
            <w:shd w:val="clear" w:color="auto" w:fill="auto"/>
            <w:tcMar>
              <w:top w:w="0" w:type="dxa"/>
              <w:left w:w="0" w:type="dxa"/>
              <w:bottom w:w="0" w:type="dxa"/>
              <w:right w:w="0" w:type="dxa"/>
            </w:tcMar>
            <w:vAlign w:val="center"/>
          </w:tcPr>
          <w:p w14:paraId="760F425E" w14:textId="5C137014" w:rsidR="007058F1" w:rsidRDefault="00ED1797">
            <w:pPr>
              <w:spacing w:before="50" w:after="50"/>
              <w:ind w:left="113" w:right="113"/>
              <w:jc w:val="right"/>
              <w:rPr>
                <w:rFonts w:ascii="Helvetica Neue" w:eastAsia="Helvetica Neue" w:hAnsi="Helvetica Neue" w:cs="Helvetica Neue"/>
                <w:color w:val="000000"/>
                <w:sz w:val="20"/>
                <w:szCs w:val="20"/>
              </w:rPr>
            </w:pPr>
            <w:r w:rsidRPr="006B61F1">
              <w:rPr>
                <w:rFonts w:ascii="Helvetica Neue" w:eastAsia="Helvetica Neue" w:hAnsi="Helvetica Neue" w:cs="Helvetica Neue"/>
                <w:sz w:val="20"/>
                <w:szCs w:val="20"/>
              </w:rPr>
              <w:t>Optional</w:t>
            </w:r>
          </w:p>
        </w:tc>
        <w:tc>
          <w:tcPr>
            <w:tcW w:w="2636" w:type="dxa"/>
            <w:gridSpan w:val="2"/>
            <w:shd w:val="clear" w:color="auto" w:fill="auto"/>
            <w:tcMar>
              <w:top w:w="0" w:type="dxa"/>
              <w:left w:w="0" w:type="dxa"/>
              <w:bottom w:w="0" w:type="dxa"/>
              <w:right w:w="0" w:type="dxa"/>
            </w:tcMar>
            <w:vAlign w:val="center"/>
          </w:tcPr>
          <w:p w14:paraId="427214FF" w14:textId="70BF9936" w:rsidR="007058F1" w:rsidRDefault="00ED1797">
            <w:pPr>
              <w:spacing w:before="50" w:after="50"/>
              <w:ind w:left="113" w:right="113"/>
              <w:jc w:val="right"/>
              <w:rPr>
                <w:rFonts w:ascii="Helvetica Neue" w:eastAsia="Helvetica Neue" w:hAnsi="Helvetica Neue" w:cs="Helvetica Neue"/>
                <w:b/>
                <w:color w:val="000000"/>
                <w:sz w:val="20"/>
                <w:szCs w:val="20"/>
              </w:rPr>
            </w:pPr>
            <w:r w:rsidRPr="006B61F1">
              <w:rPr>
                <w:rFonts w:ascii="Helvetica Neue" w:eastAsia="Helvetica Neue" w:hAnsi="Helvetica Neue" w:cs="Helvetica Neue"/>
                <w:sz w:val="20"/>
                <w:szCs w:val="20"/>
              </w:rPr>
              <w:t>Optional</w:t>
            </w:r>
          </w:p>
        </w:tc>
      </w:tr>
      <w:tr w:rsidR="007058F1" w14:paraId="4037EC2D" w14:textId="77777777">
        <w:trPr>
          <w:trHeight w:val="200"/>
        </w:trPr>
        <w:tc>
          <w:tcPr>
            <w:tcW w:w="1996" w:type="dxa"/>
            <w:shd w:val="clear" w:color="auto" w:fill="auto"/>
            <w:tcMar>
              <w:top w:w="0" w:type="dxa"/>
              <w:left w:w="0" w:type="dxa"/>
              <w:bottom w:w="0" w:type="dxa"/>
              <w:right w:w="0" w:type="dxa"/>
            </w:tcMar>
            <w:vAlign w:val="center"/>
          </w:tcPr>
          <w:p w14:paraId="61AC5AA1"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High </w:t>
            </w:r>
          </w:p>
        </w:tc>
        <w:tc>
          <w:tcPr>
            <w:tcW w:w="1948" w:type="dxa"/>
            <w:shd w:val="clear" w:color="auto" w:fill="auto"/>
            <w:tcMar>
              <w:top w:w="0" w:type="dxa"/>
              <w:left w:w="0" w:type="dxa"/>
              <w:bottom w:w="0" w:type="dxa"/>
              <w:right w:w="0" w:type="dxa"/>
            </w:tcMar>
            <w:vAlign w:val="center"/>
          </w:tcPr>
          <w:p w14:paraId="2C1DB3D2" w14:textId="0165A6AE" w:rsidR="007058F1" w:rsidRDefault="00ED1797">
            <w:pPr>
              <w:spacing w:before="50" w:after="50"/>
              <w:ind w:left="113" w:right="113"/>
              <w:jc w:val="right"/>
              <w:rPr>
                <w:rFonts w:ascii="Helvetica Neue" w:eastAsia="Helvetica Neue" w:hAnsi="Helvetica Neue" w:cs="Helvetica Neue"/>
                <w:color w:val="000000"/>
                <w:sz w:val="20"/>
                <w:szCs w:val="20"/>
              </w:rPr>
            </w:pPr>
            <w:r w:rsidRPr="006B61F1">
              <w:rPr>
                <w:rFonts w:ascii="Helvetica Neue" w:eastAsia="Helvetica Neue" w:hAnsi="Helvetica Neue" w:cs="Helvetica Neue"/>
                <w:sz w:val="20"/>
                <w:szCs w:val="20"/>
              </w:rPr>
              <w:t>Optional</w:t>
            </w:r>
          </w:p>
        </w:tc>
        <w:tc>
          <w:tcPr>
            <w:tcW w:w="790" w:type="dxa"/>
            <w:vMerge/>
            <w:shd w:val="clear" w:color="auto" w:fill="auto"/>
            <w:tcMar>
              <w:top w:w="0" w:type="dxa"/>
              <w:left w:w="0" w:type="dxa"/>
              <w:bottom w:w="0" w:type="dxa"/>
              <w:right w:w="0" w:type="dxa"/>
            </w:tcMar>
            <w:vAlign w:val="center"/>
          </w:tcPr>
          <w:p w14:paraId="0A885742" w14:textId="77777777" w:rsidR="007058F1" w:rsidRDefault="007058F1">
            <w:pPr>
              <w:widowControl w:val="0"/>
              <w:pBdr>
                <w:top w:val="nil"/>
                <w:left w:val="nil"/>
                <w:bottom w:val="nil"/>
                <w:right w:val="nil"/>
                <w:between w:val="nil"/>
              </w:pBdr>
              <w:spacing w:line="276" w:lineRule="auto"/>
              <w:rPr>
                <w:rFonts w:ascii="Helvetica Neue" w:eastAsia="Helvetica Neue" w:hAnsi="Helvetica Neue" w:cs="Helvetica Neue"/>
                <w:color w:val="000000"/>
                <w:sz w:val="20"/>
                <w:szCs w:val="20"/>
              </w:rPr>
            </w:pPr>
          </w:p>
        </w:tc>
        <w:tc>
          <w:tcPr>
            <w:tcW w:w="2865" w:type="dxa"/>
            <w:shd w:val="clear" w:color="auto" w:fill="auto"/>
            <w:tcMar>
              <w:top w:w="0" w:type="dxa"/>
              <w:left w:w="0" w:type="dxa"/>
              <w:bottom w:w="0" w:type="dxa"/>
              <w:right w:w="0" w:type="dxa"/>
            </w:tcMar>
            <w:vAlign w:val="center"/>
          </w:tcPr>
          <w:p w14:paraId="2B883BE5" w14:textId="33B810A4" w:rsidR="007058F1" w:rsidRDefault="00ED1797">
            <w:pPr>
              <w:spacing w:before="50" w:after="50"/>
              <w:ind w:left="113" w:right="113"/>
              <w:jc w:val="right"/>
              <w:rPr>
                <w:rFonts w:ascii="Helvetica Neue" w:eastAsia="Helvetica Neue" w:hAnsi="Helvetica Neue" w:cs="Helvetica Neue"/>
                <w:color w:val="000000"/>
                <w:sz w:val="20"/>
                <w:szCs w:val="20"/>
              </w:rPr>
            </w:pPr>
            <w:r w:rsidRPr="006B61F1">
              <w:rPr>
                <w:rFonts w:ascii="Helvetica Neue" w:eastAsia="Helvetica Neue" w:hAnsi="Helvetica Neue" w:cs="Helvetica Neue"/>
                <w:sz w:val="20"/>
                <w:szCs w:val="20"/>
              </w:rPr>
              <w:t>Optional</w:t>
            </w:r>
          </w:p>
        </w:tc>
        <w:tc>
          <w:tcPr>
            <w:tcW w:w="2636" w:type="dxa"/>
            <w:gridSpan w:val="2"/>
            <w:shd w:val="clear" w:color="auto" w:fill="auto"/>
            <w:tcMar>
              <w:top w:w="0" w:type="dxa"/>
              <w:left w:w="0" w:type="dxa"/>
              <w:bottom w:w="0" w:type="dxa"/>
              <w:right w:w="0" w:type="dxa"/>
            </w:tcMar>
            <w:vAlign w:val="center"/>
          </w:tcPr>
          <w:p w14:paraId="246E8D85" w14:textId="37633C98" w:rsidR="007058F1" w:rsidRDefault="00ED1797">
            <w:pPr>
              <w:spacing w:before="50" w:after="50"/>
              <w:ind w:left="113" w:right="113"/>
              <w:jc w:val="right"/>
              <w:rPr>
                <w:rFonts w:ascii="Helvetica Neue" w:eastAsia="Helvetica Neue" w:hAnsi="Helvetica Neue" w:cs="Helvetica Neue"/>
                <w:b/>
                <w:color w:val="000000"/>
                <w:sz w:val="20"/>
                <w:szCs w:val="20"/>
              </w:rPr>
            </w:pPr>
            <w:r w:rsidRPr="006B61F1">
              <w:rPr>
                <w:rFonts w:ascii="Helvetica Neue" w:eastAsia="Helvetica Neue" w:hAnsi="Helvetica Neue" w:cs="Helvetica Neue"/>
                <w:sz w:val="20"/>
                <w:szCs w:val="20"/>
              </w:rPr>
              <w:t>Optional</w:t>
            </w:r>
          </w:p>
        </w:tc>
      </w:tr>
      <w:tr w:rsidR="007058F1" w14:paraId="49BE7B38" w14:textId="77777777">
        <w:trPr>
          <w:trHeight w:val="200"/>
        </w:trPr>
        <w:tc>
          <w:tcPr>
            <w:tcW w:w="1996" w:type="dxa"/>
            <w:shd w:val="clear" w:color="auto" w:fill="FFFFFF"/>
            <w:tcMar>
              <w:top w:w="0" w:type="dxa"/>
              <w:left w:w="0" w:type="dxa"/>
              <w:bottom w:w="0" w:type="dxa"/>
              <w:right w:w="0" w:type="dxa"/>
            </w:tcMar>
            <w:vAlign w:val="center"/>
          </w:tcPr>
          <w:p w14:paraId="3C6C516A"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Best Estimate</w:t>
            </w:r>
          </w:p>
          <w:p w14:paraId="227C2BE6" w14:textId="77777777" w:rsidR="007058F1" w:rsidRDefault="007058F1">
            <w:pPr>
              <w:pBdr>
                <w:top w:val="nil"/>
                <w:left w:val="nil"/>
                <w:bottom w:val="nil"/>
                <w:right w:val="nil"/>
                <w:between w:val="nil"/>
              </w:pBdr>
              <w:spacing w:before="96" w:after="60"/>
              <w:ind w:right="-22"/>
              <w:jc w:val="center"/>
              <w:rPr>
                <w:rFonts w:ascii="Helvetica Neue" w:eastAsia="Helvetica Neue" w:hAnsi="Helvetica Neue" w:cs="Helvetica Neue"/>
                <w:b/>
                <w:color w:val="000000"/>
                <w:sz w:val="20"/>
                <w:szCs w:val="20"/>
              </w:rPr>
            </w:pPr>
          </w:p>
        </w:tc>
        <w:tc>
          <w:tcPr>
            <w:tcW w:w="1948" w:type="dxa"/>
            <w:shd w:val="clear" w:color="auto" w:fill="FFFFFF"/>
            <w:tcMar>
              <w:top w:w="0" w:type="dxa"/>
              <w:left w:w="0" w:type="dxa"/>
              <w:bottom w:w="0" w:type="dxa"/>
              <w:right w:w="0" w:type="dxa"/>
            </w:tcMar>
            <w:vAlign w:val="center"/>
          </w:tcPr>
          <w:p w14:paraId="10ACC89C" w14:textId="77777777" w:rsidR="007058F1" w:rsidRDefault="00ED1797">
            <w:pPr>
              <w:spacing w:before="50" w:after="50"/>
              <w:ind w:left="113" w:right="113"/>
              <w:jc w:val="right"/>
              <w:rPr>
                <w:rFonts w:ascii="Helvetica Neue" w:eastAsia="Helvetica Neue" w:hAnsi="Helvetica Neue" w:cs="Helvetica Neue"/>
                <w:b/>
                <w:color w:val="000000"/>
                <w:sz w:val="20"/>
                <w:szCs w:val="20"/>
              </w:rPr>
            </w:pPr>
            <w:r>
              <w:rPr>
                <w:rFonts w:ascii="Helvetica Neue" w:eastAsia="Helvetica Neue" w:hAnsi="Helvetica Neue" w:cs="Helvetica Neue"/>
                <w:sz w:val="20"/>
                <w:szCs w:val="20"/>
              </w:rPr>
              <w:t>n/a</w:t>
            </w:r>
          </w:p>
        </w:tc>
        <w:tc>
          <w:tcPr>
            <w:tcW w:w="790" w:type="dxa"/>
            <w:vMerge/>
            <w:shd w:val="clear" w:color="auto" w:fill="auto"/>
            <w:tcMar>
              <w:top w:w="0" w:type="dxa"/>
              <w:left w:w="0" w:type="dxa"/>
              <w:bottom w:w="0" w:type="dxa"/>
              <w:right w:w="0" w:type="dxa"/>
            </w:tcMar>
            <w:vAlign w:val="center"/>
          </w:tcPr>
          <w:p w14:paraId="4F98C909" w14:textId="77777777" w:rsidR="007058F1" w:rsidRDefault="007058F1">
            <w:pPr>
              <w:widowControl w:val="0"/>
              <w:pBdr>
                <w:top w:val="nil"/>
                <w:left w:val="nil"/>
                <w:bottom w:val="nil"/>
                <w:right w:val="nil"/>
                <w:between w:val="nil"/>
              </w:pBdr>
              <w:spacing w:line="276" w:lineRule="auto"/>
              <w:rPr>
                <w:rFonts w:ascii="Helvetica Neue" w:eastAsia="Helvetica Neue" w:hAnsi="Helvetica Neue" w:cs="Helvetica Neue"/>
                <w:b/>
                <w:color w:val="000000"/>
                <w:sz w:val="20"/>
                <w:szCs w:val="20"/>
              </w:rPr>
            </w:pPr>
          </w:p>
        </w:tc>
        <w:tc>
          <w:tcPr>
            <w:tcW w:w="2865" w:type="dxa"/>
            <w:shd w:val="clear" w:color="auto" w:fill="FFFFFF"/>
            <w:tcMar>
              <w:top w:w="0" w:type="dxa"/>
              <w:left w:w="0" w:type="dxa"/>
              <w:bottom w:w="0" w:type="dxa"/>
              <w:right w:w="0" w:type="dxa"/>
            </w:tcMar>
            <w:vAlign w:val="center"/>
          </w:tcPr>
          <w:p w14:paraId="3365393C" w14:textId="77777777" w:rsidR="007058F1" w:rsidRDefault="00ED1797">
            <w:pPr>
              <w:spacing w:before="50" w:after="50"/>
              <w:ind w:left="113" w:right="113"/>
              <w:jc w:val="right"/>
              <w:rPr>
                <w:rFonts w:ascii="Helvetica Neue" w:eastAsia="Helvetica Neue" w:hAnsi="Helvetica Neue" w:cs="Helvetica Neue"/>
                <w:b/>
                <w:color w:val="000000"/>
                <w:sz w:val="20"/>
                <w:szCs w:val="20"/>
              </w:rPr>
            </w:pPr>
            <w:r>
              <w:rPr>
                <w:rFonts w:ascii="Helvetica Neue" w:eastAsia="Helvetica Neue" w:hAnsi="Helvetica Neue" w:cs="Helvetica Neue"/>
                <w:sz w:val="20"/>
                <w:szCs w:val="20"/>
              </w:rPr>
              <w:t>n/a</w:t>
            </w:r>
          </w:p>
        </w:tc>
        <w:tc>
          <w:tcPr>
            <w:tcW w:w="2636" w:type="dxa"/>
            <w:gridSpan w:val="2"/>
            <w:shd w:val="clear" w:color="auto" w:fill="FFFFFF"/>
            <w:tcMar>
              <w:top w:w="0" w:type="dxa"/>
              <w:left w:w="0" w:type="dxa"/>
              <w:bottom w:w="0" w:type="dxa"/>
              <w:right w:w="0" w:type="dxa"/>
            </w:tcMar>
            <w:vAlign w:val="center"/>
          </w:tcPr>
          <w:p w14:paraId="4D5179E7" w14:textId="77777777" w:rsidR="007058F1" w:rsidRDefault="00ED1797">
            <w:pPr>
              <w:spacing w:before="50" w:after="50"/>
              <w:ind w:left="113" w:right="113"/>
              <w:jc w:val="right"/>
              <w:rPr>
                <w:rFonts w:ascii="Helvetica Neue" w:eastAsia="Helvetica Neue" w:hAnsi="Helvetica Neue" w:cs="Helvetica Neue"/>
                <w:b/>
                <w:color w:val="000000"/>
                <w:sz w:val="20"/>
                <w:szCs w:val="20"/>
              </w:rPr>
            </w:pPr>
            <w:r>
              <w:rPr>
                <w:rFonts w:ascii="Helvetica Neue" w:eastAsia="Helvetica Neue" w:hAnsi="Helvetica Neue" w:cs="Helvetica Neue"/>
                <w:sz w:val="20"/>
                <w:szCs w:val="20"/>
              </w:rPr>
              <w:t>n/a</w:t>
            </w:r>
          </w:p>
        </w:tc>
      </w:tr>
      <w:tr w:rsidR="007058F1" w14:paraId="444B6286" w14:textId="77777777">
        <w:tc>
          <w:tcPr>
            <w:tcW w:w="10235" w:type="dxa"/>
            <w:gridSpan w:val="6"/>
            <w:shd w:val="clear" w:color="auto" w:fill="auto"/>
            <w:tcMar>
              <w:top w:w="0" w:type="dxa"/>
              <w:left w:w="0" w:type="dxa"/>
              <w:bottom w:w="0" w:type="dxa"/>
              <w:right w:w="0" w:type="dxa"/>
            </w:tcMar>
          </w:tcPr>
          <w:p w14:paraId="2B89E731"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lastRenderedPageBreak/>
              <w:t xml:space="preserve">Description and scale of key monetised benefits by ‘main affected groups’ </w:t>
            </w:r>
          </w:p>
          <w:p w14:paraId="64770017" w14:textId="77777777" w:rsidR="007058F1" w:rsidRDefault="00ED1797">
            <w:pPr>
              <w:pBdr>
                <w:top w:val="nil"/>
                <w:left w:val="nil"/>
                <w:bottom w:val="nil"/>
                <w:right w:val="nil"/>
                <w:between w:val="nil"/>
              </w:pBdr>
              <w:ind w:left="113" w:right="113" w:firstLine="28"/>
              <w:rPr>
                <w:rFonts w:ascii="Helvetica Neue" w:eastAsia="Helvetica Neue" w:hAnsi="Helvetica Neue" w:cs="Helvetica Neue"/>
                <w:color w:val="000000"/>
                <w:sz w:val="22"/>
                <w:szCs w:val="22"/>
              </w:rPr>
            </w:pPr>
            <w:r w:rsidRPr="006B61F1">
              <w:rPr>
                <w:rFonts w:ascii="Helvetica Neue" w:eastAsia="Helvetica Neue" w:hAnsi="Helvetica Neue" w:cs="Helvetica Neue"/>
                <w:sz w:val="22"/>
                <w:szCs w:val="22"/>
              </w:rPr>
              <w:t>Clarifying the status of retail caps would reduce legal uncertainty and reduce the legal fees incurred by mobile operators. We do not have reliable estimates for these savings, but we assume total savings may be in the range of £30,000 - £2,000,000.</w:t>
            </w:r>
          </w:p>
        </w:tc>
      </w:tr>
      <w:tr w:rsidR="007058F1" w14:paraId="1A26907C" w14:textId="77777777">
        <w:tc>
          <w:tcPr>
            <w:tcW w:w="10235" w:type="dxa"/>
            <w:gridSpan w:val="6"/>
            <w:shd w:val="clear" w:color="auto" w:fill="auto"/>
            <w:tcMar>
              <w:top w:w="0" w:type="dxa"/>
              <w:left w:w="0" w:type="dxa"/>
              <w:bottom w:w="0" w:type="dxa"/>
              <w:right w:w="0" w:type="dxa"/>
            </w:tcMar>
          </w:tcPr>
          <w:p w14:paraId="1B0F854D"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Other key non-monetised benefits by ‘main affected groups’ </w:t>
            </w:r>
          </w:p>
          <w:p w14:paraId="7B3824FF" w14:textId="77777777" w:rsidR="007058F1" w:rsidRDefault="00ED1797">
            <w:pPr>
              <w:pBdr>
                <w:top w:val="nil"/>
                <w:left w:val="nil"/>
                <w:bottom w:val="nil"/>
                <w:right w:val="nil"/>
                <w:between w:val="nil"/>
              </w:pBdr>
              <w:ind w:left="113" w:right="113" w:firstLine="28"/>
              <w:rPr>
                <w:rFonts w:ascii="Helvetica Neue" w:eastAsia="Helvetica Neue" w:hAnsi="Helvetica Neue" w:cs="Helvetica Neue"/>
                <w:sz w:val="22"/>
                <w:szCs w:val="22"/>
              </w:rPr>
            </w:pPr>
            <w:r>
              <w:rPr>
                <w:rFonts w:ascii="Helvetica Neue" w:eastAsia="Helvetica Neue" w:hAnsi="Helvetica Neue" w:cs="Helvetica Neue"/>
                <w:sz w:val="22"/>
                <w:szCs w:val="22"/>
              </w:rPr>
              <w:t>Total wholesale costs paid by UK operators to EU operators is equal or less with the SI compared to a ‘do nothing’ scenario.</w:t>
            </w:r>
          </w:p>
          <w:p w14:paraId="33F0557B" w14:textId="77777777" w:rsidR="007058F1" w:rsidRDefault="007058F1">
            <w:pPr>
              <w:pBdr>
                <w:top w:val="nil"/>
                <w:left w:val="nil"/>
                <w:bottom w:val="nil"/>
                <w:right w:val="nil"/>
                <w:between w:val="nil"/>
              </w:pBdr>
              <w:ind w:left="113" w:right="113" w:firstLine="28"/>
              <w:rPr>
                <w:rFonts w:ascii="Helvetica Neue" w:eastAsia="Helvetica Neue" w:hAnsi="Helvetica Neue" w:cs="Helvetica Neue"/>
                <w:sz w:val="22"/>
                <w:szCs w:val="22"/>
              </w:rPr>
            </w:pPr>
          </w:p>
          <w:p w14:paraId="260C197D" w14:textId="77777777" w:rsidR="007058F1" w:rsidRDefault="00ED1797">
            <w:pPr>
              <w:pBdr>
                <w:top w:val="nil"/>
                <w:left w:val="nil"/>
                <w:bottom w:val="nil"/>
                <w:right w:val="nil"/>
                <w:between w:val="nil"/>
              </w:pBdr>
              <w:ind w:left="113" w:right="113" w:firstLine="28"/>
              <w:rPr>
                <w:rFonts w:ascii="Helvetica Neue" w:eastAsia="Helvetica Neue" w:hAnsi="Helvetica Neue" w:cs="Helvetica Neue"/>
                <w:sz w:val="22"/>
                <w:szCs w:val="22"/>
                <w:highlight w:val="yellow"/>
              </w:rPr>
            </w:pPr>
            <w:r>
              <w:rPr>
                <w:rFonts w:ascii="Helvetica Neue" w:eastAsia="Helvetica Neue" w:hAnsi="Helvetica Neue" w:cs="Helvetica Neue"/>
                <w:sz w:val="22"/>
                <w:szCs w:val="22"/>
              </w:rPr>
              <w:t xml:space="preserve">Other potential benefits, such as the avoidance of certain risks to consumers, are too uncertain to quantify.  </w:t>
            </w:r>
          </w:p>
          <w:p w14:paraId="393AA707" w14:textId="4D825159" w:rsidR="007058F1" w:rsidRDefault="007058F1">
            <w:pPr>
              <w:pBdr>
                <w:top w:val="nil"/>
                <w:left w:val="nil"/>
                <w:bottom w:val="nil"/>
                <w:right w:val="nil"/>
                <w:between w:val="nil"/>
              </w:pBdr>
              <w:ind w:left="113" w:right="113" w:firstLine="28"/>
              <w:rPr>
                <w:rFonts w:ascii="Helvetica Neue" w:eastAsia="Helvetica Neue" w:hAnsi="Helvetica Neue" w:cs="Helvetica Neue"/>
                <w:color w:val="000000"/>
                <w:sz w:val="22"/>
                <w:szCs w:val="22"/>
              </w:rPr>
            </w:pPr>
          </w:p>
        </w:tc>
      </w:tr>
      <w:tr w:rsidR="007058F1" w14:paraId="3EB4E015" w14:textId="77777777">
        <w:tc>
          <w:tcPr>
            <w:tcW w:w="9375" w:type="dxa"/>
            <w:gridSpan w:val="5"/>
            <w:shd w:val="clear" w:color="auto" w:fill="auto"/>
            <w:tcMar>
              <w:top w:w="0" w:type="dxa"/>
              <w:left w:w="0" w:type="dxa"/>
              <w:bottom w:w="0" w:type="dxa"/>
              <w:right w:w="0" w:type="dxa"/>
            </w:tcMar>
          </w:tcPr>
          <w:p w14:paraId="5481AFD3" w14:textId="77777777" w:rsidR="007058F1" w:rsidRDefault="00ED1797">
            <w:pPr>
              <w:pBdr>
                <w:top w:val="nil"/>
                <w:left w:val="nil"/>
                <w:bottom w:val="nil"/>
                <w:right w:val="nil"/>
                <w:between w:val="nil"/>
              </w:pBdr>
              <w:tabs>
                <w:tab w:val="left" w:pos="7655"/>
              </w:tabs>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color w:val="000000"/>
                <w:sz w:val="20"/>
                <w:szCs w:val="20"/>
              </w:rPr>
              <w:t>Key assumptions/sensitivities/risks</w:t>
            </w:r>
            <w:r>
              <w:rPr>
                <w:rFonts w:ascii="Helvetica Neue" w:eastAsia="Helvetica Neue" w:hAnsi="Helvetica Neue" w:cs="Helvetica Neue"/>
                <w:b/>
                <w:color w:val="000000"/>
                <w:sz w:val="20"/>
                <w:szCs w:val="20"/>
              </w:rPr>
              <w:tab/>
              <w:t>Discount rate (%) n/a</w:t>
            </w:r>
          </w:p>
        </w:tc>
        <w:tc>
          <w:tcPr>
            <w:tcW w:w="860" w:type="dxa"/>
            <w:shd w:val="clear" w:color="auto" w:fill="auto"/>
            <w:tcMar>
              <w:top w:w="0" w:type="dxa"/>
              <w:left w:w="0" w:type="dxa"/>
              <w:bottom w:w="0" w:type="dxa"/>
              <w:right w:w="0" w:type="dxa"/>
            </w:tcMar>
          </w:tcPr>
          <w:p w14:paraId="0E431622" w14:textId="77777777" w:rsidR="007058F1" w:rsidRDefault="00ED1797">
            <w:pPr>
              <w:pBdr>
                <w:top w:val="nil"/>
                <w:left w:val="nil"/>
                <w:bottom w:val="nil"/>
                <w:right w:val="nil"/>
                <w:between w:val="nil"/>
              </w:pBdr>
              <w:spacing w:before="50" w:after="50"/>
              <w:ind w:right="113"/>
              <w:jc w:val="center"/>
              <w:rPr>
                <w:rFonts w:ascii="Helvetica Neue" w:eastAsia="Helvetica Neue" w:hAnsi="Helvetica Neue" w:cs="Helvetica Neue"/>
                <w:b/>
                <w:color w:val="000000"/>
                <w:sz w:val="20"/>
                <w:szCs w:val="20"/>
              </w:rPr>
            </w:pPr>
            <w:r>
              <w:rPr>
                <w:rFonts w:ascii="Helvetica Neue" w:eastAsia="Helvetica Neue" w:hAnsi="Helvetica Neue" w:cs="Helvetica Neue"/>
                <w:b/>
                <w:sz w:val="20"/>
                <w:szCs w:val="20"/>
              </w:rPr>
              <w:t>n/a</w:t>
            </w:r>
          </w:p>
        </w:tc>
      </w:tr>
      <w:tr w:rsidR="007058F1" w14:paraId="3C3CC5F5" w14:textId="77777777">
        <w:tc>
          <w:tcPr>
            <w:tcW w:w="10235" w:type="dxa"/>
            <w:gridSpan w:val="6"/>
            <w:shd w:val="clear" w:color="auto" w:fill="auto"/>
            <w:tcMar>
              <w:top w:w="0" w:type="dxa"/>
              <w:left w:w="0" w:type="dxa"/>
              <w:bottom w:w="0" w:type="dxa"/>
              <w:right w:w="0" w:type="dxa"/>
            </w:tcMar>
          </w:tcPr>
          <w:p w14:paraId="33A561DB" w14:textId="77777777" w:rsidR="007058F1" w:rsidRDefault="00ED1797">
            <w:pPr>
              <w:ind w:left="141" w:right="113"/>
              <w:rPr>
                <w:rFonts w:ascii="Helvetica Neue" w:eastAsia="Helvetica Neue" w:hAnsi="Helvetica Neue" w:cs="Helvetica Neue"/>
                <w:sz w:val="22"/>
                <w:szCs w:val="22"/>
              </w:rPr>
            </w:pPr>
            <w:r>
              <w:rPr>
                <w:rFonts w:ascii="Helvetica Neue" w:eastAsia="Helvetica Neue" w:hAnsi="Helvetica Neue" w:cs="Helvetica Neue"/>
                <w:sz w:val="22"/>
                <w:szCs w:val="22"/>
              </w:rPr>
              <w:t>Estimates for familiarisation costs and savings on legal fees are based on uncertain assumptions; in particular the costs per hour and number of hours involved.</w:t>
            </w:r>
          </w:p>
          <w:p w14:paraId="6AA7D8F6" w14:textId="77777777" w:rsidR="007058F1" w:rsidRDefault="007058F1">
            <w:pPr>
              <w:ind w:left="113" w:right="113" w:firstLine="28"/>
              <w:rPr>
                <w:rFonts w:ascii="Helvetica Neue" w:eastAsia="Helvetica Neue" w:hAnsi="Helvetica Neue" w:cs="Helvetica Neue"/>
                <w:sz w:val="22"/>
                <w:szCs w:val="22"/>
              </w:rPr>
            </w:pPr>
          </w:p>
          <w:p w14:paraId="443B3D5E" w14:textId="77777777" w:rsidR="007058F1" w:rsidRDefault="00ED1797">
            <w:pPr>
              <w:ind w:left="113" w:right="113" w:firstLine="28"/>
              <w:rPr>
                <w:rFonts w:ascii="Helvetica Neue" w:eastAsia="Helvetica Neue" w:hAnsi="Helvetica Neue" w:cs="Helvetica Neue"/>
                <w:sz w:val="22"/>
                <w:szCs w:val="22"/>
              </w:rPr>
            </w:pPr>
            <w:r>
              <w:rPr>
                <w:rFonts w:ascii="Helvetica Neue" w:eastAsia="Helvetica Neue" w:hAnsi="Helvetica Neue" w:cs="Helvetica Neue"/>
                <w:sz w:val="22"/>
                <w:szCs w:val="22"/>
              </w:rPr>
              <w:t>All potential costs and benefits discussed below, except for familiarisation costs and legal fees, are highly dependent on the assumptions made about outcomes in a ‘do nothing scenario’ where no legal clarity is provided.</w:t>
            </w:r>
          </w:p>
          <w:p w14:paraId="2FAE1D7C" w14:textId="77777777" w:rsidR="007058F1" w:rsidRDefault="007058F1">
            <w:pPr>
              <w:ind w:left="113" w:right="113" w:firstLine="28"/>
              <w:rPr>
                <w:rFonts w:ascii="Helvetica Neue" w:eastAsia="Helvetica Neue" w:hAnsi="Helvetica Neue" w:cs="Helvetica Neue"/>
                <w:sz w:val="22"/>
                <w:szCs w:val="22"/>
              </w:rPr>
            </w:pPr>
          </w:p>
          <w:p w14:paraId="45ADEBD3" w14:textId="77777777" w:rsidR="007058F1" w:rsidRPr="006B61F1" w:rsidRDefault="00ED1797" w:rsidP="006B61F1">
            <w:pPr>
              <w:ind w:left="113" w:right="113" w:firstLine="28"/>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impact of the scenarios considered will depend on mobile operators’ commercial negotiations with their counterpart mobile operators in the EU, and then how mobile operators choose to reflect any changes to their customers.  In the future, the impact would also be dependent on whether any provisions on roaming are included in the Future Economic Partnership between the UK and the EU. This any deal secured by the UK with the and/or through UK operators’ wholesale price negotiations with their EU on mobile roaming, which is currently unknown and subject to future negotiations. </w:t>
            </w:r>
          </w:p>
        </w:tc>
      </w:tr>
    </w:tbl>
    <w:p w14:paraId="02832CB6" w14:textId="77777777" w:rsidR="007058F1" w:rsidRDefault="007058F1">
      <w:pPr>
        <w:pBdr>
          <w:top w:val="nil"/>
          <w:left w:val="nil"/>
          <w:bottom w:val="nil"/>
          <w:right w:val="nil"/>
          <w:between w:val="nil"/>
        </w:pBdr>
        <w:rPr>
          <w:rFonts w:ascii="Helvetica Neue" w:eastAsia="Helvetica Neue" w:hAnsi="Helvetica Neue" w:cs="Helvetica Neue"/>
          <w:color w:val="000000"/>
          <w:sz w:val="22"/>
          <w:szCs w:val="22"/>
        </w:rPr>
      </w:pPr>
    </w:p>
    <w:p w14:paraId="7D56FA63" w14:textId="77777777" w:rsidR="007058F1" w:rsidRDefault="00ED1797">
      <w:pPr>
        <w:pBdr>
          <w:top w:val="nil"/>
          <w:left w:val="nil"/>
          <w:bottom w:val="nil"/>
          <w:right w:val="nil"/>
          <w:between w:val="nil"/>
        </w:pBdr>
        <w:spacing w:before="50" w:after="50"/>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BUSINESS ASSESSMENT (Option 1)</w:t>
      </w:r>
    </w:p>
    <w:tbl>
      <w:tblPr>
        <w:tblStyle w:val="a8"/>
        <w:tblW w:w="1021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8"/>
        <w:gridCol w:w="1843"/>
        <w:gridCol w:w="1701"/>
        <w:gridCol w:w="4823"/>
      </w:tblGrid>
      <w:tr w:rsidR="007058F1" w14:paraId="1B902CB7" w14:textId="77777777">
        <w:tc>
          <w:tcPr>
            <w:tcW w:w="5392" w:type="dxa"/>
            <w:gridSpan w:val="3"/>
            <w:shd w:val="clear" w:color="auto" w:fill="auto"/>
            <w:tcMar>
              <w:top w:w="0" w:type="dxa"/>
              <w:left w:w="0" w:type="dxa"/>
              <w:bottom w:w="0" w:type="dxa"/>
              <w:right w:w="0" w:type="dxa"/>
            </w:tcMar>
          </w:tcPr>
          <w:p w14:paraId="0CD0919F"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Direct impact on business (Equivalent Annual) £m: </w:t>
            </w:r>
          </w:p>
        </w:tc>
        <w:tc>
          <w:tcPr>
            <w:tcW w:w="4823" w:type="dxa"/>
            <w:shd w:val="clear" w:color="auto" w:fill="auto"/>
            <w:tcMar>
              <w:top w:w="0" w:type="dxa"/>
              <w:left w:w="0" w:type="dxa"/>
              <w:bottom w:w="0" w:type="dxa"/>
              <w:right w:w="0" w:type="dxa"/>
            </w:tcMar>
          </w:tcPr>
          <w:p w14:paraId="386F294C"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Score for Business Impact Target (qualifying provisions only) £m:</w:t>
            </w:r>
          </w:p>
        </w:tc>
      </w:tr>
      <w:tr w:rsidR="007058F1" w14:paraId="16FC1BA8" w14:textId="77777777">
        <w:tc>
          <w:tcPr>
            <w:tcW w:w="1848" w:type="dxa"/>
            <w:shd w:val="clear" w:color="auto" w:fill="FFFFFF"/>
            <w:tcMar>
              <w:top w:w="0" w:type="dxa"/>
              <w:left w:w="0" w:type="dxa"/>
              <w:bottom w:w="0" w:type="dxa"/>
              <w:right w:w="0" w:type="dxa"/>
            </w:tcMar>
          </w:tcPr>
          <w:p w14:paraId="051035BC"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Costs: </w:t>
            </w:r>
          </w:p>
        </w:tc>
        <w:tc>
          <w:tcPr>
            <w:tcW w:w="1843" w:type="dxa"/>
            <w:shd w:val="clear" w:color="auto" w:fill="FFFFFF"/>
            <w:tcMar>
              <w:top w:w="0" w:type="dxa"/>
              <w:left w:w="0" w:type="dxa"/>
              <w:bottom w:w="0" w:type="dxa"/>
              <w:right w:w="0" w:type="dxa"/>
            </w:tcMar>
          </w:tcPr>
          <w:p w14:paraId="59EA2B30"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Benefits: </w:t>
            </w:r>
          </w:p>
        </w:tc>
        <w:tc>
          <w:tcPr>
            <w:tcW w:w="1701" w:type="dxa"/>
            <w:shd w:val="clear" w:color="auto" w:fill="FFFFFF"/>
            <w:tcMar>
              <w:top w:w="0" w:type="dxa"/>
              <w:left w:w="0" w:type="dxa"/>
              <w:bottom w:w="0" w:type="dxa"/>
              <w:right w:w="0" w:type="dxa"/>
            </w:tcMar>
          </w:tcPr>
          <w:p w14:paraId="0787ABA1" w14:textId="77777777" w:rsidR="007058F1" w:rsidRDefault="00ED1797">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 xml:space="preserve">Net: </w:t>
            </w:r>
          </w:p>
        </w:tc>
        <w:tc>
          <w:tcPr>
            <w:tcW w:w="4823" w:type="dxa"/>
            <w:shd w:val="clear" w:color="auto" w:fill="FFFFFF"/>
            <w:tcMar>
              <w:top w:w="0" w:type="dxa"/>
              <w:left w:w="0" w:type="dxa"/>
              <w:bottom w:w="0" w:type="dxa"/>
              <w:right w:w="0" w:type="dxa"/>
            </w:tcMar>
          </w:tcPr>
          <w:p w14:paraId="7ACFF522" w14:textId="77777777" w:rsidR="007058F1" w:rsidRDefault="007058F1">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p>
        </w:tc>
      </w:tr>
      <w:tr w:rsidR="007058F1" w14:paraId="25D80E38" w14:textId="77777777">
        <w:tc>
          <w:tcPr>
            <w:tcW w:w="1848" w:type="dxa"/>
            <w:shd w:val="clear" w:color="auto" w:fill="FFFFFF"/>
            <w:tcMar>
              <w:top w:w="0" w:type="dxa"/>
              <w:left w:w="0" w:type="dxa"/>
              <w:bottom w:w="0" w:type="dxa"/>
              <w:right w:w="0" w:type="dxa"/>
            </w:tcMar>
          </w:tcPr>
          <w:p w14:paraId="60BDAAB6" w14:textId="77777777" w:rsidR="007058F1" w:rsidRDefault="00ED1797">
            <w:pPr>
              <w:spacing w:before="50" w:after="50"/>
              <w:ind w:left="113" w:right="113"/>
              <w:jc w:val="right"/>
              <w:rPr>
                <w:rFonts w:ascii="Helvetica Neue" w:eastAsia="Helvetica Neue" w:hAnsi="Helvetica Neue" w:cs="Helvetica Neue"/>
                <w:b/>
                <w:color w:val="000000"/>
                <w:sz w:val="20"/>
                <w:szCs w:val="20"/>
              </w:rPr>
            </w:pPr>
            <w:r>
              <w:rPr>
                <w:rFonts w:ascii="Helvetica Neue" w:eastAsia="Helvetica Neue" w:hAnsi="Helvetica Neue" w:cs="Helvetica Neue"/>
                <w:sz w:val="20"/>
                <w:szCs w:val="20"/>
              </w:rPr>
              <w:t>n/a</w:t>
            </w:r>
          </w:p>
        </w:tc>
        <w:tc>
          <w:tcPr>
            <w:tcW w:w="1843" w:type="dxa"/>
            <w:shd w:val="clear" w:color="auto" w:fill="FFFFFF"/>
            <w:tcMar>
              <w:top w:w="0" w:type="dxa"/>
              <w:left w:w="0" w:type="dxa"/>
              <w:bottom w:w="0" w:type="dxa"/>
              <w:right w:w="0" w:type="dxa"/>
            </w:tcMar>
          </w:tcPr>
          <w:p w14:paraId="674AE82C" w14:textId="77777777" w:rsidR="007058F1" w:rsidRDefault="00ED1797">
            <w:pPr>
              <w:spacing w:before="50" w:after="50"/>
              <w:ind w:left="113" w:right="113"/>
              <w:jc w:val="right"/>
              <w:rPr>
                <w:rFonts w:ascii="Helvetica Neue" w:eastAsia="Helvetica Neue" w:hAnsi="Helvetica Neue" w:cs="Helvetica Neue"/>
                <w:b/>
                <w:color w:val="000000"/>
                <w:sz w:val="20"/>
                <w:szCs w:val="20"/>
              </w:rPr>
            </w:pPr>
            <w:r>
              <w:rPr>
                <w:rFonts w:ascii="Helvetica Neue" w:eastAsia="Helvetica Neue" w:hAnsi="Helvetica Neue" w:cs="Helvetica Neue"/>
                <w:sz w:val="20"/>
                <w:szCs w:val="20"/>
              </w:rPr>
              <w:t>n/a</w:t>
            </w:r>
          </w:p>
        </w:tc>
        <w:tc>
          <w:tcPr>
            <w:tcW w:w="1701" w:type="dxa"/>
            <w:shd w:val="clear" w:color="auto" w:fill="FFFFFF"/>
            <w:tcMar>
              <w:top w:w="0" w:type="dxa"/>
              <w:left w:w="0" w:type="dxa"/>
              <w:bottom w:w="0" w:type="dxa"/>
              <w:right w:w="0" w:type="dxa"/>
            </w:tcMar>
          </w:tcPr>
          <w:p w14:paraId="3FB9DAF1" w14:textId="77777777" w:rsidR="007058F1" w:rsidRDefault="00ED1797">
            <w:pPr>
              <w:spacing w:before="50" w:after="50"/>
              <w:ind w:left="113" w:right="113"/>
              <w:jc w:val="right"/>
              <w:rPr>
                <w:rFonts w:ascii="Helvetica Neue" w:eastAsia="Helvetica Neue" w:hAnsi="Helvetica Neue" w:cs="Helvetica Neue"/>
                <w:b/>
                <w:color w:val="000000"/>
                <w:sz w:val="20"/>
                <w:szCs w:val="20"/>
              </w:rPr>
            </w:pPr>
            <w:r>
              <w:rPr>
                <w:rFonts w:ascii="Helvetica Neue" w:eastAsia="Helvetica Neue" w:hAnsi="Helvetica Neue" w:cs="Helvetica Neue"/>
                <w:sz w:val="20"/>
                <w:szCs w:val="20"/>
              </w:rPr>
              <w:t>n/a</w:t>
            </w:r>
          </w:p>
        </w:tc>
        <w:tc>
          <w:tcPr>
            <w:tcW w:w="4823" w:type="dxa"/>
            <w:shd w:val="clear" w:color="auto" w:fill="FFFFFF"/>
            <w:tcMar>
              <w:top w:w="0" w:type="dxa"/>
              <w:left w:w="0" w:type="dxa"/>
              <w:bottom w:w="0" w:type="dxa"/>
              <w:right w:w="0" w:type="dxa"/>
            </w:tcMar>
          </w:tcPr>
          <w:p w14:paraId="58112C29" w14:textId="77777777" w:rsidR="007058F1" w:rsidRDefault="007058F1">
            <w:pPr>
              <w:pBdr>
                <w:top w:val="nil"/>
                <w:left w:val="nil"/>
                <w:bottom w:val="nil"/>
                <w:right w:val="nil"/>
                <w:between w:val="nil"/>
              </w:pBdr>
              <w:spacing w:before="50" w:after="50"/>
              <w:ind w:left="113" w:right="113"/>
              <w:rPr>
                <w:rFonts w:ascii="Helvetica Neue" w:eastAsia="Helvetica Neue" w:hAnsi="Helvetica Neue" w:cs="Helvetica Neue"/>
                <w:b/>
                <w:color w:val="000000"/>
                <w:sz w:val="20"/>
                <w:szCs w:val="20"/>
              </w:rPr>
            </w:pPr>
          </w:p>
        </w:tc>
      </w:tr>
    </w:tbl>
    <w:p w14:paraId="6CA62E57" w14:textId="77777777" w:rsidR="007058F1" w:rsidRDefault="007058F1">
      <w:pPr>
        <w:pBdr>
          <w:top w:val="nil"/>
          <w:left w:val="nil"/>
          <w:bottom w:val="nil"/>
          <w:right w:val="nil"/>
          <w:between w:val="nil"/>
        </w:pBdr>
        <w:rPr>
          <w:rFonts w:ascii="Helvetica Neue" w:eastAsia="Helvetica Neue" w:hAnsi="Helvetica Neue" w:cs="Helvetica Neue"/>
          <w:b/>
          <w:color w:val="000000"/>
          <w:sz w:val="20"/>
          <w:szCs w:val="20"/>
        </w:rPr>
      </w:pPr>
    </w:p>
    <w:p w14:paraId="3E4CC20E" w14:textId="77777777" w:rsidR="007058F1" w:rsidRDefault="00ED1797">
      <w:pPr>
        <w:pStyle w:val="Heading1"/>
        <w:spacing w:before="0"/>
        <w:rPr>
          <w:rFonts w:ascii="Helvetica Neue" w:eastAsia="Helvetica Neue" w:hAnsi="Helvetica Neue" w:cs="Helvetica Neue"/>
          <w:sz w:val="36"/>
          <w:szCs w:val="36"/>
        </w:rPr>
      </w:pPr>
      <w:r>
        <w:br w:type="page"/>
      </w:r>
      <w:r>
        <w:rPr>
          <w:rFonts w:ascii="Helvetica Neue" w:eastAsia="Helvetica Neue" w:hAnsi="Helvetica Neue" w:cs="Helvetica Neue"/>
          <w:sz w:val="36"/>
          <w:szCs w:val="36"/>
        </w:rPr>
        <w:lastRenderedPageBreak/>
        <w:t>Evidence Base</w:t>
      </w:r>
    </w:p>
    <w:p w14:paraId="21BD7612" w14:textId="77777777" w:rsidR="007058F1" w:rsidRDefault="00ED1797">
      <w:pPr>
        <w:pStyle w:val="Heading4"/>
        <w:keepNext/>
        <w:rPr>
          <w:rFonts w:ascii="Helvetica Neue" w:eastAsia="Helvetica Neue" w:hAnsi="Helvetica Neue" w:cs="Helvetica Neue"/>
          <w:sz w:val="28"/>
          <w:szCs w:val="28"/>
        </w:rPr>
      </w:pPr>
      <w:bookmarkStart w:id="2" w:name="_30j0zll" w:colFirst="0" w:colLast="0"/>
      <w:bookmarkEnd w:id="2"/>
      <w:r>
        <w:rPr>
          <w:rFonts w:ascii="Helvetica Neue" w:eastAsia="Helvetica Neue" w:hAnsi="Helvetica Neue" w:cs="Helvetica Neue"/>
          <w:sz w:val="28"/>
          <w:szCs w:val="28"/>
        </w:rPr>
        <w:t>Background</w:t>
      </w:r>
    </w:p>
    <w:p w14:paraId="7C6741FD" w14:textId="77777777"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u w:val="single"/>
        </w:rPr>
      </w:pPr>
      <w:r>
        <w:rPr>
          <w:rFonts w:ascii="Helvetica Neue" w:eastAsia="Helvetica Neue" w:hAnsi="Helvetica Neue" w:cs="Helvetica Neue"/>
          <w:sz w:val="22"/>
          <w:szCs w:val="22"/>
          <w:u w:val="single"/>
        </w:rPr>
        <w:t>Leaving the EU</w:t>
      </w:r>
    </w:p>
    <w:p w14:paraId="205B829E" w14:textId="6C8A64F5" w:rsidR="007058F1" w:rsidRPr="00700B39"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United Kingdom voted to leave the European Union, but we are not leaving Europe. We want a deep and </w:t>
      </w:r>
      <w:r w:rsidRPr="00700B39">
        <w:rPr>
          <w:rFonts w:ascii="Helvetica Neue" w:eastAsia="Helvetica Neue" w:hAnsi="Helvetica Neue" w:cs="Helvetica Neue"/>
          <w:sz w:val="22"/>
          <w:szCs w:val="22"/>
        </w:rPr>
        <w:t xml:space="preserve">special partnership with the EU. We have set out the Government’s objectives for leaving the EU in our White Paper and the Prime Minister’s Article 50 letter. The UK and the EU have also set out their joint ambitions for our Future Economic Partnership via the Political Declaration setting out the framework for the future relationship between the United Kingdom and the European Union. We have always been clear that we want a deal that works for the UK economy and one that works for the EU27. </w:t>
      </w:r>
    </w:p>
    <w:p w14:paraId="71AEBD0A" w14:textId="77777777"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sidRPr="00700B39">
        <w:rPr>
          <w:rFonts w:ascii="Helvetica Neue" w:eastAsia="Helvetica Neue" w:hAnsi="Helvetica Neue" w:cs="Helvetica Neue"/>
          <w:sz w:val="22"/>
          <w:szCs w:val="22"/>
        </w:rPr>
        <w:t>We are confident that a future partnership between the UK and EU is in the interests of both sides</w:t>
      </w:r>
      <w:r>
        <w:rPr>
          <w:rFonts w:ascii="Helvetica Neue" w:eastAsia="Helvetica Neue" w:hAnsi="Helvetica Neue" w:cs="Helvetica Neue"/>
          <w:sz w:val="22"/>
          <w:szCs w:val="22"/>
        </w:rPr>
        <w:t xml:space="preserve">, so we approach these negotiations anticipating success. However, a responsible government should prepare for all potential outcomes. We have said that wherever we can, we will be open and clear with businesses, the public and our international partners about the UK Government’s preparations for exit. </w:t>
      </w:r>
    </w:p>
    <w:p w14:paraId="57971A13" w14:textId="77777777"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u w:val="single"/>
        </w:rPr>
      </w:pPr>
      <w:r>
        <w:rPr>
          <w:rFonts w:ascii="Helvetica Neue" w:eastAsia="Helvetica Neue" w:hAnsi="Helvetica Neue" w:cs="Helvetica Neue"/>
          <w:sz w:val="22"/>
          <w:szCs w:val="22"/>
          <w:u w:val="single"/>
        </w:rPr>
        <w:t>Roaming</w:t>
      </w:r>
    </w:p>
    <w:p w14:paraId="5AD0250A" w14:textId="77777777"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Consumers using mobile services abroad ‘roam’ on the mobile networks in other countries. Their home mobile operator is charged a ‘wholesale roaming’ fee by the foreign network operator. In the past, home operators recovered this cost, and more, through retail roaming charges to consumers.</w:t>
      </w:r>
    </w:p>
    <w:p w14:paraId="7E29DE2D" w14:textId="47ABA599"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Before the EU Roaming Regulation, consumers experienced high roaming prices when travelling to the EU. It was quite common for consumers that were unaware of the additional charges to receive unexpectedly high bills for roaming in the EU. The European Commission often raised the issue of high roaming charges. In October 2005, it launched a consumer website on roaming tariffs in order to highlight the issue, which included the example of €12 for a 4-minute call. Some consumers chose not to use their mobiles abroad or to severely limit their use of mobiles, limiting their costs but also making travel more difficult, with a knock-on impact on the functioning of the single market and consumer welfare.</w:t>
      </w:r>
    </w:p>
    <w:p w14:paraId="273D539E" w14:textId="5B96E570"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Competitive forces were weak: at the retail level, consumers would choose their mobile operator for reasons other than the price of roaming and at a wholesale level, the wholesale rates UK operators could secure were affected by weak operator competition in some</w:t>
      </w:r>
      <w:r w:rsidR="006B61F1">
        <w:rPr>
          <w:rFonts w:ascii="Helvetica Neue" w:eastAsia="Helvetica Neue" w:hAnsi="Helvetica Neue" w:cs="Helvetica Neue"/>
          <w:sz w:val="22"/>
          <w:szCs w:val="22"/>
        </w:rPr>
        <w:t xml:space="preserve"> member states. This meant that</w:t>
      </w:r>
      <w:r>
        <w:rPr>
          <w:rFonts w:ascii="Helvetica Neue" w:eastAsia="Helvetica Neue" w:hAnsi="Helvetica Neue" w:cs="Helvetica Neue"/>
          <w:sz w:val="22"/>
          <w:szCs w:val="22"/>
        </w:rPr>
        <w:t xml:space="preserve"> regulatory action was required, but regulating wholesale rates required concerted cross-border cooperation - Ofcom and its European counterparts could not address the underlying problem unilaterally. In recognition of the need for a coordinated approach, the EU-wide Roaming Regulation was first adopted in 2007, putting caps on wholesale and retail roaming charges for voice calls. These regulations have been extended over time to cover text and data services and have consistently pushed down the wholesale charges operators can charge each other and the retail charges they can charge their customers. The Roaming Regulation has now evolved so that consumers can “roam like at home” (RLAH), meaning retail roaming prices cannot exceed a consumer’s normal, domestic prices. This retail obligation is underpinned by caps on the wholesale charges which European mobile operators can charge one another for handling roaming traffic.</w:t>
      </w:r>
    </w:p>
    <w:p w14:paraId="76BDA432" w14:textId="46ECD241"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RLAH has only been in force since June 2017 and so we do not yet have more than a year’s worth of data to evaluate the impact of this change. However, consumers have embraced RLAH. Latest research shows a four-fold growth in data roaming since the measure was introduced.</w:t>
      </w:r>
      <w:r>
        <w:rPr>
          <w:rFonts w:ascii="Helvetica Neue" w:eastAsia="Helvetica Neue" w:hAnsi="Helvetica Neue" w:cs="Helvetica Neue"/>
          <w:sz w:val="22"/>
          <w:szCs w:val="22"/>
          <w:vertAlign w:val="superscript"/>
        </w:rPr>
        <w:footnoteReference w:id="1"/>
      </w:r>
      <w:r>
        <w:rPr>
          <w:rFonts w:ascii="Helvetica Neue" w:eastAsia="Helvetica Neue" w:hAnsi="Helvetica Neue" w:cs="Helvetica Neue"/>
          <w:sz w:val="22"/>
          <w:szCs w:val="22"/>
        </w:rPr>
        <w:t>. Implementation of the latest regulation seems to have proceeded smoothly and there have been few reports of any offsetting price rises by mobile operators attempting to make up the lost roaming revenue (waterbed effects), except in certain Nordic countries.</w:t>
      </w:r>
    </w:p>
    <w:p w14:paraId="6450FD29" w14:textId="064AD5EB"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If we leave the EU without a deal and with no correcting SI, there would be legal uncertainty around the applicability in practice of the EU Roaming Regulation, as it would be retained in UK law under the European </w:t>
      </w:r>
      <w:r>
        <w:rPr>
          <w:rFonts w:ascii="Helvetica Neue" w:eastAsia="Helvetica Neue" w:hAnsi="Helvetica Neue" w:cs="Helvetica Neue"/>
          <w:sz w:val="22"/>
          <w:szCs w:val="22"/>
        </w:rPr>
        <w:lastRenderedPageBreak/>
        <w:t>Union (Withdrawal) Act 2018. If RLAH is not mandated under the Regulation, whether surcharge-free mobile roaming in the EU continues to be widely available from April 2019 would be a commercial question for the mobile operators. As a consequence, surcharge-free mobile roaming in the EU may not continue to be standard across every mobile phone package from that point. It is also possible that surcharge-free roaming for UK customers continues across the EU based on commercial arrangements, but with different terms and conditions. This might affect the amount of calls that can be made, texts that can be sent and data that can be consumed. We would not expect the operators’ roaming arrangements to change immediately. Some mobile operators (3, EE, O2 and Vodafone) have already stated that they have no current plans to change their approach to mobile roaming after EU Exit, regardless of whether this continues to be required under whatever legal arrangements are then in place.</w:t>
      </w:r>
    </w:p>
    <w:p w14:paraId="120CF66C" w14:textId="77777777"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High roaming charges continue to exist for UK consumers travelling outside the EU. However, these high charges exist alongside surcharge-free or low-cost roaming options to certain non-EU destinations on certain operators. Post-Exit, operators will have the commercial freedom to choose the approaches they takes to their customers roaming in the EU. However, consumers will have had two years of surcharge-free roaming in the EU via the EU Roaming Regulation. This experience may drive operator behaviour towards maintaining surcharge-free roaming to EU destinations.</w:t>
      </w:r>
    </w:p>
    <w:p w14:paraId="16564FA0" w14:textId="77777777" w:rsidR="007058F1" w:rsidRDefault="007058F1">
      <w:pPr>
        <w:keepNext/>
        <w:pBdr>
          <w:top w:val="nil"/>
          <w:left w:val="nil"/>
          <w:bottom w:val="nil"/>
          <w:right w:val="nil"/>
          <w:between w:val="nil"/>
        </w:pBdr>
        <w:spacing w:after="120"/>
        <w:rPr>
          <w:rFonts w:ascii="Helvetica Neue" w:eastAsia="Helvetica Neue" w:hAnsi="Helvetica Neue" w:cs="Helvetica Neue"/>
          <w:sz w:val="22"/>
          <w:szCs w:val="22"/>
        </w:rPr>
      </w:pPr>
    </w:p>
    <w:p w14:paraId="08395E0F" w14:textId="77777777" w:rsidR="007058F1" w:rsidRDefault="00ED1797">
      <w:pPr>
        <w:pStyle w:val="Heading4"/>
        <w:keepNext/>
        <w:rPr>
          <w:rFonts w:ascii="Helvetica Neue" w:eastAsia="Helvetica Neue" w:hAnsi="Helvetica Neue" w:cs="Helvetica Neue"/>
          <w:sz w:val="24"/>
          <w:szCs w:val="24"/>
        </w:rPr>
      </w:pPr>
      <w:bookmarkStart w:id="3" w:name="_70wlpbdk96ha" w:colFirst="0" w:colLast="0"/>
      <w:bookmarkEnd w:id="3"/>
      <w:r>
        <w:rPr>
          <w:rFonts w:ascii="Helvetica Neue" w:eastAsia="Helvetica Neue" w:hAnsi="Helvetica Neue" w:cs="Helvetica Neue"/>
          <w:sz w:val="24"/>
          <w:szCs w:val="24"/>
        </w:rPr>
        <w:t xml:space="preserve">Problem under consideration and rationale for intervention </w:t>
      </w:r>
    </w:p>
    <w:p w14:paraId="1BDA0A04" w14:textId="77777777"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Following the UK’s exit from the EU, the existing EU regulations which enable UK mobile network operators access to capped wholesales rates in Member States will cease to apply. The arrangements that replace these rules will be subject to negotiation between the UK and EU. The White Paper proposes new arrangements for services and digital sectors, recognising that the UK and the EU will not have current levels of access to each other’s markets. That approach would not preclude discussions with the EU on arrangements for consumers, for example in the area of mobile roaming, if that would be in the mutual interests of both sides. However, in the event of no deal, no new arrangements with the EU would be in place at the point of Exit.</w:t>
      </w:r>
    </w:p>
    <w:p w14:paraId="16BF0782" w14:textId="721FC7AA" w:rsidR="007058F1" w:rsidRDefault="00B33051">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The European</w:t>
      </w:r>
      <w:r w:rsidR="00ED1797">
        <w:rPr>
          <w:rFonts w:ascii="Helvetica Neue" w:eastAsia="Helvetica Neue" w:hAnsi="Helvetica Neue" w:cs="Helvetica Neue"/>
          <w:sz w:val="22"/>
          <w:szCs w:val="22"/>
        </w:rPr>
        <w:t xml:space="preserve"> Union (Withdrawal) Act 2018 will incorporate into domestic law EU-derived legislation, including the Roaming Regulation. This Statutory Instrument aims to correct deficiencies in the retained Roaming Regulation in the event there is no negotiated arrangement.</w:t>
      </w:r>
    </w:p>
    <w:p w14:paraId="398FC7B7" w14:textId="77777777" w:rsidR="007058F1" w:rsidRDefault="007058F1">
      <w:pPr>
        <w:keepNext/>
        <w:pBdr>
          <w:top w:val="nil"/>
          <w:left w:val="nil"/>
          <w:bottom w:val="nil"/>
          <w:right w:val="nil"/>
          <w:between w:val="nil"/>
        </w:pBdr>
        <w:spacing w:after="120"/>
        <w:rPr>
          <w:rFonts w:ascii="Helvetica Neue" w:eastAsia="Helvetica Neue" w:hAnsi="Helvetica Neue" w:cs="Helvetica Neue"/>
          <w:b/>
          <w:color w:val="000000"/>
          <w:sz w:val="22"/>
          <w:szCs w:val="22"/>
        </w:rPr>
      </w:pPr>
    </w:p>
    <w:p w14:paraId="5BED87E1" w14:textId="77777777" w:rsidR="007058F1" w:rsidRDefault="00ED1797">
      <w:pPr>
        <w:keepNext/>
        <w:pBdr>
          <w:top w:val="nil"/>
          <w:left w:val="nil"/>
          <w:bottom w:val="nil"/>
          <w:right w:val="nil"/>
          <w:between w:val="nil"/>
        </w:pBdr>
        <w:spacing w:after="120"/>
        <w:rPr>
          <w:rFonts w:ascii="Helvetica Neue" w:eastAsia="Helvetica Neue" w:hAnsi="Helvetica Neue" w:cs="Helvetica Neue"/>
          <w:color w:val="000000"/>
        </w:rPr>
      </w:pPr>
      <w:r>
        <w:rPr>
          <w:rFonts w:ascii="Helvetica Neue" w:eastAsia="Helvetica Neue" w:hAnsi="Helvetica Neue" w:cs="Helvetica Neue"/>
          <w:b/>
          <w:color w:val="000000"/>
        </w:rPr>
        <w:t>Policy objective</w:t>
      </w:r>
      <w:r>
        <w:rPr>
          <w:rFonts w:ascii="Helvetica Neue" w:eastAsia="Helvetica Neue" w:hAnsi="Helvetica Neue" w:cs="Helvetica Neue"/>
          <w:color w:val="000000"/>
        </w:rPr>
        <w:t xml:space="preserve"> </w:t>
      </w:r>
    </w:p>
    <w:p w14:paraId="428298C2" w14:textId="7FFD44BA"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objectives of the policy are, in the unlikely event of a no deal scenario, to retain a roaming regime for the UK which: </w:t>
      </w:r>
    </w:p>
    <w:p w14:paraId="272B1209" w14:textId="77777777" w:rsidR="007058F1" w:rsidRDefault="00ED1797">
      <w:pPr>
        <w:keepNext/>
        <w:numPr>
          <w:ilvl w:val="0"/>
          <w:numId w:val="6"/>
        </w:numPr>
        <w:pBdr>
          <w:top w:val="nil"/>
          <w:left w:val="nil"/>
          <w:bottom w:val="nil"/>
          <w:right w:val="nil"/>
          <w:between w:val="nil"/>
        </w:pBdr>
        <w:rPr>
          <w:rFonts w:ascii="Helvetica Neue" w:eastAsia="Helvetica Neue" w:hAnsi="Helvetica Neue" w:cs="Helvetica Neue"/>
          <w:sz w:val="22"/>
          <w:szCs w:val="22"/>
        </w:rPr>
      </w:pPr>
      <w:r>
        <w:rPr>
          <w:rFonts w:ascii="Helvetica Neue" w:eastAsia="Helvetica Neue" w:hAnsi="Helvetica Neue" w:cs="Helvetica Neue"/>
          <w:sz w:val="22"/>
          <w:szCs w:val="22"/>
        </w:rPr>
        <w:t>Will allow UK consumers to continue to receive mobile phone services while travelling in EU states</w:t>
      </w:r>
    </w:p>
    <w:p w14:paraId="3A5FA8A7" w14:textId="77777777" w:rsidR="007058F1" w:rsidRDefault="00ED1797">
      <w:pPr>
        <w:keepNext/>
        <w:numPr>
          <w:ilvl w:val="0"/>
          <w:numId w:val="6"/>
        </w:numPr>
        <w:pBdr>
          <w:top w:val="nil"/>
          <w:left w:val="nil"/>
          <w:bottom w:val="nil"/>
          <w:right w:val="nil"/>
          <w:between w:val="nil"/>
        </w:pBdr>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Is commercially viable for UK mobile operators </w:t>
      </w:r>
    </w:p>
    <w:p w14:paraId="02D5F027" w14:textId="77777777" w:rsidR="007058F1" w:rsidRDefault="00ED1797">
      <w:pPr>
        <w:keepNext/>
        <w:numPr>
          <w:ilvl w:val="0"/>
          <w:numId w:val="6"/>
        </w:numPr>
        <w:pBdr>
          <w:top w:val="nil"/>
          <w:left w:val="nil"/>
          <w:bottom w:val="nil"/>
          <w:right w:val="nil"/>
          <w:between w:val="nil"/>
        </w:pBdr>
        <w:rPr>
          <w:rFonts w:ascii="Helvetica Neue" w:eastAsia="Helvetica Neue" w:hAnsi="Helvetica Neue" w:cs="Helvetica Neue"/>
          <w:sz w:val="22"/>
          <w:szCs w:val="22"/>
        </w:rPr>
      </w:pPr>
      <w:r>
        <w:rPr>
          <w:rFonts w:ascii="Helvetica Neue" w:eastAsia="Helvetica Neue" w:hAnsi="Helvetica Neue" w:cs="Helvetica Neue"/>
          <w:sz w:val="22"/>
          <w:szCs w:val="22"/>
        </w:rPr>
        <w:t>Will continue to provide transparency to UK customers roaming in EU member states.</w:t>
      </w:r>
    </w:p>
    <w:p w14:paraId="646AC7B5" w14:textId="77777777" w:rsidR="007058F1" w:rsidRDefault="007058F1">
      <w:pPr>
        <w:keepNext/>
        <w:pBdr>
          <w:top w:val="nil"/>
          <w:left w:val="nil"/>
          <w:bottom w:val="nil"/>
          <w:right w:val="nil"/>
          <w:between w:val="nil"/>
        </w:pBdr>
        <w:rPr>
          <w:rFonts w:ascii="Helvetica Neue" w:eastAsia="Helvetica Neue" w:hAnsi="Helvetica Neue" w:cs="Helvetica Neue"/>
          <w:sz w:val="22"/>
          <w:szCs w:val="22"/>
        </w:rPr>
      </w:pPr>
    </w:p>
    <w:p w14:paraId="6F7C45CB" w14:textId="3FDA07B2"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purpose of the SI is to give mobile operators legal clarity as to which laws they are subject following EU withdrawal. The courts could interpret that retail caps would need to remain in place as per the status quo. In </w:t>
      </w:r>
      <w:r>
        <w:rPr>
          <w:rFonts w:ascii="Helvetica Neue" w:eastAsia="Helvetica Neue" w:hAnsi="Helvetica Neue" w:cs="Helvetica Neue"/>
          <w:sz w:val="22"/>
          <w:szCs w:val="22"/>
        </w:rPr>
        <w:lastRenderedPageBreak/>
        <w:t>contrast, it is also possible that the courts could interpret the law in a way that the UK mobile operators were no longer subject to the retail caps, similar to the European Commission's interpretation</w:t>
      </w:r>
      <w:r>
        <w:rPr>
          <w:rFonts w:ascii="Helvetica Neue" w:eastAsia="Helvetica Neue" w:hAnsi="Helvetica Neue" w:cs="Helvetica Neue"/>
          <w:sz w:val="22"/>
          <w:szCs w:val="22"/>
          <w:vertAlign w:val="superscript"/>
        </w:rPr>
        <w:footnoteReference w:id="2"/>
      </w:r>
      <w:r>
        <w:rPr>
          <w:rFonts w:ascii="Helvetica Neue" w:eastAsia="Helvetica Neue" w:hAnsi="Helvetica Neue" w:cs="Helvetica Neue"/>
          <w:sz w:val="22"/>
          <w:szCs w:val="22"/>
        </w:rPr>
        <w:t>.</w:t>
      </w:r>
    </w:p>
    <w:p w14:paraId="0D8E61D4" w14:textId="77777777"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Wholesale price increases, as we transition from being an EU member state, are not the subject of this impact assessment as they are not related to this SI. These costs are related to the EU Withdrawal Bill.</w:t>
      </w:r>
    </w:p>
    <w:p w14:paraId="2A4BB6D7" w14:textId="77777777" w:rsidR="007058F1" w:rsidRDefault="007058F1">
      <w:pPr>
        <w:keepNext/>
        <w:pBdr>
          <w:top w:val="nil"/>
          <w:left w:val="nil"/>
          <w:bottom w:val="nil"/>
          <w:right w:val="nil"/>
          <w:between w:val="nil"/>
        </w:pBdr>
        <w:spacing w:after="120"/>
        <w:rPr>
          <w:rFonts w:ascii="Helvetica Neue" w:eastAsia="Helvetica Neue" w:hAnsi="Helvetica Neue" w:cs="Helvetica Neue"/>
          <w:sz w:val="22"/>
          <w:szCs w:val="22"/>
        </w:rPr>
      </w:pPr>
    </w:p>
    <w:p w14:paraId="35B2321E" w14:textId="77777777" w:rsidR="007058F1" w:rsidRDefault="00ED1797">
      <w:pPr>
        <w:keepNext/>
        <w:pBdr>
          <w:top w:val="nil"/>
          <w:left w:val="nil"/>
          <w:bottom w:val="nil"/>
          <w:right w:val="nil"/>
          <w:between w:val="nil"/>
        </w:pBdr>
        <w:spacing w:after="120"/>
        <w:rPr>
          <w:rFonts w:ascii="Helvetica Neue" w:eastAsia="Helvetica Neue" w:hAnsi="Helvetica Neue" w:cs="Helvetica Neue"/>
          <w:b/>
        </w:rPr>
      </w:pPr>
      <w:r>
        <w:rPr>
          <w:rFonts w:ascii="Helvetica Neue" w:eastAsia="Helvetica Neue" w:hAnsi="Helvetica Neue" w:cs="Helvetica Neue"/>
          <w:b/>
          <w:color w:val="000000"/>
        </w:rPr>
        <w:t xml:space="preserve">Description of options considered </w:t>
      </w:r>
    </w:p>
    <w:p w14:paraId="103984D7" w14:textId="43B0691E" w:rsidR="007058F1" w:rsidRPr="006B61F1" w:rsidRDefault="00ED1797" w:rsidP="006B61F1">
      <w:pPr>
        <w:keepNext/>
        <w:pBdr>
          <w:top w:val="nil"/>
          <w:left w:val="nil"/>
          <w:bottom w:val="nil"/>
          <w:right w:val="nil"/>
          <w:between w:val="nil"/>
        </w:pBdr>
        <w:spacing w:after="120"/>
        <w:rPr>
          <w:color w:val="000000"/>
          <w:sz w:val="22"/>
          <w:szCs w:val="22"/>
        </w:rPr>
      </w:pPr>
      <w:r w:rsidRPr="006B61F1">
        <w:rPr>
          <w:rFonts w:ascii="Helvetica Neue" w:eastAsia="Helvetica Neue" w:hAnsi="Helvetica Neue" w:cs="Helvetica Neue"/>
          <w:b/>
          <w:i/>
          <w:sz w:val="22"/>
          <w:szCs w:val="22"/>
        </w:rPr>
        <w:t xml:space="preserve">Option 1: </w:t>
      </w:r>
      <w:r>
        <w:rPr>
          <w:rFonts w:ascii="Helvetica Neue" w:eastAsia="Helvetica Neue" w:hAnsi="Helvetica Neue" w:cs="Helvetica Neue"/>
          <w:b/>
          <w:i/>
          <w:sz w:val="22"/>
          <w:szCs w:val="22"/>
        </w:rPr>
        <w:t xml:space="preserve">Current arrangements </w:t>
      </w:r>
    </w:p>
    <w:p w14:paraId="2C48CAC6" w14:textId="2C3F0600" w:rsidR="001122A3" w:rsidRPr="001122A3" w:rsidRDefault="00ED1797" w:rsidP="001122A3">
      <w:pPr>
        <w:keepNext/>
        <w:pBdr>
          <w:top w:val="nil"/>
          <w:left w:val="nil"/>
          <w:bottom w:val="nil"/>
          <w:right w:val="nil"/>
          <w:between w:val="nil"/>
        </w:pBdr>
        <w:spacing w:after="240"/>
        <w:rPr>
          <w:rFonts w:ascii="Helvetica Neue" w:eastAsia="Helvetica Neue" w:hAnsi="Helvetica Neue" w:cs="Helvetica Neue"/>
          <w:sz w:val="22"/>
          <w:szCs w:val="22"/>
          <w:highlight w:val="white"/>
        </w:rPr>
      </w:pPr>
      <w:r>
        <w:rPr>
          <w:rFonts w:ascii="Helvetica Neue" w:eastAsia="Helvetica Neue" w:hAnsi="Helvetica Neue" w:cs="Helvetica Neue"/>
          <w:sz w:val="22"/>
          <w:szCs w:val="22"/>
        </w:rPr>
        <w:t>This option, r</w:t>
      </w:r>
      <w:r>
        <w:rPr>
          <w:rFonts w:ascii="Helvetica Neue" w:eastAsia="Helvetica Neue" w:hAnsi="Helvetica Neue" w:cs="Helvetica Neue"/>
          <w:sz w:val="22"/>
          <w:szCs w:val="22"/>
          <w:highlight w:val="white"/>
        </w:rPr>
        <w:t>etaining existing mobile roaming arrangements for UK consumers in the EU, is only possible as part of a negotiated deal including roaming. This SI covers a ‘no deal’ scenario, in which retaining existing arrangements - the EU Roaming Regulation - is not an option. This impact assessment does not consider impacts relative to current arrangements in detail, but we do provide a summary assessment of these in a section below.</w:t>
      </w:r>
    </w:p>
    <w:p w14:paraId="0F9036F9" w14:textId="37A0BB93" w:rsidR="007058F1" w:rsidRPr="006B61F1" w:rsidRDefault="00ED1797" w:rsidP="006B61F1">
      <w:pPr>
        <w:spacing w:before="50" w:after="200"/>
        <w:ind w:right="113"/>
        <w:rPr>
          <w:color w:val="000000"/>
          <w:sz w:val="22"/>
          <w:szCs w:val="22"/>
        </w:rPr>
      </w:pPr>
      <w:r w:rsidRPr="006B61F1">
        <w:rPr>
          <w:rFonts w:ascii="Helvetica Neue" w:eastAsia="Helvetica Neue" w:hAnsi="Helvetica Neue" w:cs="Helvetica Neue"/>
          <w:b/>
          <w:i/>
          <w:sz w:val="22"/>
          <w:szCs w:val="22"/>
        </w:rPr>
        <w:t xml:space="preserve">Option 2: </w:t>
      </w:r>
      <w:r>
        <w:rPr>
          <w:rFonts w:ascii="Helvetica Neue" w:eastAsia="Helvetica Neue" w:hAnsi="Helvetica Neue" w:cs="Helvetica Neue"/>
          <w:b/>
          <w:i/>
          <w:sz w:val="22"/>
          <w:szCs w:val="22"/>
        </w:rPr>
        <w:t>Do nothing: not correcting the deficiencies in the retained EU law</w:t>
      </w:r>
    </w:p>
    <w:p w14:paraId="2A99A455" w14:textId="77777777" w:rsidR="007058F1" w:rsidRDefault="00ED1797">
      <w:pPr>
        <w:spacing w:before="50" w:after="200"/>
        <w:ind w:right="113" w:hanging="15"/>
        <w:rPr>
          <w:rFonts w:ascii="Helvetica Neue" w:eastAsia="Helvetica Neue" w:hAnsi="Helvetica Neue" w:cs="Helvetica Neue"/>
          <w:sz w:val="22"/>
          <w:szCs w:val="22"/>
        </w:rPr>
      </w:pPr>
      <w:r>
        <w:rPr>
          <w:rFonts w:ascii="Helvetica Neue" w:eastAsia="Helvetica Neue" w:hAnsi="Helvetica Neue" w:cs="Helvetica Neue"/>
          <w:sz w:val="22"/>
          <w:szCs w:val="22"/>
        </w:rPr>
        <w:t>This option would retain the EU Roaming Regulation in the UK statute book without any correction. As the Roaming Regulation is based on reciprocal arrangements between EU Member States, it would not be clear with which parts of the Regulation UK operators would need to comply (if any). This option would leave the legal situation unclear on EU Exit and has therefore been dismissed.</w:t>
      </w:r>
    </w:p>
    <w:p w14:paraId="63421B5B" w14:textId="77777777" w:rsidR="007058F1" w:rsidRDefault="00ED1797">
      <w:pPr>
        <w:pBdr>
          <w:top w:val="nil"/>
          <w:left w:val="nil"/>
          <w:bottom w:val="nil"/>
          <w:right w:val="nil"/>
          <w:between w:val="nil"/>
        </w:pBdr>
        <w:spacing w:before="50" w:after="200"/>
        <w:ind w:right="113" w:hanging="15"/>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purpose of this SI and impact assessment is to create the most secure environment for business and allow UK consumers to continue to access roaming services. </w:t>
      </w:r>
    </w:p>
    <w:p w14:paraId="473723C2" w14:textId="6F1870E9" w:rsidR="007058F1" w:rsidRDefault="00ED1797" w:rsidP="001122A3">
      <w:pPr>
        <w:keepNext/>
        <w:spacing w:after="240"/>
        <w:ind w:hanging="15"/>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analysis below compares options against this ‘do nothing’ scenario. In particular, it considers the worst case scenario for the interpretation of this law; one sided retails caps do apply. </w:t>
      </w:r>
    </w:p>
    <w:p w14:paraId="296397A1" w14:textId="32F7944A" w:rsidR="007058F1" w:rsidRPr="006B61F1" w:rsidRDefault="00ED1797">
      <w:pPr>
        <w:spacing w:before="50" w:after="200"/>
        <w:ind w:right="113"/>
        <w:rPr>
          <w:rFonts w:ascii="Helvetica Neue" w:eastAsia="Helvetica Neue" w:hAnsi="Helvetica Neue" w:cs="Helvetica Neue"/>
          <w:i/>
          <w:sz w:val="22"/>
          <w:szCs w:val="22"/>
        </w:rPr>
      </w:pPr>
      <w:r w:rsidRPr="006B61F1">
        <w:rPr>
          <w:rFonts w:ascii="Helvetica Neue" w:eastAsia="Helvetica Neue" w:hAnsi="Helvetica Neue" w:cs="Helvetica Neue"/>
          <w:b/>
          <w:i/>
          <w:sz w:val="22"/>
          <w:szCs w:val="22"/>
        </w:rPr>
        <w:t>Option 3: Domestic legislation with one-sided obligation</w:t>
      </w:r>
    </w:p>
    <w:p w14:paraId="6CBCC045" w14:textId="38A22C60" w:rsidR="007058F1" w:rsidRDefault="00ED1797">
      <w:pPr>
        <w:spacing w:before="50" w:after="200"/>
        <w:ind w:right="113"/>
        <w:rPr>
          <w:rFonts w:ascii="Helvetica Neue" w:eastAsia="Helvetica Neue" w:hAnsi="Helvetica Neue" w:cs="Helvetica Neue"/>
          <w:sz w:val="22"/>
          <w:szCs w:val="22"/>
        </w:rPr>
      </w:pPr>
      <w:r w:rsidRPr="006B61F1">
        <w:rPr>
          <w:rFonts w:ascii="Helvetica Neue" w:eastAsia="Helvetica Neue" w:hAnsi="Helvetica Neue" w:cs="Helvetica Neue"/>
          <w:i/>
          <w:sz w:val="22"/>
          <w:szCs w:val="22"/>
        </w:rPr>
        <w:t>Under this option</w:t>
      </w:r>
      <w:r>
        <w:rPr>
          <w:rFonts w:ascii="Helvetica Neue" w:eastAsia="Helvetica Neue" w:hAnsi="Helvetica Neue" w:cs="Helvetica Neue"/>
          <w:sz w:val="22"/>
          <w:szCs w:val="22"/>
        </w:rPr>
        <w:t xml:space="preserve"> an SI would preclude UK mobile operators from introducing a surcharge on their customers when they roam in the EU. This could </w:t>
      </w:r>
      <w:r>
        <w:rPr>
          <w:rFonts w:ascii="Helvetica Neue" w:eastAsia="Helvetica Neue" w:hAnsi="Helvetica Neue" w:cs="Helvetica Neue"/>
          <w:sz w:val="22"/>
          <w:szCs w:val="22"/>
          <w:u w:val="single"/>
        </w:rPr>
        <w:t>not</w:t>
      </w:r>
      <w:r>
        <w:rPr>
          <w:rFonts w:ascii="Helvetica Neue" w:eastAsia="Helvetica Neue" w:hAnsi="Helvetica Neue" w:cs="Helvetica Neue"/>
          <w:sz w:val="22"/>
          <w:szCs w:val="22"/>
        </w:rPr>
        <w:t xml:space="preserve"> oblige EU operators to cap their charges to UK operators. Using domestic law to maintain surcharge-free EEA roaming would face the following challenges:</w:t>
      </w:r>
    </w:p>
    <w:p w14:paraId="20290D88" w14:textId="77777777" w:rsidR="007058F1" w:rsidRDefault="00ED1797">
      <w:pPr>
        <w:numPr>
          <w:ilvl w:val="0"/>
          <w:numId w:val="4"/>
        </w:numPr>
        <w:spacing w:before="50"/>
        <w:ind w:left="720" w:right="113"/>
        <w:rPr>
          <w:rFonts w:ascii="Helvetica Neue" w:eastAsia="Helvetica Neue" w:hAnsi="Helvetica Neue" w:cs="Helvetica Neue"/>
          <w:sz w:val="22"/>
          <w:szCs w:val="22"/>
        </w:rPr>
      </w:pPr>
      <w:r>
        <w:rPr>
          <w:rFonts w:ascii="Helvetica Neue" w:eastAsia="Helvetica Neue" w:hAnsi="Helvetica Neue" w:cs="Helvetica Neue"/>
          <w:sz w:val="22"/>
          <w:szCs w:val="22"/>
        </w:rPr>
        <w:t>UK operators would have uncapped exposure to the charges EU operators could charge them as they would have an obligation to provide roaming services surcharge-free. This uncapped exposure could be significantly damaging to UK operators.</w:t>
      </w:r>
    </w:p>
    <w:p w14:paraId="61F8D4A0" w14:textId="77777777" w:rsidR="007058F1" w:rsidRDefault="00ED1797">
      <w:pPr>
        <w:numPr>
          <w:ilvl w:val="0"/>
          <w:numId w:val="4"/>
        </w:numPr>
        <w:ind w:left="720" w:right="113"/>
        <w:rPr>
          <w:rFonts w:ascii="Helvetica Neue" w:eastAsia="Helvetica Neue" w:hAnsi="Helvetica Neue" w:cs="Helvetica Neue"/>
          <w:sz w:val="22"/>
          <w:szCs w:val="22"/>
        </w:rPr>
      </w:pPr>
      <w:r>
        <w:rPr>
          <w:rFonts w:ascii="Helvetica Neue" w:eastAsia="Helvetica Neue" w:hAnsi="Helvetica Neue" w:cs="Helvetica Neue"/>
          <w:sz w:val="22"/>
          <w:szCs w:val="22"/>
        </w:rPr>
        <w:t>The one-sided regulation would be open to legal challenge.</w:t>
      </w:r>
    </w:p>
    <w:p w14:paraId="2201DD23" w14:textId="408D417B" w:rsidR="007058F1" w:rsidRDefault="00ED1797">
      <w:pPr>
        <w:numPr>
          <w:ilvl w:val="0"/>
          <w:numId w:val="4"/>
        </w:numPr>
        <w:ind w:left="720" w:right="113"/>
        <w:rPr>
          <w:rFonts w:ascii="Helvetica Neue" w:eastAsia="Helvetica Neue" w:hAnsi="Helvetica Neue" w:cs="Helvetica Neue"/>
          <w:sz w:val="22"/>
          <w:szCs w:val="22"/>
        </w:rPr>
      </w:pPr>
      <w:r>
        <w:rPr>
          <w:rFonts w:ascii="Helvetica Neue" w:eastAsia="Helvetica Neue" w:hAnsi="Helvetica Neue" w:cs="Helvetica Neue"/>
          <w:sz w:val="22"/>
          <w:szCs w:val="22"/>
        </w:rPr>
        <w:t>To limit their uncapped exposure, operators could switch their customers to ‘domestic only’ packages. This would mean many customers would find their mobile devices could not access mobile voice and data services outside the UK,</w:t>
      </w:r>
      <w:r w:rsidR="00B33051">
        <w:rPr>
          <w:rFonts w:ascii="Helvetica Neue" w:eastAsia="Helvetica Neue" w:hAnsi="Helvetica Neue" w:cs="Helvetica Neue"/>
          <w:sz w:val="22"/>
          <w:szCs w:val="22"/>
        </w:rPr>
        <w:t xml:space="preserve"> </w:t>
      </w:r>
      <w:r>
        <w:rPr>
          <w:rFonts w:ascii="Helvetica Neue" w:eastAsia="Helvetica Neue" w:hAnsi="Helvetica Neue" w:cs="Helvetica Neue"/>
          <w:sz w:val="22"/>
          <w:szCs w:val="22"/>
        </w:rPr>
        <w:t>effectively ceasing roaming.</w:t>
      </w:r>
    </w:p>
    <w:p w14:paraId="3C8D477B" w14:textId="77777777" w:rsidR="007058F1" w:rsidRDefault="00ED1797">
      <w:pPr>
        <w:numPr>
          <w:ilvl w:val="0"/>
          <w:numId w:val="4"/>
        </w:numPr>
        <w:ind w:left="720" w:right="113"/>
        <w:rPr>
          <w:rFonts w:ascii="Helvetica Neue" w:eastAsia="Helvetica Neue" w:hAnsi="Helvetica Neue" w:cs="Helvetica Neue"/>
          <w:sz w:val="22"/>
          <w:szCs w:val="22"/>
        </w:rPr>
      </w:pPr>
      <w:r>
        <w:rPr>
          <w:rFonts w:ascii="Helvetica Neue" w:eastAsia="Helvetica Neue" w:hAnsi="Helvetica Neue" w:cs="Helvetica Neue"/>
          <w:sz w:val="22"/>
          <w:szCs w:val="22"/>
        </w:rPr>
        <w:t>Alternatively, operators would continue to offer roaming but increase the overall tariffs of their packages or other non-roaming services (known as the waterbed effect).</w:t>
      </w:r>
    </w:p>
    <w:p w14:paraId="12FC0344" w14:textId="77777777" w:rsidR="007058F1" w:rsidRPr="006B61F1" w:rsidRDefault="007058F1" w:rsidP="006B61F1">
      <w:pPr>
        <w:spacing w:after="50"/>
        <w:ind w:left="1440" w:right="113"/>
        <w:rPr>
          <w:color w:val="000000"/>
          <w:sz w:val="22"/>
          <w:szCs w:val="22"/>
        </w:rPr>
      </w:pPr>
    </w:p>
    <w:p w14:paraId="6916096A" w14:textId="0615E706" w:rsidR="007058F1" w:rsidRDefault="00ED1797">
      <w:pPr>
        <w:spacing w:before="50" w:after="50"/>
        <w:ind w:right="113"/>
        <w:rPr>
          <w:rFonts w:ascii="Helvetica Neue" w:eastAsia="Helvetica Neue" w:hAnsi="Helvetica Neue" w:cs="Helvetica Neue"/>
          <w:b/>
          <w:sz w:val="22"/>
          <w:szCs w:val="22"/>
        </w:rPr>
      </w:pPr>
      <w:r>
        <w:rPr>
          <w:rFonts w:ascii="Helvetica Neue" w:eastAsia="Helvetica Neue" w:hAnsi="Helvetica Neue" w:cs="Helvetica Neue"/>
          <w:sz w:val="22"/>
          <w:szCs w:val="22"/>
        </w:rPr>
        <w:t>This option introduces risks and negative consumer impacts and has therefore been dismissed.</w:t>
      </w:r>
    </w:p>
    <w:p w14:paraId="0D740CD0" w14:textId="77777777" w:rsidR="007058F1" w:rsidRDefault="007058F1">
      <w:pPr>
        <w:spacing w:before="50" w:after="50"/>
        <w:ind w:left="720" w:right="113"/>
        <w:rPr>
          <w:rFonts w:ascii="Helvetica Neue" w:eastAsia="Helvetica Neue" w:hAnsi="Helvetica Neue" w:cs="Helvetica Neue"/>
          <w:b/>
          <w:i/>
          <w:sz w:val="22"/>
          <w:szCs w:val="22"/>
        </w:rPr>
      </w:pPr>
    </w:p>
    <w:p w14:paraId="14500A9C" w14:textId="77777777" w:rsidR="00700B39" w:rsidRDefault="00700B39">
      <w:pPr>
        <w:spacing w:before="50" w:after="50"/>
        <w:ind w:left="720" w:right="113"/>
        <w:rPr>
          <w:rFonts w:ascii="Helvetica Neue" w:eastAsia="Helvetica Neue" w:hAnsi="Helvetica Neue" w:cs="Helvetica Neue"/>
          <w:b/>
          <w:i/>
          <w:sz w:val="22"/>
          <w:szCs w:val="22"/>
        </w:rPr>
      </w:pPr>
    </w:p>
    <w:p w14:paraId="5DB3C309" w14:textId="77777777" w:rsidR="00700B39" w:rsidRDefault="00700B39">
      <w:pPr>
        <w:spacing w:before="50" w:after="50"/>
        <w:ind w:left="720" w:right="113"/>
        <w:rPr>
          <w:rFonts w:ascii="Helvetica Neue" w:eastAsia="Helvetica Neue" w:hAnsi="Helvetica Neue" w:cs="Helvetica Neue"/>
          <w:b/>
          <w:i/>
          <w:sz w:val="22"/>
          <w:szCs w:val="22"/>
        </w:rPr>
      </w:pPr>
    </w:p>
    <w:p w14:paraId="544E0B3B" w14:textId="77777777" w:rsidR="00700B39" w:rsidRDefault="00700B39">
      <w:pPr>
        <w:spacing w:before="50" w:after="50"/>
        <w:ind w:left="720" w:right="113"/>
        <w:rPr>
          <w:rFonts w:ascii="Helvetica Neue" w:eastAsia="Helvetica Neue" w:hAnsi="Helvetica Neue" w:cs="Helvetica Neue"/>
          <w:b/>
          <w:i/>
          <w:sz w:val="22"/>
          <w:szCs w:val="22"/>
        </w:rPr>
      </w:pPr>
    </w:p>
    <w:p w14:paraId="381C5138" w14:textId="114C94C5" w:rsidR="007058F1" w:rsidRPr="006B61F1" w:rsidRDefault="00ED1797">
      <w:pPr>
        <w:spacing w:before="50" w:after="200"/>
        <w:ind w:right="113"/>
        <w:rPr>
          <w:rFonts w:ascii="Helvetica Neue" w:eastAsia="Helvetica Neue" w:hAnsi="Helvetica Neue" w:cs="Helvetica Neue"/>
          <w:b/>
          <w:i/>
          <w:sz w:val="22"/>
          <w:szCs w:val="22"/>
          <w:highlight w:val="white"/>
        </w:rPr>
      </w:pPr>
      <w:r>
        <w:rPr>
          <w:rFonts w:ascii="Helvetica Neue" w:eastAsia="Helvetica Neue" w:hAnsi="Helvetica Neue" w:cs="Helvetica Neue"/>
          <w:b/>
          <w:i/>
          <w:sz w:val="22"/>
          <w:szCs w:val="22"/>
        </w:rPr>
        <w:t xml:space="preserve">Option 4: </w:t>
      </w:r>
      <w:r w:rsidRPr="006B61F1">
        <w:rPr>
          <w:rFonts w:ascii="Helvetica Neue" w:eastAsia="Helvetica Neue" w:hAnsi="Helvetica Neue" w:cs="Helvetica Neue"/>
          <w:b/>
          <w:i/>
          <w:sz w:val="22"/>
          <w:szCs w:val="22"/>
          <w:highlight w:val="white"/>
        </w:rPr>
        <w:t>Domestic legislation without one-sided regulation (preferred)</w:t>
      </w:r>
    </w:p>
    <w:p w14:paraId="31649A07" w14:textId="32B05592" w:rsidR="007058F1" w:rsidRDefault="00ED1797">
      <w:pPr>
        <w:spacing w:before="50" w:after="200"/>
        <w:ind w:right="113"/>
        <w:rPr>
          <w:rFonts w:ascii="Helvetica Neue" w:eastAsia="Helvetica Neue" w:hAnsi="Helvetica Neue" w:cs="Helvetica Neue"/>
          <w:sz w:val="22"/>
          <w:szCs w:val="22"/>
          <w:highlight w:val="white"/>
        </w:rPr>
      </w:pPr>
      <w:r>
        <w:rPr>
          <w:rFonts w:ascii="Helvetica Neue" w:eastAsia="Helvetica Neue" w:hAnsi="Helvetica Neue" w:cs="Helvetica Neue"/>
          <w:sz w:val="22"/>
          <w:szCs w:val="22"/>
          <w:highlight w:val="white"/>
        </w:rPr>
        <w:lastRenderedPageBreak/>
        <w:t>This option is set out in this SI. It</w:t>
      </w:r>
      <w:r>
        <w:rPr>
          <w:rFonts w:ascii="Helvetica Neue" w:eastAsia="Helvetica Neue" w:hAnsi="Helvetica Neue" w:cs="Helvetica Neue"/>
          <w:sz w:val="22"/>
          <w:szCs w:val="22"/>
        </w:rPr>
        <w:t xml:space="preserve"> will ensure that </w:t>
      </w:r>
      <w:r>
        <w:rPr>
          <w:rFonts w:ascii="Helvetica Neue" w:eastAsia="Helvetica Neue" w:hAnsi="Helvetica Neue" w:cs="Helvetica Neue"/>
          <w:sz w:val="22"/>
          <w:szCs w:val="22"/>
          <w:highlight w:val="white"/>
        </w:rPr>
        <w:t xml:space="preserve">UK mobile operators do not face ‘one-sided’ regulation, where the retail rates they can charge are capped, but there is no control over the rates they have to pay out to EU operators. This will avoid imposing significant cost, risk of legal challenge and operators deactivating roaming. It also allows operators some flexibility: in a competitive market they may feel compelled to continue with EU surcharge-free mobile roaming. They may also be able to secure commercial arrangements with EU operators allowing them to continue with surcharge-free roaming. </w:t>
      </w:r>
    </w:p>
    <w:p w14:paraId="782ABA8B" w14:textId="5FBA0E34" w:rsidR="001122A3" w:rsidRDefault="00ED1797" w:rsidP="00700B39">
      <w:pPr>
        <w:spacing w:after="200"/>
        <w:ind w:right="113"/>
        <w:rPr>
          <w:rFonts w:ascii="Helvetica Neue" w:eastAsia="Helvetica Neue" w:hAnsi="Helvetica Neue" w:cs="Helvetica Neue"/>
          <w:b/>
          <w:i/>
          <w:sz w:val="22"/>
          <w:szCs w:val="22"/>
          <w:highlight w:val="white"/>
        </w:rPr>
      </w:pPr>
      <w:r>
        <w:rPr>
          <w:rFonts w:ascii="Helvetica Neue" w:eastAsia="Helvetica Neue" w:hAnsi="Helvetica Neue" w:cs="Helvetica Neue"/>
          <w:sz w:val="22"/>
          <w:szCs w:val="22"/>
        </w:rPr>
        <w:t xml:space="preserve">This option will also maintain the transparency arrangements so as to provide clarity on costs to UK customers roaming in EU member states. These requirements mean UK network operators have to send consumers a text message to inform them if they have ‘roamed’ onto a foreign network and the rates to which they are subject while roaming. The requirements also </w:t>
      </w:r>
      <w:r w:rsidR="002334BE">
        <w:rPr>
          <w:rFonts w:ascii="Helvetica Neue" w:eastAsia="Helvetica Neue" w:hAnsi="Helvetica Neue" w:cs="Helvetica Neue"/>
          <w:sz w:val="22"/>
          <w:szCs w:val="22"/>
        </w:rPr>
        <w:t>mandate UK</w:t>
      </w:r>
      <w:r>
        <w:rPr>
          <w:rFonts w:ascii="Helvetica Neue" w:eastAsia="Helvetica Neue" w:hAnsi="Helvetica Neue" w:cs="Helvetica Neue"/>
          <w:sz w:val="22"/>
          <w:szCs w:val="22"/>
        </w:rPr>
        <w:t xml:space="preserve"> network operators have a default financial limit of €50, which consumers have to actively overrule to continue spending on mobile roaming services. This is in an effort to stop consumers inadvertently accruing an unexpectedly large bill</w:t>
      </w:r>
      <w:r>
        <w:rPr>
          <w:rFonts w:ascii="PT Sans" w:eastAsia="PT Sans" w:hAnsi="PT Sans" w:cs="PT Sans"/>
          <w:sz w:val="22"/>
          <w:szCs w:val="22"/>
        </w:rPr>
        <w:t xml:space="preserve">. The €50 </w:t>
      </w:r>
      <w:r>
        <w:rPr>
          <w:rFonts w:ascii="Helvetica Neue" w:eastAsia="Helvetica Neue" w:hAnsi="Helvetica Neue" w:cs="Helvetica Neue"/>
          <w:sz w:val="22"/>
          <w:szCs w:val="22"/>
        </w:rPr>
        <w:t>limit would be amended to £45.</w:t>
      </w:r>
    </w:p>
    <w:p w14:paraId="7FBFBAE0" w14:textId="77777777" w:rsidR="00700B39" w:rsidRPr="00700B39" w:rsidRDefault="00700B39" w:rsidP="00700B39">
      <w:pPr>
        <w:spacing w:after="200"/>
        <w:ind w:right="113"/>
        <w:rPr>
          <w:rFonts w:ascii="Helvetica Neue" w:eastAsia="Helvetica Neue" w:hAnsi="Helvetica Neue" w:cs="Helvetica Neue"/>
          <w:b/>
          <w:i/>
          <w:sz w:val="22"/>
          <w:szCs w:val="22"/>
          <w:highlight w:val="white"/>
        </w:rPr>
      </w:pPr>
    </w:p>
    <w:p w14:paraId="4B5A8D16" w14:textId="3409D485" w:rsidR="007058F1" w:rsidRDefault="00ED1797">
      <w:pPr>
        <w:spacing w:before="50" w:after="200"/>
        <w:ind w:right="113"/>
        <w:rPr>
          <w:rFonts w:ascii="Helvetica Neue" w:eastAsia="Helvetica Neue" w:hAnsi="Helvetica Neue" w:cs="Helvetica Neue"/>
          <w:b/>
          <w:sz w:val="28"/>
          <w:szCs w:val="28"/>
        </w:rPr>
      </w:pPr>
      <w:r>
        <w:rPr>
          <w:rFonts w:ascii="Helvetica Neue" w:eastAsia="Helvetica Neue" w:hAnsi="Helvetica Neue" w:cs="Helvetica Neue"/>
          <w:b/>
          <w:color w:val="000000"/>
          <w:sz w:val="28"/>
          <w:szCs w:val="28"/>
        </w:rPr>
        <w:t>Monetised and non-monetised costs and benefits</w:t>
      </w:r>
    </w:p>
    <w:p w14:paraId="6BE351A4" w14:textId="6C6D22D3" w:rsidR="007058F1" w:rsidRDefault="00ED1797">
      <w:pPr>
        <w:spacing w:before="50" w:after="200"/>
        <w:ind w:right="113"/>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impact analysis provides an indication of the costs and benefits that would arise from policy option 4. These impacts are measured against what would happen if no SI were in place as set out above. </w:t>
      </w:r>
    </w:p>
    <w:p w14:paraId="0ABFF9D1" w14:textId="6A6D71CE" w:rsidR="007058F1" w:rsidRDefault="00ED1797">
      <w:pPr>
        <w:spacing w:before="50" w:after="200"/>
        <w:ind w:right="113"/>
        <w:rPr>
          <w:rFonts w:ascii="Helvetica Neue" w:eastAsia="Helvetica Neue" w:hAnsi="Helvetica Neue" w:cs="Helvetica Neue"/>
          <w:sz w:val="22"/>
          <w:szCs w:val="22"/>
        </w:rPr>
      </w:pPr>
      <w:r>
        <w:rPr>
          <w:rFonts w:ascii="Helvetica Neue" w:eastAsia="Helvetica Neue" w:hAnsi="Helvetica Neue" w:cs="Helvetica Neue"/>
          <w:sz w:val="22"/>
          <w:szCs w:val="22"/>
        </w:rPr>
        <w:t>The ‘do nothing’ scenario is a ‘no deal’ scenario in which caps on the wholesale charges which EU (and EEA) operators can charge UK operators for handling roaming traffic no longer apply. Any changes to wholesale rates are as a result of leaving the EU without a deal and are outside the scope of this impact assessment. The analysis below considers the difference between leaving the EU Roaming Regulation in UK statute without any correction and laying domestic legislation without a retail obligation on mobile operators.</w:t>
      </w:r>
    </w:p>
    <w:p w14:paraId="74D219D0" w14:textId="5539B2E4" w:rsidR="007058F1" w:rsidRDefault="00ED1797" w:rsidP="001122A3">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The impacts are dependent on what happens in a counterfactual ‘do nothing’ scenario. If the courts interpret the deficiencies in law to mean that retail caps become inoperable under the EU Withdrawal Act, the wider impact of this SI is zero as retail caps would not apply either way. Conversely, if the courts interpret that the law means that retail caps still apply, there may be wider impacts of the SI. There are direct impacts from familiarisation costs and reduced legal uncertainty in all do nothing scenarios.</w:t>
      </w:r>
    </w:p>
    <w:p w14:paraId="3B35306F" w14:textId="03B3DA82" w:rsidR="007058F1" w:rsidRPr="006B61F1" w:rsidRDefault="00ED1797">
      <w:pPr>
        <w:spacing w:before="50" w:after="200"/>
        <w:ind w:right="113"/>
        <w:rPr>
          <w:rFonts w:ascii="Helvetica Neue" w:eastAsia="Helvetica Neue" w:hAnsi="Helvetica Neue" w:cs="Helvetica Neue"/>
          <w:sz w:val="22"/>
          <w:szCs w:val="22"/>
        </w:rPr>
      </w:pPr>
      <w:r>
        <w:rPr>
          <w:rFonts w:ascii="Helvetica Neue" w:eastAsia="Helvetica Neue" w:hAnsi="Helvetica Neue" w:cs="Helvetica Neue"/>
          <w:b/>
          <w:i/>
          <w:sz w:val="22"/>
          <w:szCs w:val="22"/>
        </w:rPr>
        <w:t>Policy Option 4: Domestic legislation without one-sided regulation</w:t>
      </w:r>
    </w:p>
    <w:p w14:paraId="028FE413" w14:textId="77777777" w:rsidR="007058F1" w:rsidRPr="006B61F1" w:rsidRDefault="00ED1797">
      <w:pPr>
        <w:spacing w:before="50" w:after="50"/>
        <w:ind w:right="113"/>
        <w:rPr>
          <w:rFonts w:ascii="Helvetica Neue" w:eastAsia="Helvetica Neue" w:hAnsi="Helvetica Neue" w:cs="Helvetica Neue"/>
          <w:i/>
        </w:rPr>
      </w:pPr>
      <w:r w:rsidRPr="006B61F1">
        <w:rPr>
          <w:rFonts w:ascii="Helvetica Neue" w:eastAsia="Helvetica Neue" w:hAnsi="Helvetica Neue" w:cs="Helvetica Neue"/>
          <w:i/>
        </w:rPr>
        <w:t>Summary</w:t>
      </w:r>
    </w:p>
    <w:p w14:paraId="652D66E5" w14:textId="77777777" w:rsidR="007058F1" w:rsidRDefault="00ED1797">
      <w:pPr>
        <w:spacing w:before="50" w:after="200"/>
        <w:ind w:right="113"/>
        <w:rPr>
          <w:rFonts w:ascii="Helvetica Neue" w:eastAsia="Helvetica Neue" w:hAnsi="Helvetica Neue" w:cs="Helvetica Neue"/>
          <w:sz w:val="22"/>
          <w:szCs w:val="22"/>
        </w:rPr>
      </w:pPr>
      <w:r>
        <w:rPr>
          <w:rFonts w:ascii="Helvetica Neue" w:eastAsia="Helvetica Neue" w:hAnsi="Helvetica Neue" w:cs="Helvetica Neue"/>
          <w:sz w:val="22"/>
          <w:szCs w:val="22"/>
        </w:rPr>
        <w:t>The key costs and benefits of this measure relate to mobile operators. These are dependent on what would happen in the counterfactual scenario in which this SI is not implemented. In all scenarios mobile operators benefit from reduced legal uncertainty, at the expense of small familiarisation costs. Other benefits are dependent on the legal interpretation of EU Roaming Regulation in the UK statute in a do nothing scenario, as discussed below.</w:t>
      </w:r>
    </w:p>
    <w:p w14:paraId="19D14FAA" w14:textId="77777777" w:rsidR="007058F1" w:rsidRDefault="00ED1797">
      <w:pPr>
        <w:spacing w:before="50" w:after="200"/>
        <w:ind w:right="113"/>
        <w:rPr>
          <w:rFonts w:ascii="Helvetica Neue" w:eastAsia="Helvetica Neue" w:hAnsi="Helvetica Neue" w:cs="Helvetica Neue"/>
          <w:sz w:val="22"/>
          <w:szCs w:val="22"/>
        </w:rPr>
      </w:pPr>
      <w:r>
        <w:rPr>
          <w:rFonts w:ascii="Helvetica Neue" w:eastAsia="Helvetica Neue" w:hAnsi="Helvetica Neue" w:cs="Helvetica Neue"/>
          <w:sz w:val="22"/>
          <w:szCs w:val="22"/>
        </w:rPr>
        <w:t>Other affected groups would be individuals and businesses who consume mobile roaming services. The impact on these groups is a function of how wholesale rates change after the caps are removed, which is outside the scope of the impact assessment. We discuss potential scenarios for these groups below.</w:t>
      </w:r>
    </w:p>
    <w:p w14:paraId="66C8B380" w14:textId="5111C3E7" w:rsidR="001F3939" w:rsidRPr="00700B39" w:rsidRDefault="00ED1797">
      <w:pPr>
        <w:spacing w:before="50" w:after="200"/>
        <w:ind w:right="113"/>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This impact assessment does not provide detailed quantification of costs and benefits due to the inherent uncertainty of factors outside the scope of this SI and a lack of publicly available data. </w:t>
      </w:r>
    </w:p>
    <w:p w14:paraId="61B09F6E" w14:textId="4A52D52B" w:rsidR="007058F1" w:rsidRDefault="00ED1797">
      <w:pPr>
        <w:spacing w:before="50" w:after="200"/>
        <w:ind w:right="113"/>
        <w:rPr>
          <w:rFonts w:ascii="Helvetica Neue" w:eastAsia="Helvetica Neue" w:hAnsi="Helvetica Neue" w:cs="Helvetica Neue"/>
          <w:i/>
        </w:rPr>
      </w:pPr>
      <w:r>
        <w:rPr>
          <w:rFonts w:ascii="Helvetica Neue" w:eastAsia="Helvetica Neue" w:hAnsi="Helvetica Neue" w:cs="Helvetica Neue"/>
          <w:i/>
        </w:rPr>
        <w:t>Expected costs:</w:t>
      </w:r>
    </w:p>
    <w:p w14:paraId="696E2610" w14:textId="0FDDC540" w:rsidR="002334BE" w:rsidRDefault="00ED1797" w:rsidP="001122A3">
      <w:pPr>
        <w:spacing w:before="50" w:after="240"/>
        <w:ind w:right="113"/>
        <w:rPr>
          <w:rFonts w:ascii="Helvetica Neue" w:eastAsia="Helvetica Neue" w:hAnsi="Helvetica Neue" w:cs="Helvetica Neue"/>
          <w:i/>
          <w:sz w:val="22"/>
          <w:szCs w:val="22"/>
        </w:rPr>
      </w:pPr>
      <w:r>
        <w:rPr>
          <w:rFonts w:ascii="Helvetica Neue" w:eastAsia="Helvetica Neue" w:hAnsi="Helvetica Neue" w:cs="Helvetica Neue"/>
          <w:i/>
          <w:sz w:val="22"/>
          <w:szCs w:val="22"/>
        </w:rPr>
        <w:t>Direct costs</w:t>
      </w:r>
    </w:p>
    <w:p w14:paraId="0D5855EB" w14:textId="14757850" w:rsidR="007058F1" w:rsidRDefault="00ED1797">
      <w:pPr>
        <w:keepNext/>
        <w:rPr>
          <w:rFonts w:ascii="Helvetica Neue" w:eastAsia="Helvetica Neue" w:hAnsi="Helvetica Neue" w:cs="Helvetica Neue"/>
          <w:sz w:val="22"/>
          <w:szCs w:val="22"/>
        </w:rPr>
      </w:pPr>
      <w:r>
        <w:rPr>
          <w:rFonts w:ascii="Helvetica Neue" w:eastAsia="Helvetica Neue" w:hAnsi="Helvetica Neue" w:cs="Helvetica Neue"/>
          <w:sz w:val="22"/>
          <w:szCs w:val="22"/>
        </w:rPr>
        <w:lastRenderedPageBreak/>
        <w:t>We recommend a continuation of the transparency requirements, i.e. no change. The only minor alteration would be to convert the currency of the default financial limit for mobile data usage whilst roaming:</w:t>
      </w:r>
      <w:r>
        <w:rPr>
          <w:rFonts w:ascii="PT Sans" w:eastAsia="PT Sans" w:hAnsi="PT Sans" w:cs="PT Sans"/>
          <w:sz w:val="22"/>
          <w:szCs w:val="22"/>
        </w:rPr>
        <w:t xml:space="preserve"> from €50 to £45. </w:t>
      </w:r>
    </w:p>
    <w:p w14:paraId="10E4D571" w14:textId="77777777" w:rsidR="007058F1" w:rsidRPr="006B61F1" w:rsidRDefault="007058F1" w:rsidP="006B61F1">
      <w:pPr>
        <w:keepNext/>
        <w:ind w:left="720"/>
        <w:rPr>
          <w:color w:val="000000"/>
          <w:sz w:val="22"/>
          <w:szCs w:val="22"/>
        </w:rPr>
      </w:pPr>
    </w:p>
    <w:p w14:paraId="35DD04F3" w14:textId="5739A667"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There would be a minimal familiarisation cost to </w:t>
      </w:r>
      <w:r>
        <w:rPr>
          <w:rFonts w:ascii="Helvetica Neue" w:eastAsia="Helvetica Neue" w:hAnsi="Helvetica Neue" w:cs="Helvetica Neue"/>
          <w:b/>
          <w:sz w:val="22"/>
          <w:szCs w:val="22"/>
        </w:rPr>
        <w:t xml:space="preserve">operators </w:t>
      </w:r>
      <w:r>
        <w:rPr>
          <w:rFonts w:ascii="Helvetica Neue" w:eastAsia="Helvetica Neue" w:hAnsi="Helvetica Neue" w:cs="Helvetica Neue"/>
          <w:sz w:val="22"/>
          <w:szCs w:val="22"/>
        </w:rPr>
        <w:t>in converting the currency of the default financial limit. This may be estimated as the cost of one employee in each mobile operator in the UK taking up to one working day to read the provisions of this statutory instrument and update their terms and conditions. The cost can be calculated as £21.90, the average hourly wage of an employee in the telecoms sector</w:t>
      </w:r>
      <w:r>
        <w:rPr>
          <w:rFonts w:ascii="Helvetica Neue" w:eastAsia="Helvetica Neue" w:hAnsi="Helvetica Neue" w:cs="Helvetica Neue"/>
          <w:sz w:val="22"/>
          <w:szCs w:val="22"/>
          <w:vertAlign w:val="superscript"/>
        </w:rPr>
        <w:footnoteReference w:id="3"/>
      </w:r>
      <w:r>
        <w:rPr>
          <w:rFonts w:ascii="Helvetica Neue" w:eastAsia="Helvetica Neue" w:hAnsi="Helvetica Neue" w:cs="Helvetica Neue"/>
          <w:sz w:val="22"/>
          <w:szCs w:val="22"/>
        </w:rPr>
        <w:t>, multiplied by the number of hours required (1-3 days, 7 hours a day), multiplied by the number of mobile companies operating billing systems. As firms are not required to notify authorities when offering mobile services, we do not have exact figures on the</w:t>
      </w:r>
      <w:r w:rsidR="002334BE">
        <w:rPr>
          <w:rFonts w:ascii="Helvetica Neue" w:eastAsia="Helvetica Neue" w:hAnsi="Helvetica Neue" w:cs="Helvetica Neue"/>
          <w:sz w:val="22"/>
          <w:szCs w:val="22"/>
        </w:rPr>
        <w:t xml:space="preserve"> </w:t>
      </w:r>
      <w:r>
        <w:rPr>
          <w:rFonts w:ascii="Helvetica Neue" w:eastAsia="Helvetica Neue" w:hAnsi="Helvetica Neue" w:cs="Helvetica Neue"/>
          <w:sz w:val="22"/>
          <w:szCs w:val="22"/>
        </w:rPr>
        <w:t>number of mobile companies operating billing systems, but it is at least 40. A high estimate of the number of operators operating billing systems would be 60.</w:t>
      </w:r>
    </w:p>
    <w:p w14:paraId="7B13C141" w14:textId="7B18D4BC"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This suggests that the upper limit for the total cost to all mobile operators will be roughly £35,000:</w:t>
      </w:r>
    </w:p>
    <w:p w14:paraId="3FE9D8CB" w14:textId="77777777"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£21.9*21*60 + 30% overheads</w:t>
      </w:r>
    </w:p>
    <w:p w14:paraId="092EB918" w14:textId="1E7ED9FC"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Our best estimate for familiarisation costs is closer to £10,000 (£21.9*7*40 + 30% overheads) and thus can be considered negligible.  </w:t>
      </w:r>
    </w:p>
    <w:p w14:paraId="15E85436" w14:textId="0F2EA995" w:rsidR="007058F1" w:rsidRDefault="00ED1797" w:rsidP="001122A3">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There would not be a system set-up cost as operators’ billing systems already exist and are able to price in sterling as well as Euro and these systems are used to alert consumers of roaming bill spend in all countries, not just in the EU.  </w:t>
      </w:r>
    </w:p>
    <w:p w14:paraId="0C2C6C15" w14:textId="77777777" w:rsidR="001122A3" w:rsidRDefault="001122A3" w:rsidP="001122A3">
      <w:pPr>
        <w:keepNext/>
        <w:spacing w:after="120"/>
        <w:rPr>
          <w:rFonts w:ascii="Helvetica Neue" w:eastAsia="Helvetica Neue" w:hAnsi="Helvetica Neue" w:cs="Helvetica Neue"/>
          <w:sz w:val="22"/>
          <w:szCs w:val="22"/>
        </w:rPr>
      </w:pPr>
    </w:p>
    <w:p w14:paraId="0CF3535E" w14:textId="37FEBCCC" w:rsidR="007058F1" w:rsidRPr="006B61F1" w:rsidRDefault="001122A3">
      <w:pPr>
        <w:keepNext/>
        <w:spacing w:after="120"/>
        <w:rPr>
          <w:rFonts w:ascii="Helvetica Neue" w:eastAsia="Helvetica Neue" w:hAnsi="Helvetica Neue" w:cs="Helvetica Neue"/>
          <w:i/>
          <w:sz w:val="22"/>
          <w:szCs w:val="22"/>
        </w:rPr>
      </w:pPr>
      <w:r>
        <w:rPr>
          <w:rFonts w:ascii="Helvetica Neue" w:eastAsia="Helvetica Neue" w:hAnsi="Helvetica Neue" w:cs="Helvetica Neue"/>
          <w:i/>
          <w:sz w:val="22"/>
          <w:szCs w:val="22"/>
        </w:rPr>
        <w:t>Indirect Costs</w:t>
      </w:r>
    </w:p>
    <w:p w14:paraId="6DD1F604" w14:textId="77777777" w:rsidR="007058F1" w:rsidRDefault="00ED1797">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In 2017, there were 54.7 million visits from UK residents to the EU, of which 4.8 million were travelling for business</w:t>
      </w:r>
      <w:r>
        <w:rPr>
          <w:rFonts w:ascii="Helvetica Neue" w:eastAsia="Helvetica Neue" w:hAnsi="Helvetica Neue" w:cs="Helvetica Neue"/>
          <w:sz w:val="22"/>
          <w:szCs w:val="22"/>
          <w:vertAlign w:val="superscript"/>
        </w:rPr>
        <w:footnoteReference w:id="4"/>
      </w:r>
      <w:r>
        <w:rPr>
          <w:rFonts w:ascii="Helvetica Neue" w:eastAsia="Helvetica Neue" w:hAnsi="Helvetica Neue" w:cs="Helvetica Neue"/>
          <w:sz w:val="22"/>
          <w:szCs w:val="22"/>
        </w:rPr>
        <w:t xml:space="preserve">. After leaving the EU, mobile operators may be able to pass on costs of roaming to individuals and businesses who use their mobile while traveling in the EU. This is because the UK Government cannot set through national legislation that puts caps on the wholesale roaming charges EU operators can charge UK operators. These impacts are not as a result of this SI and thus are not included in this impact assessment. </w:t>
      </w:r>
    </w:p>
    <w:p w14:paraId="2AD7F27D" w14:textId="77777777" w:rsidR="007058F1" w:rsidRDefault="00ED1797">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only situation in which </w:t>
      </w:r>
      <w:r w:rsidRPr="006B61F1">
        <w:rPr>
          <w:rFonts w:ascii="Helvetica Neue" w:eastAsia="Helvetica Neue" w:hAnsi="Helvetica Neue" w:cs="Helvetica Neue"/>
          <w:b/>
          <w:sz w:val="22"/>
          <w:szCs w:val="22"/>
        </w:rPr>
        <w:t>individuals and businesses as consumers</w:t>
      </w:r>
      <w:r>
        <w:rPr>
          <w:rFonts w:ascii="Helvetica Neue" w:eastAsia="Helvetica Neue" w:hAnsi="Helvetica Neue" w:cs="Helvetica Neue"/>
          <w:sz w:val="22"/>
          <w:szCs w:val="22"/>
        </w:rPr>
        <w:t xml:space="preserve"> might face costs as a result of this SI is if roaming surcharges were increased as a result of mobile operator market power, rather than a result of changes to wholesale prices. The removal of retail price caps leaves open the potential for operators to raise and maintain prices above the level that would prevail under competition, which would lead to a loss of economic welfare.</w:t>
      </w:r>
    </w:p>
    <w:p w14:paraId="397E62C7" w14:textId="77777777" w:rsidR="007058F1" w:rsidRDefault="00ED1797">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On the one hand, the structure of the UK and EU mobile markets do provide potential opportunities for operators to set prices above the socially optimal level, both retail and wholesale. As discussed above, the EU introduced Roaming Regulations partly in response to weak competitive forces in the market for mobile roaming. Consumers would choose their mobile operator for reasons other than the price of roaming and wholesale rates UK operators could secure were affected by weak operator competition in some member states. Although this SI is not related to wholesale price caps, the combination of no retail price caps and weak competition in the retail market might lead to higher costs to consumers.</w:t>
      </w:r>
    </w:p>
    <w:p w14:paraId="40A03D11" w14:textId="77777777" w:rsidR="007058F1" w:rsidRDefault="00ED1797">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On the other hand, the four largest mobile operators (3, EE, O2 and Vodafone) have already stated that they have no current plans to change their approach to mobile roaming after EU Exit, regardless of whether this continues to be required. Furthermore, consumers have experienced two years of surcharge-free roaming in the EU via the EU Roaming Regulation and the market dynamics have changed as a consequence. A decision by operators to revoke surcharge-free roaming after EU Exit is not the same as deciding not to offer it before ‘Roam </w:t>
      </w:r>
      <w:r>
        <w:rPr>
          <w:rFonts w:ascii="Helvetica Neue" w:eastAsia="Helvetica Neue" w:hAnsi="Helvetica Neue" w:cs="Helvetica Neue"/>
          <w:sz w:val="22"/>
          <w:szCs w:val="22"/>
        </w:rPr>
        <w:lastRenderedPageBreak/>
        <w:t>like At Home’ regulations. There may be loss aversion from consumers in regards surcharge-free roaming; this may provide sufficient competitive pressures to prevent operators from raising prices independently of changes to wholesale prices.</w:t>
      </w:r>
    </w:p>
    <w:p w14:paraId="28F91EC9" w14:textId="31955D38" w:rsidR="001122A3" w:rsidRPr="00700B39" w:rsidRDefault="00ED1797" w:rsidP="00700B39">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Overall it is very difficult to determine if operators have sufficient market power, or the relevant incentives, to impose costs on consumers. It is also very difficult to separate out any impacts from changes due to wholesale prices. Finally, it is also problematic comparing any market power effects to the benefits of avoiding the risks to consumers in a ‘do nothing’ scenario, namely the loss of roaming or a waterbed effect. For that reason we have not included any indirect costs to individual or business consumers in this impact assessment.</w:t>
      </w:r>
    </w:p>
    <w:p w14:paraId="270D41BB" w14:textId="555B41D3" w:rsidR="007058F1" w:rsidRDefault="00ED1797">
      <w:pPr>
        <w:spacing w:before="50" w:after="200"/>
        <w:ind w:right="113"/>
        <w:rPr>
          <w:rFonts w:ascii="Helvetica Neue" w:eastAsia="Helvetica Neue" w:hAnsi="Helvetica Neue" w:cs="Helvetica Neue"/>
          <w:i/>
        </w:rPr>
      </w:pPr>
      <w:r>
        <w:rPr>
          <w:rFonts w:ascii="Helvetica Neue" w:eastAsia="Helvetica Neue" w:hAnsi="Helvetica Neue" w:cs="Helvetica Neue"/>
          <w:i/>
        </w:rPr>
        <w:t>Expected benefits:</w:t>
      </w:r>
    </w:p>
    <w:p w14:paraId="429F72CF" w14:textId="77777777" w:rsidR="007058F1" w:rsidRDefault="00ED1797">
      <w:pPr>
        <w:spacing w:before="50" w:after="200"/>
        <w:ind w:right="113"/>
        <w:rPr>
          <w:rFonts w:ascii="Helvetica Neue" w:eastAsia="Helvetica Neue" w:hAnsi="Helvetica Neue" w:cs="Helvetica Neue"/>
          <w:i/>
          <w:sz w:val="22"/>
          <w:szCs w:val="22"/>
        </w:rPr>
      </w:pPr>
      <w:r>
        <w:rPr>
          <w:rFonts w:ascii="Helvetica Neue" w:eastAsia="Helvetica Neue" w:hAnsi="Helvetica Neue" w:cs="Helvetica Neue"/>
          <w:i/>
          <w:sz w:val="22"/>
          <w:szCs w:val="22"/>
        </w:rPr>
        <w:t>Direct Benefits</w:t>
      </w:r>
    </w:p>
    <w:p w14:paraId="7A043ACC" w14:textId="77777777" w:rsidR="007058F1" w:rsidRPr="006B61F1" w:rsidRDefault="00ED1797">
      <w:pPr>
        <w:spacing w:before="50" w:after="200"/>
        <w:ind w:right="113"/>
        <w:rPr>
          <w:rFonts w:ascii="Helvetica Neue" w:eastAsia="Helvetica Neue" w:hAnsi="Helvetica Neue" w:cs="Helvetica Neue"/>
          <w:sz w:val="22"/>
          <w:szCs w:val="22"/>
        </w:rPr>
      </w:pPr>
      <w:r w:rsidRPr="006B61F1">
        <w:rPr>
          <w:rFonts w:ascii="Helvetica Neue" w:eastAsia="Helvetica Neue" w:hAnsi="Helvetica Neue" w:cs="Helvetica Neue"/>
          <w:sz w:val="22"/>
          <w:szCs w:val="22"/>
        </w:rPr>
        <w:t>As stated above</w:t>
      </w:r>
      <w:r>
        <w:rPr>
          <w:rFonts w:ascii="Helvetica Neue" w:eastAsia="Helvetica Neue" w:hAnsi="Helvetica Neue" w:cs="Helvetica Neue"/>
          <w:i/>
          <w:sz w:val="22"/>
          <w:szCs w:val="22"/>
        </w:rPr>
        <w:t xml:space="preserve">, </w:t>
      </w:r>
      <w:r w:rsidRPr="006B61F1">
        <w:rPr>
          <w:rFonts w:ascii="Helvetica Neue" w:eastAsia="Helvetica Neue" w:hAnsi="Helvetica Neue" w:cs="Helvetica Neue"/>
          <w:sz w:val="22"/>
          <w:szCs w:val="22"/>
        </w:rPr>
        <w:t>retaining the EU Roaming Regulation in the UK statute book without any correction would leave the legal situation unclear on EU Exit. This SI has the direct benefit of removing that legal uncertainty.</w:t>
      </w:r>
    </w:p>
    <w:p w14:paraId="0F50AEE1" w14:textId="77777777" w:rsidR="007058F1" w:rsidRPr="006B61F1" w:rsidRDefault="00ED1797">
      <w:pPr>
        <w:spacing w:before="50" w:after="200"/>
        <w:ind w:right="113"/>
        <w:rPr>
          <w:rFonts w:ascii="Helvetica Neue" w:eastAsia="Helvetica Neue" w:hAnsi="Helvetica Neue" w:cs="Helvetica Neue"/>
          <w:sz w:val="22"/>
          <w:szCs w:val="22"/>
        </w:rPr>
      </w:pPr>
      <w:r w:rsidRPr="006B61F1">
        <w:rPr>
          <w:rFonts w:ascii="Helvetica Neue" w:eastAsia="Helvetica Neue" w:hAnsi="Helvetica Neue" w:cs="Helvetica Neue"/>
          <w:sz w:val="22"/>
          <w:szCs w:val="22"/>
        </w:rPr>
        <w:t xml:space="preserve">This would avoid </w:t>
      </w:r>
      <w:r w:rsidRPr="006B61F1">
        <w:rPr>
          <w:rFonts w:ascii="Helvetica Neue" w:eastAsia="Helvetica Neue" w:hAnsi="Helvetica Neue" w:cs="Helvetica Neue"/>
          <w:b/>
          <w:sz w:val="22"/>
          <w:szCs w:val="22"/>
        </w:rPr>
        <w:t>mobile operators</w:t>
      </w:r>
      <w:r w:rsidRPr="006B61F1">
        <w:rPr>
          <w:rFonts w:ascii="Helvetica Neue" w:eastAsia="Helvetica Neue" w:hAnsi="Helvetica Neue" w:cs="Helvetica Neue"/>
          <w:sz w:val="22"/>
          <w:szCs w:val="22"/>
        </w:rPr>
        <w:t xml:space="preserve"> facing fees for legal advice to </w:t>
      </w:r>
      <w:r>
        <w:rPr>
          <w:rFonts w:ascii="Helvetica Neue" w:eastAsia="Helvetica Neue" w:hAnsi="Helvetica Neue" w:cs="Helvetica Neue"/>
          <w:sz w:val="22"/>
          <w:szCs w:val="22"/>
        </w:rPr>
        <w:t>ascertain</w:t>
      </w:r>
      <w:r w:rsidRPr="006B61F1">
        <w:rPr>
          <w:rFonts w:ascii="Helvetica Neue" w:eastAsia="Helvetica Neue" w:hAnsi="Helvetica Neue" w:cs="Helvetica Neue"/>
          <w:sz w:val="22"/>
          <w:szCs w:val="22"/>
        </w:rPr>
        <w:t xml:space="preserve"> which EU regulations still apply and any potential litigation resulting from this. The risks of </w:t>
      </w:r>
      <w:r>
        <w:rPr>
          <w:rFonts w:ascii="Helvetica Neue" w:eastAsia="Helvetica Neue" w:hAnsi="Helvetica Neue" w:cs="Helvetica Neue"/>
          <w:sz w:val="22"/>
          <w:szCs w:val="22"/>
        </w:rPr>
        <w:t xml:space="preserve">uncapped exposure to the charges of EU operators is significant, and so it is reasonable </w:t>
      </w:r>
      <w:r w:rsidRPr="006B61F1">
        <w:rPr>
          <w:rFonts w:ascii="Helvetica Neue" w:eastAsia="Helvetica Neue" w:hAnsi="Helvetica Neue" w:cs="Helvetica Neue"/>
          <w:sz w:val="22"/>
          <w:szCs w:val="22"/>
        </w:rPr>
        <w:t xml:space="preserve">to assume that operators would choose to incur </w:t>
      </w:r>
      <w:r>
        <w:rPr>
          <w:rFonts w:ascii="Helvetica Neue" w:eastAsia="Helvetica Neue" w:hAnsi="Helvetica Neue" w:cs="Helvetica Neue"/>
          <w:i/>
          <w:sz w:val="22"/>
          <w:szCs w:val="22"/>
        </w:rPr>
        <w:t xml:space="preserve">higher </w:t>
      </w:r>
      <w:r w:rsidRPr="006B61F1">
        <w:rPr>
          <w:rFonts w:ascii="Helvetica Neue" w:eastAsia="Helvetica Neue" w:hAnsi="Helvetica Neue" w:cs="Helvetica Neue"/>
          <w:sz w:val="22"/>
          <w:szCs w:val="22"/>
        </w:rPr>
        <w:t xml:space="preserve">legal costs than they would during normal </w:t>
      </w:r>
      <w:r>
        <w:rPr>
          <w:rFonts w:ascii="Helvetica Neue" w:eastAsia="Helvetica Neue" w:hAnsi="Helvetica Neue" w:cs="Helvetica Neue"/>
          <w:sz w:val="22"/>
          <w:szCs w:val="22"/>
        </w:rPr>
        <w:t>operation (or for the implementation of this SI)</w:t>
      </w:r>
      <w:r w:rsidRPr="006B61F1">
        <w:rPr>
          <w:rFonts w:ascii="Helvetica Neue" w:eastAsia="Helvetica Neue" w:hAnsi="Helvetica Neue" w:cs="Helvetica Neue"/>
          <w:sz w:val="22"/>
          <w:szCs w:val="22"/>
        </w:rPr>
        <w:t>.</w:t>
      </w:r>
    </w:p>
    <w:p w14:paraId="2551B080" w14:textId="2444CB91" w:rsidR="007058F1" w:rsidRPr="006B61F1" w:rsidRDefault="00ED1797">
      <w:pPr>
        <w:spacing w:before="50" w:after="200"/>
        <w:ind w:right="113"/>
        <w:rPr>
          <w:rFonts w:ascii="Helvetica Neue" w:eastAsia="Helvetica Neue" w:hAnsi="Helvetica Neue" w:cs="Helvetica Neue"/>
          <w:sz w:val="22"/>
          <w:szCs w:val="22"/>
        </w:rPr>
      </w:pPr>
      <w:r w:rsidRPr="006B61F1">
        <w:rPr>
          <w:rFonts w:ascii="Helvetica Neue" w:eastAsia="Helvetica Neue" w:hAnsi="Helvetica Neue" w:cs="Helvetica Neue"/>
          <w:sz w:val="22"/>
          <w:szCs w:val="22"/>
        </w:rPr>
        <w:t xml:space="preserve">We do not have the information to reliably estimate the benefits from savings on legal fees. However, given that fees for corporate lawyers are hundreds of pounds per hour, it is almost certain that savings on these will outweigh any </w:t>
      </w:r>
      <w:r w:rsidR="006B61F1" w:rsidRPr="006B61F1">
        <w:rPr>
          <w:rFonts w:ascii="Helvetica Neue" w:eastAsia="Helvetica Neue" w:hAnsi="Helvetica Neue" w:cs="Helvetica Neue"/>
          <w:sz w:val="22"/>
          <w:szCs w:val="22"/>
        </w:rPr>
        <w:t>famil</w:t>
      </w:r>
      <w:r w:rsidR="006B61F1">
        <w:rPr>
          <w:rFonts w:ascii="Helvetica Neue" w:eastAsia="Helvetica Neue" w:hAnsi="Helvetica Neue" w:cs="Helvetica Neue"/>
          <w:sz w:val="22"/>
          <w:szCs w:val="22"/>
        </w:rPr>
        <w:t>iarisation</w:t>
      </w:r>
      <w:r w:rsidR="006B61F1" w:rsidRPr="006B61F1">
        <w:rPr>
          <w:rFonts w:ascii="Helvetica Neue" w:eastAsia="Helvetica Neue" w:hAnsi="Helvetica Neue" w:cs="Helvetica Neue"/>
          <w:sz w:val="22"/>
          <w:szCs w:val="22"/>
        </w:rPr>
        <w:t xml:space="preserve"> </w:t>
      </w:r>
      <w:r w:rsidRPr="006B61F1">
        <w:rPr>
          <w:rFonts w:ascii="Helvetica Neue" w:eastAsia="Helvetica Neue" w:hAnsi="Helvetica Neue" w:cs="Helvetica Neue"/>
          <w:sz w:val="22"/>
          <w:szCs w:val="22"/>
        </w:rPr>
        <w:t>costs. For example, at legal costs of £500 per hour, it would only require 4 mobile operators to hire lawyers for 3 days each for total legal fees to be greater than £40,000; this is greater than the upper limit of our estimate for familiarisation costs. In reality legal fees may be much higher than this, so it is reasonable to assume a net saving for mobile operators. For example, 40 operators incurring two weeks of legal fees at £1000 per hour gives a high estimate of over £2,000,000.</w:t>
      </w:r>
    </w:p>
    <w:p w14:paraId="49ECF245" w14:textId="77777777" w:rsidR="007058F1" w:rsidRPr="006B61F1" w:rsidRDefault="00ED1797">
      <w:pPr>
        <w:spacing w:before="50" w:after="200"/>
        <w:ind w:right="113"/>
        <w:rPr>
          <w:rFonts w:ascii="Helvetica Neue" w:eastAsia="Helvetica Neue" w:hAnsi="Helvetica Neue" w:cs="Helvetica Neue"/>
          <w:sz w:val="22"/>
          <w:szCs w:val="22"/>
        </w:rPr>
      </w:pPr>
      <w:r w:rsidRPr="006B61F1">
        <w:rPr>
          <w:rFonts w:ascii="Helvetica Neue" w:eastAsia="Helvetica Neue" w:hAnsi="Helvetica Neue" w:cs="Helvetica Neue"/>
          <w:sz w:val="22"/>
          <w:szCs w:val="22"/>
        </w:rPr>
        <w:t xml:space="preserve">Note that policy option 3 would also remove the legal uncertainty around the interpretation of EU Roaming Regulation in the UK statute book. However, opting for one-sided regulation would in itself be open to legal challenge; this would likely negate any savings from legal fees when compared to a ‘do nothing’ option. </w:t>
      </w:r>
    </w:p>
    <w:p w14:paraId="22171DC1" w14:textId="5C1D231F" w:rsidR="007058F1" w:rsidRDefault="00ED1797">
      <w:pPr>
        <w:keepNext/>
        <w:spacing w:after="200"/>
        <w:rPr>
          <w:rFonts w:ascii="Helvetica Neue" w:eastAsia="Helvetica Neue" w:hAnsi="Helvetica Neue" w:cs="Helvetica Neue"/>
          <w:i/>
          <w:sz w:val="22"/>
          <w:szCs w:val="22"/>
        </w:rPr>
      </w:pPr>
      <w:r>
        <w:rPr>
          <w:rFonts w:ascii="Helvetica Neue" w:eastAsia="Helvetica Neue" w:hAnsi="Helvetica Neue" w:cs="Helvetica Neue"/>
          <w:i/>
          <w:sz w:val="22"/>
          <w:szCs w:val="22"/>
        </w:rPr>
        <w:t>Indirect benefits</w:t>
      </w:r>
    </w:p>
    <w:p w14:paraId="6BDD4309" w14:textId="77777777" w:rsidR="007058F1" w:rsidRDefault="00ED1797">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There may be indirect benefits for mobile operators, individual consumers and businesses as consumers.</w:t>
      </w:r>
    </w:p>
    <w:p w14:paraId="2261ACE1" w14:textId="77777777" w:rsidR="007058F1" w:rsidRDefault="00ED1797">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Leaving the EU will mean that the wholesale rates which EU network operators and UK operators charge each other become unconstrained by regulation. The impacts of any potential changes to wholesale rates is outside the scope of this impact assessment. </w:t>
      </w:r>
    </w:p>
    <w:p w14:paraId="1831E9EA" w14:textId="77777777" w:rsidR="007058F1" w:rsidRDefault="00ED1797">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Given that wholesale rates may change after leaving the EU regardless of this SI, </w:t>
      </w:r>
      <w:r w:rsidRPr="006B61F1">
        <w:rPr>
          <w:rFonts w:ascii="Helvetica Neue" w:eastAsia="Helvetica Neue" w:hAnsi="Helvetica Neue" w:cs="Helvetica Neue"/>
          <w:b/>
          <w:sz w:val="22"/>
          <w:szCs w:val="22"/>
        </w:rPr>
        <w:t>mobile operators</w:t>
      </w:r>
      <w:r>
        <w:rPr>
          <w:rFonts w:ascii="Helvetica Neue" w:eastAsia="Helvetica Neue" w:hAnsi="Helvetica Neue" w:cs="Helvetica Neue"/>
          <w:sz w:val="22"/>
          <w:szCs w:val="22"/>
        </w:rPr>
        <w:t xml:space="preserve"> will benefit from not being constrained by surcharge-free roaming. Operators still have the flexibility to continue to offer surcharge-free roaming to their customers, but would also have the ability to respond to changes to wholesale rates charged by EU operators if necessary. In all scenarios for wholesale rates, total wholesale costs for UK operators would be equal or lower when retail caps are removed compared to when they are not (assuming roaming is not deactivated completely). This is because when surcharges are zero, the quantity of roaming services consumed is maximised, i.e. consumers do not need to moderate their mobile usage when abroad due to additional charges for roaming. This means that at each given wholesale price, total wholesale payments are also at their maximum. </w:t>
      </w:r>
    </w:p>
    <w:p w14:paraId="4DE775FF" w14:textId="77777777" w:rsidR="007058F1" w:rsidRDefault="00ED1797">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To put it another way, in the case of one-sided retail caps, UK operators would have to pay the going wholesale price for all the call, texts and data used by their customers on a ‘roam like at home basis’. With retail caps explicitly removed, UK operators would have the </w:t>
      </w:r>
      <w:r>
        <w:rPr>
          <w:rFonts w:ascii="Helvetica Neue" w:eastAsia="Helvetica Neue" w:hAnsi="Helvetica Neue" w:cs="Helvetica Neue"/>
          <w:i/>
          <w:sz w:val="22"/>
          <w:szCs w:val="22"/>
        </w:rPr>
        <w:t xml:space="preserve">option </w:t>
      </w:r>
      <w:r>
        <w:rPr>
          <w:rFonts w:ascii="Helvetica Neue" w:eastAsia="Helvetica Neue" w:hAnsi="Helvetica Neue" w:cs="Helvetica Neue"/>
          <w:sz w:val="22"/>
          <w:szCs w:val="22"/>
        </w:rPr>
        <w:t xml:space="preserve">to reduce the usage of roaming services by applying a roaming surcharge. Therefore either operators chose to keep surcharge-free roaming and the amount of roaming services consumed is unchanged, or surcharges are reintroduced and roaming services consumed </w:t>
      </w:r>
      <w:r>
        <w:rPr>
          <w:rFonts w:ascii="Helvetica Neue" w:eastAsia="Helvetica Neue" w:hAnsi="Helvetica Neue" w:cs="Helvetica Neue"/>
          <w:sz w:val="22"/>
          <w:szCs w:val="22"/>
        </w:rPr>
        <w:lastRenderedPageBreak/>
        <w:t>decreases. In both cases the total wholesale costs paid by UK operators to EU operators is equal or less with the SI compared to a ‘do nothing’ scenario.</w:t>
      </w:r>
    </w:p>
    <w:p w14:paraId="43A6961F" w14:textId="77777777" w:rsidR="007058F1" w:rsidRDefault="00ED1797">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As discussed above, there may also be benefits to </w:t>
      </w:r>
      <w:r w:rsidRPr="006B61F1">
        <w:rPr>
          <w:rFonts w:ascii="Helvetica Neue" w:eastAsia="Helvetica Neue" w:hAnsi="Helvetica Neue" w:cs="Helvetica Neue"/>
          <w:b/>
          <w:sz w:val="22"/>
          <w:szCs w:val="22"/>
        </w:rPr>
        <w:t>consumers</w:t>
      </w:r>
      <w:r>
        <w:rPr>
          <w:rFonts w:ascii="Helvetica Neue" w:eastAsia="Helvetica Neue" w:hAnsi="Helvetica Neue" w:cs="Helvetica Neue"/>
          <w:sz w:val="22"/>
          <w:szCs w:val="22"/>
        </w:rPr>
        <w:t>. The counterfactual for this impact assessment is the ‘do nothing’ option set out above. In this case the risk of uncapped exposure for operators means customers could lose access to roaming services entirely or face higher overall tariffs on their packages for other non-roaming services (waterbed effect). These outcomes are likely to be worse for consumers (both business and individual) than any impacts from the reintroduction of roaming-surcharges and thus it is reasonable to assume that they will not incur additional costs as a result of this SI.</w:t>
      </w:r>
    </w:p>
    <w:p w14:paraId="68D9FEF9" w14:textId="77777777" w:rsidR="007058F1" w:rsidRDefault="00ED1797">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Roaming deactivation is a much less favourable outcome than surcharges, as consumers will no longer be able to roam at any price point. Surcharges are also preferable to a waterbed effect for three reasons: </w:t>
      </w:r>
    </w:p>
    <w:p w14:paraId="0E177CE3" w14:textId="77777777" w:rsidR="007058F1" w:rsidRDefault="00ED1797">
      <w:pPr>
        <w:keepNext/>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surcharges are more transparent to consumers than changes to general mobile tariffs;</w:t>
      </w:r>
    </w:p>
    <w:p w14:paraId="361ECF8E" w14:textId="77777777" w:rsidR="007058F1" w:rsidRDefault="00ED1797">
      <w:pPr>
        <w:keepNext/>
        <w:numPr>
          <w:ilvl w:val="0"/>
          <w:numId w:val="8"/>
        </w:numPr>
        <w:rPr>
          <w:rFonts w:ascii="Helvetica Neue" w:eastAsia="Helvetica Neue" w:hAnsi="Helvetica Neue" w:cs="Helvetica Neue"/>
          <w:sz w:val="22"/>
          <w:szCs w:val="22"/>
        </w:rPr>
      </w:pPr>
      <w:r>
        <w:rPr>
          <w:rFonts w:ascii="Helvetica Neue" w:eastAsia="Helvetica Neue" w:hAnsi="Helvetica Neue" w:cs="Helvetica Neue"/>
          <w:sz w:val="22"/>
          <w:szCs w:val="22"/>
        </w:rPr>
        <w:t>surcharges are paid by the customer using the service, as opposed to being spread across the entire customer base meaning a transfer from customers not using roaming to those who do use roaming; and,</w:t>
      </w:r>
    </w:p>
    <w:p w14:paraId="570D522D" w14:textId="77777777" w:rsidR="007058F1" w:rsidRDefault="00ED1797">
      <w:pPr>
        <w:keepNext/>
        <w:numPr>
          <w:ilvl w:val="0"/>
          <w:numId w:val="8"/>
        </w:numPr>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surcharges maintain the price/demand relationship, without which demand would not fall as prices rise, thereby reducing the business burden. </w:t>
      </w:r>
    </w:p>
    <w:p w14:paraId="79712958" w14:textId="5C8000D6" w:rsidR="00700B39" w:rsidRPr="00700B39" w:rsidRDefault="00ED1797" w:rsidP="00700B39">
      <w:pPr>
        <w:keepNext/>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For the same reasons given about costs to consumers - the difficulty separating out any impacts from changes due to wholesale prices and comparing any market power effects to the benefits of avoiding the risks to consumers in a ‘do nothing’ scenario - we have not included any indirect benefits to consumers in this impact assessment.</w:t>
      </w:r>
    </w:p>
    <w:p w14:paraId="424AA3A5" w14:textId="77777777" w:rsidR="007058F1" w:rsidRDefault="00ED1797">
      <w:pPr>
        <w:keepNext/>
        <w:spacing w:after="120"/>
        <w:rPr>
          <w:rFonts w:ascii="Helvetica Neue" w:eastAsia="Helvetica Neue" w:hAnsi="Helvetica Neue" w:cs="Helvetica Neue"/>
          <w:i/>
        </w:rPr>
      </w:pPr>
      <w:r>
        <w:rPr>
          <w:rFonts w:ascii="Helvetica Neue" w:eastAsia="Helvetica Neue" w:hAnsi="Helvetica Neue" w:cs="Helvetica Neue"/>
          <w:i/>
        </w:rPr>
        <w:t>Long term impacts</w:t>
      </w:r>
    </w:p>
    <w:p w14:paraId="4474D99E" w14:textId="77777777"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future relationship between UK MNOs and their EU counterparts is uncertain, which makes assessment of long-term impacts challenging. </w:t>
      </w:r>
    </w:p>
    <w:p w14:paraId="51CD52B9" w14:textId="42D38565"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Before the EU Roaming Regulation - the first iteration of which was in 2007 - mobile roaming in the EU was expensive (as it was in the rest of the world). Since 2007 the costs mobile operators have been allowed to charge each other within the EU has fallen, as has the amount they have been allowed to charge consumers. </w:t>
      </w:r>
    </w:p>
    <w:p w14:paraId="4CEB5242" w14:textId="76461F9A"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Alongside these regulatory developments, the commercial situation has changed radically since 2007. The amount of data used by consumers has increased dramatically. For roaming, this has meant a move away from low-use to high-use of data and pricing has reflected that in falling wholesale charges. These low wholesale charges would endure without a regulatory cap if the operators negotiate sufficiently advantageous commercial arrangements with EU commercial operators. However predicting the long run market dynamics of the wholesale and retail markets for roaming is very difficult. </w:t>
      </w:r>
    </w:p>
    <w:p w14:paraId="7ABF79A7" w14:textId="2A451786"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implementation of legislation which </w:t>
      </w:r>
      <w:r w:rsidR="002334BE">
        <w:rPr>
          <w:rFonts w:ascii="Helvetica Neue" w:eastAsia="Helvetica Neue" w:hAnsi="Helvetica Neue" w:cs="Helvetica Neue"/>
          <w:sz w:val="22"/>
          <w:szCs w:val="22"/>
        </w:rPr>
        <w:t>caps UK</w:t>
      </w:r>
      <w:r>
        <w:rPr>
          <w:rFonts w:ascii="Helvetica Neue" w:eastAsia="Helvetica Neue" w:hAnsi="Helvetica Neue" w:cs="Helvetica Neue"/>
          <w:sz w:val="22"/>
          <w:szCs w:val="22"/>
        </w:rPr>
        <w:t xml:space="preserve"> network operators’ retail charges but not the amounts </w:t>
      </w:r>
      <w:r w:rsidR="002334BE">
        <w:rPr>
          <w:rFonts w:ascii="Helvetica Neue" w:eastAsia="Helvetica Neue" w:hAnsi="Helvetica Neue" w:cs="Helvetica Neue"/>
          <w:sz w:val="22"/>
          <w:szCs w:val="22"/>
        </w:rPr>
        <w:t>their European</w:t>
      </w:r>
      <w:r>
        <w:rPr>
          <w:rFonts w:ascii="Helvetica Neue" w:eastAsia="Helvetica Neue" w:hAnsi="Helvetica Neue" w:cs="Helvetica Neue"/>
          <w:sz w:val="22"/>
          <w:szCs w:val="22"/>
        </w:rPr>
        <w:t xml:space="preserve"> counterparts might charge them could impede their ability to strike advantageous deals. UK operators would go into a negotiation with their European counterparts in the knowledge that they could not pass on any changes to wholesale prices onto their customers, but that no such obligation would sit on the European operators. The European Commission has made it clear that, in the event of no deal, the UK would be seen as a </w:t>
      </w:r>
      <w:r>
        <w:rPr>
          <w:rFonts w:ascii="Helvetica Neue" w:eastAsia="Helvetica Neue" w:hAnsi="Helvetica Neue" w:cs="Helvetica Neue"/>
          <w:sz w:val="22"/>
          <w:szCs w:val="22"/>
        </w:rPr>
        <w:lastRenderedPageBreak/>
        <w:t>third country in terms of mobile roaming so EU operators could re-impose surcharges on their consumers roaming in the UK.</w:t>
      </w:r>
      <w:r>
        <w:rPr>
          <w:rFonts w:ascii="Helvetica Neue" w:eastAsia="Helvetica Neue" w:hAnsi="Helvetica Neue" w:cs="Helvetica Neue"/>
          <w:sz w:val="22"/>
          <w:szCs w:val="22"/>
          <w:vertAlign w:val="superscript"/>
        </w:rPr>
        <w:footnoteReference w:id="5"/>
      </w:r>
    </w:p>
    <w:p w14:paraId="1EAAE70B" w14:textId="77777777"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This SI ensures that UK mobile operators can have a sustainable commercial footing on which to offer their consumers mobile roaming, recognising they will have the commercial freedom not to offer mobile roaming on the same terms as now.</w:t>
      </w:r>
    </w:p>
    <w:p w14:paraId="1D6E4FB7" w14:textId="77777777" w:rsidR="007058F1" w:rsidRDefault="007058F1">
      <w:pPr>
        <w:keepNext/>
        <w:spacing w:after="120"/>
        <w:rPr>
          <w:rFonts w:ascii="Helvetica Neue" w:eastAsia="Helvetica Neue" w:hAnsi="Helvetica Neue" w:cs="Helvetica Neue"/>
          <w:sz w:val="22"/>
          <w:szCs w:val="22"/>
        </w:rPr>
      </w:pPr>
    </w:p>
    <w:p w14:paraId="2BF4D43B" w14:textId="77777777" w:rsidR="007058F1" w:rsidRDefault="00ED1797">
      <w:pPr>
        <w:keepNext/>
        <w:spacing w:after="120"/>
        <w:rPr>
          <w:rFonts w:ascii="Helvetica Neue" w:eastAsia="Helvetica Neue" w:hAnsi="Helvetica Neue" w:cs="Helvetica Neue"/>
          <w:i/>
        </w:rPr>
      </w:pPr>
      <w:r>
        <w:rPr>
          <w:rFonts w:ascii="Helvetica Neue" w:eastAsia="Helvetica Neue" w:hAnsi="Helvetica Neue" w:cs="Helvetica Neue"/>
          <w:i/>
        </w:rPr>
        <w:t>Summary assessment relative to the current arrangements</w:t>
      </w:r>
    </w:p>
    <w:p w14:paraId="6A7EB07A" w14:textId="77777777" w:rsidR="007058F1" w:rsidRPr="006B61F1" w:rsidRDefault="00ED1797">
      <w:pPr>
        <w:keepNext/>
        <w:spacing w:after="120"/>
        <w:rPr>
          <w:rFonts w:ascii="Helvetica Neue" w:eastAsia="Helvetica Neue" w:hAnsi="Helvetica Neue" w:cs="Helvetica Neue"/>
          <w:sz w:val="22"/>
          <w:szCs w:val="22"/>
        </w:rPr>
      </w:pPr>
      <w:r w:rsidRPr="006B61F1">
        <w:rPr>
          <w:rFonts w:ascii="Helvetica Neue" w:eastAsia="Helvetica Neue" w:hAnsi="Helvetica Neue" w:cs="Helvetica Neue"/>
          <w:color w:val="0B0C0C"/>
          <w:sz w:val="22"/>
          <w:szCs w:val="22"/>
          <w:highlight w:val="white"/>
        </w:rPr>
        <w:t>In the unlikely event that we leave the EU without a deal, the costs that EU mobile operators would be able to charge UK operators for providing roaming services would no longer be regulated after March 2019. This would mean that surcharge-free roaming when customers travel to the EU could no longer be guaranteed.</w:t>
      </w:r>
    </w:p>
    <w:p w14:paraId="19451862" w14:textId="77777777" w:rsidR="007058F1" w:rsidRDefault="00ED1797">
      <w:pPr>
        <w:keepNext/>
        <w:spacing w:after="120"/>
        <w:rPr>
          <w:rFonts w:ascii="Helvetica Neue" w:eastAsia="Helvetica Neue" w:hAnsi="Helvetica Neue" w:cs="Helvetica Neue"/>
          <w:sz w:val="22"/>
          <w:szCs w:val="22"/>
        </w:rPr>
      </w:pPr>
      <w:r w:rsidRPr="006B61F1">
        <w:rPr>
          <w:rFonts w:ascii="Helvetica Neue" w:eastAsia="Helvetica Neue" w:hAnsi="Helvetica Neue" w:cs="Helvetica Neue"/>
          <w:sz w:val="22"/>
          <w:szCs w:val="22"/>
        </w:rPr>
        <w:t xml:space="preserve">Compared to the current arrangements, the future roaming regime would allow operators to respond to changes in wholesale prices and pass on the cost of roaming to customers through surcharges. This impact emerges from UK operators losing access to capped wholesale rates in the EU regulated by the Roaming Regulation. </w:t>
      </w:r>
      <w:r>
        <w:rPr>
          <w:rFonts w:ascii="Helvetica Neue" w:eastAsia="Helvetica Neue" w:hAnsi="Helvetica Neue" w:cs="Helvetica Neue"/>
          <w:sz w:val="22"/>
          <w:szCs w:val="22"/>
        </w:rPr>
        <w:t xml:space="preserve">The wholesale prices which network operators negotiate between themselves are not something which is within the control of the UK government. Wholesale prices will be decided commercially between network operators (as is the case with rest of world). </w:t>
      </w:r>
    </w:p>
    <w:p w14:paraId="0AC515D6" w14:textId="42E118AA"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On exit from the EU we want to ensure that UK companies have the maximum freedom to trade with and operate within European markets – and to let European businesses do the same in the UK. The advantage of removing the one-sided retail cap on UK operators is that it would allow UK operators to strike deals with their EU counterparts from a similar negotiating position. Four operators have said they have no current plans to re-introduce mobile roaming surcharges. </w:t>
      </w:r>
    </w:p>
    <w:p w14:paraId="45E368FE" w14:textId="77777777"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The ‘current arrangements’ of access to the EU Roaming Regulation are not available and is a function of leaving the EU. This, and the outcome of commercial negotiations on wholesale rates, is beyond the scope of this impact assessment.</w:t>
      </w:r>
    </w:p>
    <w:p w14:paraId="403F9F3B" w14:textId="77777777" w:rsidR="007058F1" w:rsidRDefault="007058F1">
      <w:pPr>
        <w:keepNext/>
        <w:pBdr>
          <w:top w:val="nil"/>
          <w:left w:val="nil"/>
          <w:bottom w:val="nil"/>
          <w:right w:val="nil"/>
          <w:between w:val="nil"/>
        </w:pBdr>
        <w:spacing w:after="120"/>
        <w:rPr>
          <w:rFonts w:ascii="Helvetica Neue" w:eastAsia="Helvetica Neue" w:hAnsi="Helvetica Neue" w:cs="Helvetica Neue"/>
          <w:sz w:val="22"/>
          <w:szCs w:val="22"/>
        </w:rPr>
      </w:pPr>
    </w:p>
    <w:p w14:paraId="63CC74CC" w14:textId="77777777" w:rsidR="007058F1" w:rsidRDefault="00ED1797">
      <w:pPr>
        <w:keepNext/>
        <w:pBdr>
          <w:top w:val="nil"/>
          <w:left w:val="nil"/>
          <w:bottom w:val="nil"/>
          <w:right w:val="nil"/>
          <w:between w:val="nil"/>
        </w:pBdr>
        <w:spacing w:after="200"/>
        <w:rPr>
          <w:rFonts w:ascii="Helvetica Neue" w:eastAsia="Helvetica Neue" w:hAnsi="Helvetica Neue" w:cs="Helvetica Neue"/>
          <w:b/>
          <w:color w:val="000000"/>
        </w:rPr>
      </w:pPr>
      <w:r>
        <w:rPr>
          <w:rFonts w:ascii="Helvetica Neue" w:eastAsia="Helvetica Neue" w:hAnsi="Helvetica Neue" w:cs="Helvetica Neue"/>
          <w:b/>
          <w:color w:val="000000"/>
        </w:rPr>
        <w:t>Rationale and evidence that justify the level of analysis used in the IA</w:t>
      </w:r>
    </w:p>
    <w:p w14:paraId="35A99232" w14:textId="77777777" w:rsidR="007058F1" w:rsidRPr="006B61F1" w:rsidRDefault="00ED1797">
      <w:pPr>
        <w:spacing w:before="50" w:after="200"/>
        <w:ind w:right="113"/>
        <w:rPr>
          <w:rFonts w:ascii="Helvetica Neue" w:eastAsia="Helvetica Neue" w:hAnsi="Helvetica Neue" w:cs="Helvetica Neue"/>
          <w:sz w:val="22"/>
          <w:szCs w:val="22"/>
        </w:rPr>
      </w:pPr>
      <w:r w:rsidRPr="006B61F1">
        <w:rPr>
          <w:rFonts w:ascii="Helvetica Neue" w:eastAsia="Helvetica Neue" w:hAnsi="Helvetica Neue" w:cs="Helvetica Neue"/>
          <w:sz w:val="22"/>
          <w:szCs w:val="22"/>
        </w:rPr>
        <w:t xml:space="preserve">This impact assessment does not provide detailed quantification of costs and benefits due to the inherent uncertainty of factors outside the scope of this SI and a lack of publicly available data. </w:t>
      </w:r>
    </w:p>
    <w:p w14:paraId="455A6B12" w14:textId="77777777" w:rsidR="007058F1" w:rsidRDefault="00ED1797">
      <w:pPr>
        <w:spacing w:before="50" w:after="200"/>
        <w:ind w:right="113"/>
        <w:rPr>
          <w:rFonts w:ascii="Helvetica Neue" w:eastAsia="Helvetica Neue" w:hAnsi="Helvetica Neue" w:cs="Helvetica Neue"/>
          <w:b/>
          <w:sz w:val="22"/>
          <w:szCs w:val="22"/>
        </w:rPr>
      </w:pPr>
      <w:r>
        <w:rPr>
          <w:rFonts w:ascii="Helvetica Neue" w:eastAsia="Helvetica Neue" w:hAnsi="Helvetica Neue" w:cs="Helvetica Neue"/>
          <w:sz w:val="22"/>
          <w:szCs w:val="22"/>
        </w:rPr>
        <w:t xml:space="preserve">The Government recognises that there are specific consumer measures that are associated with the Digital Single Market. </w:t>
      </w:r>
      <w:r>
        <w:rPr>
          <w:rFonts w:ascii="Helvetica Neue" w:eastAsia="Helvetica Neue" w:hAnsi="Helvetica Neue" w:cs="Helvetica Neue"/>
          <w:color w:val="222222"/>
          <w:sz w:val="22"/>
          <w:szCs w:val="22"/>
          <w:highlight w:val="white"/>
        </w:rPr>
        <w:t xml:space="preserve">The Political Declaration on the UK's Future Economic Partnership proposes a framework for negotiations with the EU, including for services and digital sectors. That approach would not preclude discussions with the EU on arrangements for consumers, for example in the area of mobile roaming. However, in the event of ‘no deal’ (the scenario covered by this SI) it is not clear what future economic partnership would be proposed. </w:t>
      </w:r>
      <w:r>
        <w:rPr>
          <w:rFonts w:ascii="Helvetica Neue" w:eastAsia="Helvetica Neue" w:hAnsi="Helvetica Neue" w:cs="Helvetica Neue"/>
          <w:sz w:val="22"/>
          <w:szCs w:val="22"/>
        </w:rPr>
        <w:t>This Impact Assessment provides a high level indicative assessment of the impacts from the SI.</w:t>
      </w:r>
    </w:p>
    <w:p w14:paraId="38CA6263" w14:textId="77777777" w:rsidR="007058F1" w:rsidRDefault="007058F1">
      <w:pPr>
        <w:spacing w:before="50" w:after="200"/>
        <w:ind w:right="113"/>
        <w:rPr>
          <w:rFonts w:ascii="Helvetica Neue" w:eastAsia="Helvetica Neue" w:hAnsi="Helvetica Neue" w:cs="Helvetica Neue"/>
          <w:b/>
          <w:sz w:val="22"/>
          <w:szCs w:val="22"/>
        </w:rPr>
      </w:pPr>
    </w:p>
    <w:p w14:paraId="472D496E" w14:textId="77777777" w:rsidR="007058F1" w:rsidRDefault="00ED1797">
      <w:pPr>
        <w:spacing w:before="50" w:after="200"/>
        <w:ind w:right="113"/>
        <w:rPr>
          <w:rFonts w:ascii="Helvetica Neue" w:eastAsia="Helvetica Neue" w:hAnsi="Helvetica Neue" w:cs="Helvetica Neue"/>
          <w:b/>
        </w:rPr>
      </w:pPr>
      <w:r>
        <w:rPr>
          <w:rFonts w:ascii="Helvetica Neue" w:eastAsia="Helvetica Neue" w:hAnsi="Helvetica Neue" w:cs="Helvetica Neue"/>
          <w:b/>
          <w:color w:val="000000"/>
        </w:rPr>
        <w:t>Risks and assumptions</w:t>
      </w:r>
    </w:p>
    <w:p w14:paraId="2F66D628" w14:textId="77777777" w:rsidR="007058F1" w:rsidRDefault="00ED1797">
      <w:pPr>
        <w:spacing w:before="50" w:after="200"/>
        <w:ind w:right="113"/>
        <w:rPr>
          <w:rFonts w:ascii="Helvetica Neue" w:eastAsia="Helvetica Neue" w:hAnsi="Helvetica Neue" w:cs="Helvetica Neue"/>
          <w:b/>
          <w:sz w:val="22"/>
          <w:szCs w:val="22"/>
        </w:rPr>
      </w:pPr>
      <w:r>
        <w:rPr>
          <w:rFonts w:ascii="Helvetica Neue" w:eastAsia="Helvetica Neue" w:hAnsi="Helvetica Neue" w:cs="Helvetica Neue"/>
          <w:sz w:val="22"/>
          <w:szCs w:val="22"/>
        </w:rPr>
        <w:t>The impact of the scenarios considered have a high degree of uncertainty and in the future will depend on the outcome of negotiations. In assessing the impact of this legislation there are many uncertainties:</w:t>
      </w:r>
    </w:p>
    <w:p w14:paraId="1732842A" w14:textId="77777777" w:rsidR="007058F1" w:rsidRDefault="00ED1797">
      <w:pPr>
        <w:numPr>
          <w:ilvl w:val="0"/>
          <w:numId w:val="9"/>
        </w:numPr>
        <w:spacing w:before="50" w:after="200"/>
        <w:ind w:left="283" w:right="113" w:hanging="283"/>
        <w:rPr>
          <w:rFonts w:ascii="Helvetica Neue" w:eastAsia="Helvetica Neue" w:hAnsi="Helvetica Neue" w:cs="Helvetica Neue"/>
          <w:i/>
          <w:sz w:val="22"/>
          <w:szCs w:val="22"/>
        </w:rPr>
      </w:pPr>
      <w:r>
        <w:rPr>
          <w:rFonts w:ascii="Helvetica Neue" w:eastAsia="Helvetica Neue" w:hAnsi="Helvetica Neue" w:cs="Helvetica Neue"/>
          <w:i/>
          <w:sz w:val="22"/>
          <w:szCs w:val="22"/>
        </w:rPr>
        <w:t>Uncertainty of growth in data roaming</w:t>
      </w:r>
    </w:p>
    <w:p w14:paraId="08050B9D" w14:textId="77777777" w:rsidR="007058F1" w:rsidRDefault="00ED1797">
      <w:pPr>
        <w:spacing w:before="50" w:after="200"/>
        <w:ind w:right="113"/>
        <w:rPr>
          <w:rFonts w:ascii="Helvetica Neue" w:eastAsia="Helvetica Neue" w:hAnsi="Helvetica Neue" w:cs="Helvetica Neue"/>
          <w:i/>
          <w:sz w:val="22"/>
          <w:szCs w:val="22"/>
        </w:rPr>
      </w:pPr>
      <w:r w:rsidRPr="006B61F1">
        <w:rPr>
          <w:rFonts w:ascii="Helvetica Neue" w:eastAsia="Helvetica Neue" w:hAnsi="Helvetica Neue" w:cs="Helvetica Neue"/>
          <w:sz w:val="22"/>
          <w:szCs w:val="22"/>
        </w:rPr>
        <w:t xml:space="preserve">The amount of data used by consumers has increased dramatically in recent years. In terms of EU data roaming, there has been four-fold growth since the surcharge-free roaming was introduced. However, smartphone </w:t>
      </w:r>
      <w:r w:rsidRPr="006B61F1">
        <w:rPr>
          <w:rFonts w:ascii="Helvetica Neue" w:eastAsia="Helvetica Neue" w:hAnsi="Helvetica Neue" w:cs="Helvetica Neue"/>
          <w:sz w:val="22"/>
          <w:szCs w:val="22"/>
        </w:rPr>
        <w:lastRenderedPageBreak/>
        <w:t>penetration growth is slowing and consumers often use wifi for data-intensive applications (thus avoiding roaming charges)</w:t>
      </w:r>
      <w:r>
        <w:rPr>
          <w:rFonts w:ascii="Helvetica Neue" w:eastAsia="Helvetica Neue" w:hAnsi="Helvetica Neue" w:cs="Helvetica Neue"/>
          <w:i/>
          <w:sz w:val="22"/>
          <w:szCs w:val="22"/>
          <w:vertAlign w:val="superscript"/>
        </w:rPr>
        <w:footnoteReference w:id="6"/>
      </w:r>
      <w:r w:rsidRPr="006B61F1">
        <w:rPr>
          <w:rFonts w:ascii="Helvetica Neue" w:eastAsia="Helvetica Neue" w:hAnsi="Helvetica Neue" w:cs="Helvetica Neue"/>
          <w:sz w:val="22"/>
          <w:szCs w:val="22"/>
        </w:rPr>
        <w:t>. As a result it is difficult to predict expected growth in data roaming. UK operators might also seek to limit their exposure to roaming out-payments through the application of fair-use policies.</w:t>
      </w:r>
    </w:p>
    <w:p w14:paraId="449B3D08" w14:textId="77777777" w:rsidR="007058F1" w:rsidRDefault="00ED1797">
      <w:pPr>
        <w:spacing w:before="50" w:after="200"/>
        <w:ind w:right="113"/>
        <w:rPr>
          <w:rFonts w:ascii="Helvetica Neue" w:eastAsia="Helvetica Neue" w:hAnsi="Helvetica Neue" w:cs="Helvetica Neue"/>
          <w:i/>
          <w:sz w:val="22"/>
          <w:szCs w:val="22"/>
        </w:rPr>
      </w:pPr>
      <w:r>
        <w:rPr>
          <w:rFonts w:ascii="Helvetica Neue" w:eastAsia="Helvetica Neue" w:hAnsi="Helvetica Neue" w:cs="Helvetica Neue"/>
          <w:i/>
          <w:sz w:val="22"/>
          <w:szCs w:val="22"/>
        </w:rPr>
        <w:t>2. Distribution of Impact</w:t>
      </w:r>
    </w:p>
    <w:p w14:paraId="57E07A63" w14:textId="77777777" w:rsidR="00700B39" w:rsidRDefault="00ED1797" w:rsidP="00700B39">
      <w:pPr>
        <w:spacing w:before="50" w:after="200"/>
        <w:ind w:right="113"/>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The removal of retail caps will make the distribution of costs more transparent. One-sided retail caps increase the likelihood of a “waterbed effect”; any increases in wholesale prices can only be passed on to consumers by raising prices across other services. This could lead to a wider distribution of costs as they are spread across all consumers. This would also mean the vast majority of consumers subsidising a minority of “heavy roamers”. The removal of surcharge caps will enable network operators to offer a wider range of packages, potentially some premium packages which include roaming and cheaper packages without. </w:t>
      </w:r>
    </w:p>
    <w:p w14:paraId="479130E2" w14:textId="53406292" w:rsidR="00700B39" w:rsidRPr="00700B39" w:rsidRDefault="00700B39" w:rsidP="00700B39">
      <w:pPr>
        <w:spacing w:before="50" w:after="200"/>
        <w:ind w:right="113"/>
        <w:rPr>
          <w:rFonts w:ascii="Helvetica Neue" w:eastAsia="Helvetica Neue" w:hAnsi="Helvetica Neue" w:cs="Helvetica Neue"/>
          <w:sz w:val="22"/>
          <w:szCs w:val="22"/>
        </w:rPr>
      </w:pPr>
      <w:r>
        <w:rPr>
          <w:rFonts w:ascii="Helvetica Neue" w:eastAsia="Helvetica Neue" w:hAnsi="Helvetica Neue" w:cs="Helvetica Neue"/>
          <w:i/>
          <w:sz w:val="22"/>
          <w:szCs w:val="22"/>
        </w:rPr>
        <w:t xml:space="preserve">3. </w:t>
      </w:r>
      <w:r w:rsidR="00ED1797" w:rsidRPr="00700B39">
        <w:rPr>
          <w:rFonts w:ascii="Helvetica Neue" w:eastAsia="Helvetica Neue" w:hAnsi="Helvetica Neue" w:cs="Helvetica Neue"/>
          <w:i/>
          <w:sz w:val="22"/>
          <w:szCs w:val="22"/>
        </w:rPr>
        <w:t>Consumer price elasticity</w:t>
      </w:r>
    </w:p>
    <w:p w14:paraId="181F6CB1" w14:textId="280D3907" w:rsidR="007058F1" w:rsidRPr="00700B39" w:rsidRDefault="00ED1797" w:rsidP="00700B39">
      <w:pPr>
        <w:spacing w:before="50" w:after="200"/>
        <w:ind w:right="113"/>
        <w:rPr>
          <w:rFonts w:ascii="Helvetica Neue" w:eastAsia="Helvetica Neue" w:hAnsi="Helvetica Neue" w:cs="Helvetica Neue"/>
          <w:i/>
          <w:sz w:val="22"/>
          <w:szCs w:val="22"/>
        </w:rPr>
      </w:pPr>
      <w:r w:rsidRPr="00700B39">
        <w:rPr>
          <w:rFonts w:ascii="Helvetica Neue" w:eastAsia="Helvetica Neue" w:hAnsi="Helvetica Neue" w:cs="Helvetica Neue"/>
          <w:sz w:val="22"/>
          <w:szCs w:val="22"/>
        </w:rPr>
        <w:t xml:space="preserve">Another key area of uncertainty is around the consumer price elasticity of demand. When retail caps are withdrawn network operators will be able to surcharge for roaming. We are unable to tell how far this will affect the quantity of roaming services demanded. </w:t>
      </w:r>
    </w:p>
    <w:p w14:paraId="089981FE" w14:textId="2B389BC6"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In recent times consumer behaviour has shifted and smartphone usage has become more ubiquitous, rising to 78% ownership among UK adults in 2018</w:t>
      </w:r>
      <w:r>
        <w:rPr>
          <w:rFonts w:ascii="Helvetica Neue" w:eastAsia="Helvetica Neue" w:hAnsi="Helvetica Neue" w:cs="Helvetica Neue"/>
          <w:sz w:val="22"/>
          <w:szCs w:val="22"/>
          <w:vertAlign w:val="superscript"/>
        </w:rPr>
        <w:footnoteReference w:id="7"/>
      </w:r>
      <w:r>
        <w:rPr>
          <w:rFonts w:ascii="Helvetica Neue" w:eastAsia="Helvetica Neue" w:hAnsi="Helvetica Neue" w:cs="Helvetica Neue"/>
          <w:sz w:val="22"/>
          <w:szCs w:val="22"/>
        </w:rPr>
        <w:t>. This has facilitated the use of “over the top” internet-based services via apps that act as substitutes for traditional mobile network services - for example Skype, Whatsapp and other popular communications services. These services are now reaching near-universal penetration of smartphone users. In 2018 71% of adult smartphone owners used Whatsapp services and the same proportion used Facebook Messenger. This has been coupled with the decline of traditional services such as SMS and the growth in public wifi that allow alternative network access for app users. Growth in public wifi availability is set to continue across Europe, with €120 million to be made available from central EU funding through the WiFi4EU programme for municipalities to provide new public wifi hotspots</w:t>
      </w:r>
      <w:r>
        <w:rPr>
          <w:rFonts w:ascii="Helvetica Neue" w:eastAsia="Helvetica Neue" w:hAnsi="Helvetica Neue" w:cs="Helvetica Neue"/>
          <w:sz w:val="22"/>
          <w:szCs w:val="22"/>
          <w:vertAlign w:val="superscript"/>
        </w:rPr>
        <w:footnoteReference w:id="8"/>
      </w:r>
      <w:r>
        <w:rPr>
          <w:rFonts w:ascii="Helvetica Neue" w:eastAsia="Helvetica Neue" w:hAnsi="Helvetica Neue" w:cs="Helvetica Neue"/>
          <w:sz w:val="22"/>
          <w:szCs w:val="22"/>
        </w:rPr>
        <w:t>. Consumers may therefore be more willing to accept price rises for traditional roaming services than they have been historically.</w:t>
      </w:r>
    </w:p>
    <w:p w14:paraId="041CAFE4" w14:textId="77777777"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Consumers have not had to pay any roaming surcharges in the EU since 2017, which may be another factor in how sensitive consumers are to the price roaming. On the one hand consumers may now view roaming abroad as more of a necessity, decreasing price sensitivity; on the other they may be more opposed to paying any sort of surcharge.</w:t>
      </w:r>
    </w:p>
    <w:p w14:paraId="5B945D4C" w14:textId="4D2096FD"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In addition to this there is uncertainty around if or by how much network operators would pass on any costs through surcharges. It is possible they may choose to absorb costs so as to provide ‘roam like at home’ type services to consumers. It is not possible to estimate this pass through e</w:t>
      </w:r>
      <w:r w:rsidR="00B33051">
        <w:rPr>
          <w:rFonts w:ascii="Helvetica Neue" w:eastAsia="Helvetica Neue" w:hAnsi="Helvetica Neue" w:cs="Helvetica Neue"/>
          <w:sz w:val="22"/>
          <w:szCs w:val="22"/>
        </w:rPr>
        <w:t>ffect as we do not know either (a</w:t>
      </w:r>
      <w:r>
        <w:rPr>
          <w:rFonts w:ascii="Helvetica Neue" w:eastAsia="Helvetica Neue" w:hAnsi="Helvetica Neue" w:cs="Helvetica Neue"/>
          <w:sz w:val="22"/>
          <w:szCs w:val="22"/>
        </w:rPr>
        <w:t xml:space="preserve">) the wholesale prices network operators will </w:t>
      </w:r>
      <w:r w:rsidR="00B33051">
        <w:rPr>
          <w:rFonts w:ascii="Helvetica Neue" w:eastAsia="Helvetica Neue" w:hAnsi="Helvetica Neue" w:cs="Helvetica Neue"/>
          <w:sz w:val="22"/>
          <w:szCs w:val="22"/>
        </w:rPr>
        <w:t>negotiate with one another or (b</w:t>
      </w:r>
      <w:r>
        <w:rPr>
          <w:rFonts w:ascii="Helvetica Neue" w:eastAsia="Helvetica Neue" w:hAnsi="Helvetica Neue" w:cs="Helvetica Neue"/>
          <w:sz w:val="22"/>
          <w:szCs w:val="22"/>
        </w:rPr>
        <w:t xml:space="preserve">) the internal workings of the network operators as they relate to pricing decisions. </w:t>
      </w:r>
    </w:p>
    <w:p w14:paraId="65CC1189" w14:textId="77777777" w:rsidR="007058F1" w:rsidRDefault="00ED1797" w:rsidP="00B33051">
      <w:pPr>
        <w:keepNext/>
        <w:pBdr>
          <w:top w:val="nil"/>
          <w:left w:val="nil"/>
          <w:bottom w:val="nil"/>
          <w:right w:val="nil"/>
          <w:between w:val="nil"/>
        </w:pBdr>
        <w:spacing w:after="120"/>
        <w:rPr>
          <w:rFonts w:ascii="Helvetica Neue" w:eastAsia="Helvetica Neue" w:hAnsi="Helvetica Neue" w:cs="Helvetica Neue"/>
          <w:i/>
          <w:sz w:val="22"/>
          <w:szCs w:val="22"/>
        </w:rPr>
      </w:pPr>
      <w:r>
        <w:rPr>
          <w:rFonts w:ascii="Helvetica Neue" w:eastAsia="Helvetica Neue" w:hAnsi="Helvetica Neue" w:cs="Helvetica Neue"/>
          <w:i/>
          <w:sz w:val="22"/>
          <w:szCs w:val="22"/>
        </w:rPr>
        <w:t>4. Commercial decisions by EU operators</w:t>
      </w:r>
    </w:p>
    <w:p w14:paraId="60C9A84F" w14:textId="35BCD2D2"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Perhaps most importantly we cannot predict with any certainty the commercial decisions that will be made by operators in the EU with respect of their wholesale charges to UK operators. They will have the commercial freedom to increase their wholesale charges unconstrained by the EU Roaming Regulation cap. This may suggest they would take this opportunity. However, it may be the case that in a competitive market, they would offer competitive rates to UK operators given the considerable volume of traffic. Predicting the commercial changes EU operators may make is speculative and are a result of no longer being party to the EU Roaming Regulation, rather than this SI. Additionally, some of the larger UK operators - notably Vodafone and O2 (Telefonica UK) - are multinational firms whose parent companies own networks across Europe. This may allow </w:t>
      </w:r>
      <w:r>
        <w:rPr>
          <w:rFonts w:ascii="Helvetica Neue" w:eastAsia="Helvetica Neue" w:hAnsi="Helvetica Neue" w:cs="Helvetica Neue"/>
          <w:sz w:val="22"/>
          <w:szCs w:val="22"/>
        </w:rPr>
        <w:lastRenderedPageBreak/>
        <w:t>preferential wholesale EU roaming rates for the relevant UK-based subsidiaries, further skewing the ability to predict commercial outcomes for future roaming in EU jurisdictions.</w:t>
      </w:r>
    </w:p>
    <w:p w14:paraId="334ABBFC" w14:textId="77777777" w:rsidR="007058F1" w:rsidRDefault="007058F1">
      <w:pPr>
        <w:keepNext/>
        <w:pBdr>
          <w:top w:val="nil"/>
          <w:left w:val="nil"/>
          <w:bottom w:val="nil"/>
          <w:right w:val="nil"/>
          <w:between w:val="nil"/>
        </w:pBdr>
        <w:spacing w:after="120"/>
        <w:ind w:left="720"/>
        <w:rPr>
          <w:rFonts w:ascii="Helvetica Neue" w:eastAsia="Helvetica Neue" w:hAnsi="Helvetica Neue" w:cs="Helvetica Neue"/>
          <w:sz w:val="22"/>
          <w:szCs w:val="22"/>
        </w:rPr>
      </w:pPr>
    </w:p>
    <w:p w14:paraId="551A91DB" w14:textId="77777777" w:rsidR="007058F1" w:rsidRDefault="00ED1797">
      <w:pPr>
        <w:keepNext/>
        <w:pBdr>
          <w:top w:val="nil"/>
          <w:left w:val="nil"/>
          <w:bottom w:val="nil"/>
          <w:right w:val="nil"/>
          <w:between w:val="nil"/>
        </w:pBdr>
        <w:spacing w:after="120"/>
        <w:rPr>
          <w:rFonts w:ascii="Helvetica Neue" w:eastAsia="Helvetica Neue" w:hAnsi="Helvetica Neue" w:cs="Helvetica Neue"/>
          <w:b/>
          <w:sz w:val="28"/>
          <w:szCs w:val="28"/>
        </w:rPr>
      </w:pPr>
      <w:r>
        <w:rPr>
          <w:rFonts w:ascii="Helvetica Neue" w:eastAsia="Helvetica Neue" w:hAnsi="Helvetica Neue" w:cs="Helvetica Neue"/>
          <w:b/>
          <w:sz w:val="28"/>
          <w:szCs w:val="28"/>
        </w:rPr>
        <w:t>Small and Micro Business Assessment</w:t>
      </w:r>
    </w:p>
    <w:p w14:paraId="775A5A31" w14:textId="77777777" w:rsidR="007058F1" w:rsidRPr="002334BE" w:rsidRDefault="00ED1797">
      <w:pPr>
        <w:keepNext/>
        <w:pBdr>
          <w:top w:val="nil"/>
          <w:left w:val="nil"/>
          <w:bottom w:val="nil"/>
          <w:right w:val="nil"/>
          <w:between w:val="nil"/>
        </w:pBdr>
        <w:spacing w:after="120"/>
        <w:rPr>
          <w:rFonts w:ascii="Helvetica Neue" w:eastAsia="Helvetica Neue" w:hAnsi="Helvetica Neue" w:cs="Helvetica Neue"/>
          <w:i/>
          <w:szCs w:val="22"/>
        </w:rPr>
      </w:pPr>
      <w:r w:rsidRPr="002334BE">
        <w:rPr>
          <w:rFonts w:ascii="Helvetica Neue" w:eastAsia="Helvetica Neue" w:hAnsi="Helvetica Neue" w:cs="Helvetica Neue"/>
          <w:i/>
          <w:szCs w:val="22"/>
        </w:rPr>
        <w:t>Impact on small and micro business customers</w:t>
      </w:r>
    </w:p>
    <w:p w14:paraId="60430F9F" w14:textId="77777777" w:rsidR="007058F1" w:rsidRDefault="00ED1797">
      <w:pPr>
        <w:keepNext/>
        <w:pBdr>
          <w:top w:val="nil"/>
          <w:left w:val="nil"/>
          <w:bottom w:val="nil"/>
          <w:right w:val="nil"/>
          <w:between w:val="nil"/>
        </w:pBdr>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As with larger organisations, some small and micro businesses across the UK may pay to provide mobile services to employees to support everyday communication. Reliable estimates for small and micro business mobile use patterns are not available, with information gathered to date focusing on small and medium sized enterprises (SMEs). Two thirds of SMEs use mobile devices for business purposes. However, research from 2016 - before guaranteed surcharge-free roaming took effect - showed that the main concerns for such businesses was the availability and reliability of mobile coverage to support operations. Roaming rates for mobile services abroad have not historically been raised as an area that is business-critical for small firms.</w:t>
      </w:r>
      <w:r>
        <w:rPr>
          <w:rFonts w:ascii="Helvetica Neue" w:eastAsia="Helvetica Neue" w:hAnsi="Helvetica Neue" w:cs="Helvetica Neue"/>
          <w:sz w:val="22"/>
          <w:szCs w:val="22"/>
          <w:vertAlign w:val="superscript"/>
        </w:rPr>
        <w:footnoteReference w:id="9"/>
      </w:r>
      <w:r>
        <w:rPr>
          <w:rFonts w:ascii="Helvetica Neue" w:eastAsia="Helvetica Neue" w:hAnsi="Helvetica Neue" w:cs="Helvetica Neue"/>
          <w:sz w:val="22"/>
          <w:szCs w:val="22"/>
        </w:rPr>
        <w:t xml:space="preserve"> As with individual consumers, when people use their mobile phones for business purposes, they could use over-the-top services permitting them to make calls and send messages over wifi, thus helping them avoid roaming costs. The growth in availability of free wifi in public locations such as cafés and airports also facilitates business connectivity abroad.  </w:t>
      </w:r>
    </w:p>
    <w:p w14:paraId="07BB307D" w14:textId="77777777"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As discussed above, it is very difficult to determine if there will be indirect costs or benefits on businesses as consumers as a result of this SI. Any impacts that are a function of how wholesale rates change after these are no longer capped are outside the scope of the assessment. Impacts beyond this, such as effects from market power or the avoidance of risks in a ‘do nothing’ scenario, are too uncertain to quantify. We have no reason to believe the assessment of costs and benefits to consumers applies differently to small and micro business customers.</w:t>
      </w:r>
    </w:p>
    <w:p w14:paraId="333FEA34" w14:textId="77777777" w:rsidR="007058F1" w:rsidRDefault="007058F1">
      <w:pPr>
        <w:keepNext/>
        <w:pBdr>
          <w:top w:val="nil"/>
          <w:left w:val="nil"/>
          <w:bottom w:val="nil"/>
          <w:right w:val="nil"/>
          <w:between w:val="nil"/>
        </w:pBdr>
        <w:spacing w:after="120"/>
        <w:rPr>
          <w:rFonts w:ascii="Helvetica Neue" w:eastAsia="Helvetica Neue" w:hAnsi="Helvetica Neue" w:cs="Helvetica Neue"/>
          <w:sz w:val="22"/>
          <w:szCs w:val="22"/>
        </w:rPr>
      </w:pPr>
    </w:p>
    <w:p w14:paraId="3608889C" w14:textId="77777777" w:rsidR="007058F1" w:rsidRPr="002334BE" w:rsidRDefault="00ED1797">
      <w:pPr>
        <w:keepNext/>
        <w:pBdr>
          <w:top w:val="nil"/>
          <w:left w:val="nil"/>
          <w:bottom w:val="nil"/>
          <w:right w:val="nil"/>
          <w:between w:val="nil"/>
        </w:pBdr>
        <w:spacing w:after="120"/>
        <w:rPr>
          <w:rFonts w:ascii="Helvetica Neue" w:eastAsia="Helvetica Neue" w:hAnsi="Helvetica Neue" w:cs="Helvetica Neue"/>
          <w:i/>
          <w:szCs w:val="22"/>
        </w:rPr>
      </w:pPr>
      <w:r w:rsidRPr="002334BE">
        <w:rPr>
          <w:rFonts w:ascii="Helvetica Neue" w:eastAsia="Helvetica Neue" w:hAnsi="Helvetica Neue" w:cs="Helvetica Neue"/>
          <w:i/>
          <w:szCs w:val="22"/>
        </w:rPr>
        <w:t>Impact on small and micro market operators</w:t>
      </w:r>
    </w:p>
    <w:p w14:paraId="006D9999" w14:textId="55014B64"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The mobile market itself contains mobile network operators (MNOs) and mobile virtual network operators (MVNOs). The MNO sector is made up large businesses. The big four MNOs (EE, Vodafone, O2 and Three), including their wholly-owned MVNO services (GiffGaff in the case of O2 and TalkMobile for Vodafone), make up 85% of the retail mobile subscription shares</w:t>
      </w:r>
      <w:r>
        <w:rPr>
          <w:rFonts w:ascii="Helvetica Neue" w:eastAsia="Helvetica Neue" w:hAnsi="Helvetica Neue" w:cs="Helvetica Neue"/>
          <w:sz w:val="22"/>
          <w:szCs w:val="22"/>
          <w:vertAlign w:val="superscript"/>
        </w:rPr>
        <w:footnoteReference w:id="10"/>
      </w:r>
      <w:r>
        <w:rPr>
          <w:rFonts w:ascii="Helvetica Neue" w:eastAsia="Helvetica Neue" w:hAnsi="Helvetica Neue" w:cs="Helvetica Neue"/>
          <w:sz w:val="22"/>
          <w:szCs w:val="22"/>
        </w:rPr>
        <w:t xml:space="preserve">. </w:t>
      </w:r>
    </w:p>
    <w:p w14:paraId="07AA3CA8" w14:textId="77777777"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MVNOs, which use the network infrastructure of the four main UK providers to offer services to end users, range from large employers through to micro businesses.</w:t>
      </w:r>
    </w:p>
    <w:p w14:paraId="28E5A3BE" w14:textId="57FEDC90"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In total, MVNOs had a combined market share of 15% at the end of 2015. The operators included in this category include Tesco Mobile, Virgin Mobile, GiffGaff, Lycamobile, Lebara and TalkMobile. These top six operators account for 86% of the MVNO customer base, equivalent to 11% of the overall mobile market</w:t>
      </w:r>
      <w:r>
        <w:rPr>
          <w:rFonts w:ascii="Helvetica Neue" w:eastAsia="Helvetica Neue" w:hAnsi="Helvetica Neue" w:cs="Helvetica Neue"/>
          <w:sz w:val="22"/>
          <w:szCs w:val="22"/>
          <w:vertAlign w:val="superscript"/>
        </w:rPr>
        <w:footnoteReference w:id="11"/>
      </w:r>
      <w:r>
        <w:rPr>
          <w:rFonts w:ascii="Helvetica Neue" w:eastAsia="Helvetica Neue" w:hAnsi="Helvetica Neue" w:cs="Helvetica Neue"/>
          <w:sz w:val="22"/>
          <w:szCs w:val="22"/>
        </w:rPr>
        <w:t>. Many of these MVNOs operate as subsidiaries of much larger organisations e.g. Tesco Mobile and Tesco PLC; Virgin Mobile and Virgin Media; TalkMobile and Vodafone; iD and Carphone Warehouse. Lycamobile, the largest MVNO, has over 16 million customers across 22 countries</w:t>
      </w:r>
      <w:r>
        <w:rPr>
          <w:rFonts w:ascii="Helvetica Neue" w:eastAsia="Helvetica Neue" w:hAnsi="Helvetica Neue" w:cs="Helvetica Neue"/>
          <w:sz w:val="22"/>
          <w:szCs w:val="22"/>
          <w:vertAlign w:val="superscript"/>
        </w:rPr>
        <w:footnoteReference w:id="12"/>
      </w:r>
      <w:r>
        <w:rPr>
          <w:rFonts w:ascii="Helvetica Neue" w:eastAsia="Helvetica Neue" w:hAnsi="Helvetica Neue" w:cs="Helvetica Neue"/>
          <w:sz w:val="22"/>
          <w:szCs w:val="22"/>
        </w:rPr>
        <w:t>. A further eight providers offering virtual mobile services are too large to meet the commonly accepted definitions of small and micro businesses</w:t>
      </w:r>
      <w:r>
        <w:rPr>
          <w:rFonts w:ascii="Helvetica Neue" w:eastAsia="Helvetica Neue" w:hAnsi="Helvetica Neue" w:cs="Helvetica Neue"/>
          <w:sz w:val="22"/>
          <w:szCs w:val="22"/>
          <w:vertAlign w:val="superscript"/>
        </w:rPr>
        <w:footnoteReference w:id="13"/>
      </w:r>
      <w:r>
        <w:rPr>
          <w:rFonts w:ascii="Helvetica Neue" w:eastAsia="Helvetica Neue" w:hAnsi="Helvetica Neue" w:cs="Helvetica Neue"/>
          <w:sz w:val="22"/>
          <w:szCs w:val="22"/>
        </w:rPr>
        <w:t>. This includes Sky UK and TalkTalk.</w:t>
      </w:r>
    </w:p>
    <w:p w14:paraId="0CC78389" w14:textId="77777777"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Beyond these larger virtual operators, there were at least 11 commercial MVNOs operating in the UK market in 2018 which could be considered small and micro businesses. This covers companies who meet the European </w:t>
      </w:r>
      <w:r>
        <w:rPr>
          <w:rFonts w:ascii="Helvetica Neue" w:eastAsia="Helvetica Neue" w:hAnsi="Helvetica Neue" w:cs="Helvetica Neue"/>
          <w:sz w:val="22"/>
          <w:szCs w:val="22"/>
        </w:rPr>
        <w:lastRenderedPageBreak/>
        <w:t>Commission definition of MVNO: those operators who issue their own SIMs, have their own Mobile Number Codes and are not majority owned by a national telecoms company. A list of these operators is below:</w:t>
      </w:r>
    </w:p>
    <w:p w14:paraId="5D0DCFE2" w14:textId="77777777" w:rsidR="007058F1" w:rsidRDefault="00ED1797">
      <w:pPr>
        <w:keepNext/>
        <w:numPr>
          <w:ilvl w:val="0"/>
          <w:numId w:val="2"/>
        </w:numPr>
        <w:rPr>
          <w:rFonts w:ascii="Helvetica Neue" w:eastAsia="Helvetica Neue" w:hAnsi="Helvetica Neue" w:cs="Helvetica Neue"/>
          <w:sz w:val="22"/>
          <w:szCs w:val="22"/>
        </w:rPr>
      </w:pPr>
      <w:r>
        <w:rPr>
          <w:rFonts w:ascii="Helvetica Neue" w:eastAsia="Helvetica Neue" w:hAnsi="Helvetica Neue" w:cs="Helvetica Neue"/>
          <w:sz w:val="22"/>
          <w:szCs w:val="22"/>
        </w:rPr>
        <w:t>CESG</w:t>
      </w:r>
    </w:p>
    <w:p w14:paraId="75ED00A1" w14:textId="77777777" w:rsidR="007058F1" w:rsidRDefault="00ED1797">
      <w:pPr>
        <w:keepNext/>
        <w:numPr>
          <w:ilvl w:val="0"/>
          <w:numId w:val="2"/>
        </w:numPr>
        <w:rPr>
          <w:rFonts w:ascii="Helvetica Neue" w:eastAsia="Helvetica Neue" w:hAnsi="Helvetica Neue" w:cs="Helvetica Neue"/>
          <w:sz w:val="22"/>
          <w:szCs w:val="22"/>
        </w:rPr>
      </w:pPr>
      <w:r>
        <w:rPr>
          <w:rFonts w:ascii="Helvetica Neue" w:eastAsia="Helvetica Neue" w:hAnsi="Helvetica Neue" w:cs="Helvetica Neue"/>
          <w:sz w:val="22"/>
          <w:szCs w:val="22"/>
        </w:rPr>
        <w:t>Cloud9 Communications Limited</w:t>
      </w:r>
    </w:p>
    <w:p w14:paraId="203E1BD3" w14:textId="77777777" w:rsidR="007058F1" w:rsidRDefault="00ED1797">
      <w:pPr>
        <w:keepNext/>
        <w:numPr>
          <w:ilvl w:val="0"/>
          <w:numId w:val="2"/>
        </w:numPr>
        <w:rPr>
          <w:rFonts w:ascii="Helvetica Neue" w:eastAsia="Helvetica Neue" w:hAnsi="Helvetica Neue" w:cs="Helvetica Neue"/>
          <w:sz w:val="22"/>
          <w:szCs w:val="22"/>
        </w:rPr>
      </w:pPr>
      <w:r>
        <w:rPr>
          <w:rFonts w:ascii="Helvetica Neue" w:eastAsia="Helvetica Neue" w:hAnsi="Helvetica Neue" w:cs="Helvetica Neue"/>
          <w:sz w:val="22"/>
          <w:szCs w:val="22"/>
        </w:rPr>
        <w:t>FMS Solutions Limited</w:t>
      </w:r>
    </w:p>
    <w:p w14:paraId="09BE2088" w14:textId="77777777" w:rsidR="007058F1" w:rsidRDefault="00ED1797">
      <w:pPr>
        <w:keepNext/>
        <w:numPr>
          <w:ilvl w:val="0"/>
          <w:numId w:val="2"/>
        </w:numPr>
        <w:rPr>
          <w:rFonts w:ascii="Helvetica Neue" w:eastAsia="Helvetica Neue" w:hAnsi="Helvetica Neue" w:cs="Helvetica Neue"/>
          <w:sz w:val="22"/>
          <w:szCs w:val="22"/>
        </w:rPr>
      </w:pPr>
      <w:r>
        <w:rPr>
          <w:rFonts w:ascii="Helvetica Neue" w:eastAsia="Helvetica Neue" w:hAnsi="Helvetica Neue" w:cs="Helvetica Neue"/>
          <w:sz w:val="22"/>
          <w:szCs w:val="22"/>
        </w:rPr>
        <w:t>Hanhaa Limited</w:t>
      </w:r>
    </w:p>
    <w:p w14:paraId="5DF2C1B1" w14:textId="77777777" w:rsidR="007058F1" w:rsidRDefault="00ED1797">
      <w:pPr>
        <w:keepNext/>
        <w:numPr>
          <w:ilvl w:val="0"/>
          <w:numId w:val="2"/>
        </w:numPr>
        <w:rPr>
          <w:rFonts w:ascii="Helvetica Neue" w:eastAsia="Helvetica Neue" w:hAnsi="Helvetica Neue" w:cs="Helvetica Neue"/>
          <w:sz w:val="22"/>
          <w:szCs w:val="22"/>
        </w:rPr>
      </w:pPr>
      <w:r>
        <w:rPr>
          <w:rFonts w:ascii="Helvetica Neue" w:eastAsia="Helvetica Neue" w:hAnsi="Helvetica Neue" w:cs="Helvetica Neue"/>
          <w:sz w:val="22"/>
          <w:szCs w:val="22"/>
        </w:rPr>
        <w:t>Hay Systems Limited</w:t>
      </w:r>
    </w:p>
    <w:p w14:paraId="44FD9DA9" w14:textId="77777777" w:rsidR="007058F1" w:rsidRDefault="00ED1797">
      <w:pPr>
        <w:keepNext/>
        <w:numPr>
          <w:ilvl w:val="0"/>
          <w:numId w:val="2"/>
        </w:numPr>
        <w:rPr>
          <w:rFonts w:ascii="Helvetica Neue" w:eastAsia="Helvetica Neue" w:hAnsi="Helvetica Neue" w:cs="Helvetica Neue"/>
          <w:sz w:val="22"/>
          <w:szCs w:val="22"/>
        </w:rPr>
      </w:pPr>
      <w:r>
        <w:rPr>
          <w:rFonts w:ascii="Helvetica Neue" w:eastAsia="Helvetica Neue" w:hAnsi="Helvetica Neue" w:cs="Helvetica Neue"/>
          <w:sz w:val="22"/>
          <w:szCs w:val="22"/>
        </w:rPr>
        <w:t>Icron Network Limited</w:t>
      </w:r>
    </w:p>
    <w:p w14:paraId="5096279F" w14:textId="77777777" w:rsidR="007058F1" w:rsidRDefault="00ED1797">
      <w:pPr>
        <w:keepNext/>
        <w:numPr>
          <w:ilvl w:val="0"/>
          <w:numId w:val="2"/>
        </w:numPr>
        <w:rPr>
          <w:rFonts w:ascii="Helvetica Neue" w:eastAsia="Helvetica Neue" w:hAnsi="Helvetica Neue" w:cs="Helvetica Neue"/>
          <w:sz w:val="22"/>
          <w:szCs w:val="22"/>
        </w:rPr>
      </w:pPr>
      <w:r>
        <w:rPr>
          <w:rFonts w:ascii="Helvetica Neue" w:eastAsia="Helvetica Neue" w:hAnsi="Helvetica Neue" w:cs="Helvetica Neue"/>
          <w:sz w:val="22"/>
          <w:szCs w:val="22"/>
        </w:rPr>
        <w:t>Shyam Telecom UK Ltd</w:t>
      </w:r>
    </w:p>
    <w:p w14:paraId="2B7AE6B0" w14:textId="77777777" w:rsidR="007058F1" w:rsidRDefault="00ED1797">
      <w:pPr>
        <w:keepNext/>
        <w:numPr>
          <w:ilvl w:val="0"/>
          <w:numId w:val="2"/>
        </w:numPr>
        <w:rPr>
          <w:rFonts w:ascii="Helvetica Neue" w:eastAsia="Helvetica Neue" w:hAnsi="Helvetica Neue" w:cs="Helvetica Neue"/>
          <w:sz w:val="22"/>
          <w:szCs w:val="22"/>
        </w:rPr>
      </w:pPr>
      <w:r>
        <w:rPr>
          <w:rFonts w:ascii="Helvetica Neue" w:eastAsia="Helvetica Neue" w:hAnsi="Helvetica Neue" w:cs="Helvetica Neue"/>
          <w:sz w:val="22"/>
          <w:szCs w:val="22"/>
        </w:rPr>
        <w:t>Stour Marine Limited</w:t>
      </w:r>
    </w:p>
    <w:p w14:paraId="24F0C54E" w14:textId="77777777" w:rsidR="007058F1" w:rsidRDefault="00ED1797">
      <w:pPr>
        <w:keepNext/>
        <w:numPr>
          <w:ilvl w:val="0"/>
          <w:numId w:val="2"/>
        </w:numPr>
        <w:rPr>
          <w:rFonts w:ascii="Helvetica Neue" w:eastAsia="Helvetica Neue" w:hAnsi="Helvetica Neue" w:cs="Helvetica Neue"/>
          <w:sz w:val="22"/>
          <w:szCs w:val="22"/>
        </w:rPr>
      </w:pPr>
      <w:r>
        <w:rPr>
          <w:rFonts w:ascii="Helvetica Neue" w:eastAsia="Helvetica Neue" w:hAnsi="Helvetica Neue" w:cs="Helvetica Neue"/>
          <w:sz w:val="22"/>
          <w:szCs w:val="22"/>
        </w:rPr>
        <w:t>Synectiv Ltd</w:t>
      </w:r>
    </w:p>
    <w:p w14:paraId="43CE133C" w14:textId="77777777" w:rsidR="007058F1" w:rsidRDefault="00ED1797">
      <w:pPr>
        <w:keepNext/>
        <w:numPr>
          <w:ilvl w:val="0"/>
          <w:numId w:val="2"/>
        </w:numPr>
        <w:rPr>
          <w:rFonts w:ascii="Helvetica Neue" w:eastAsia="Helvetica Neue" w:hAnsi="Helvetica Neue" w:cs="Helvetica Neue"/>
          <w:sz w:val="22"/>
          <w:szCs w:val="22"/>
        </w:rPr>
      </w:pPr>
      <w:r>
        <w:rPr>
          <w:rFonts w:ascii="Helvetica Neue" w:eastAsia="Helvetica Neue" w:hAnsi="Helvetica Neue" w:cs="Helvetica Neue"/>
          <w:sz w:val="22"/>
          <w:szCs w:val="22"/>
        </w:rPr>
        <w:t>Tismi BV</w:t>
      </w:r>
    </w:p>
    <w:p w14:paraId="53C4ACBA" w14:textId="77777777" w:rsidR="007058F1" w:rsidRDefault="00ED1797">
      <w:pPr>
        <w:keepNext/>
        <w:numPr>
          <w:ilvl w:val="0"/>
          <w:numId w:val="2"/>
        </w:numP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Vectone Mobile Limited</w:t>
      </w:r>
    </w:p>
    <w:p w14:paraId="3B2343CC" w14:textId="77777777" w:rsidR="007058F1" w:rsidRDefault="00ED1797">
      <w:pPr>
        <w:rPr>
          <w:rFonts w:ascii="Helvetica Neue" w:eastAsia="Helvetica Neue" w:hAnsi="Helvetica Neue" w:cs="Helvetica Neue"/>
          <w:sz w:val="22"/>
          <w:szCs w:val="22"/>
        </w:rPr>
      </w:pPr>
      <w:r w:rsidRPr="006B61F1">
        <w:rPr>
          <w:rFonts w:ascii="Helvetica Neue" w:eastAsia="Helvetica Neue" w:hAnsi="Helvetica Neue" w:cs="Helvetica Neue"/>
          <w:sz w:val="22"/>
          <w:szCs w:val="22"/>
        </w:rPr>
        <w:t>Individual operator subscriber data is commercially sensitive information and therefore a granular breakdown cannot be provided as part of this impact assessment.</w:t>
      </w:r>
      <w:r>
        <w:rPr>
          <w:rFonts w:ascii="Helvetica Neue" w:eastAsia="Helvetica Neue" w:hAnsi="Helvetica Neue" w:cs="Helvetica Neue"/>
          <w:sz w:val="22"/>
          <w:szCs w:val="22"/>
        </w:rPr>
        <w:t xml:space="preserve"> There may also be other small and micro businesses involved in the provision of mobile services - such as resellers of SIMs registered to existing operators - but as the UK does not operate a pre-notification regime this information is not captured in existing registers. Gathering this data would require a new exercise with significant resource outlay. It would also require coordination with Ofcom, as the responsible sector regulator with vires to collect information. An exercise of this scale would not be possible to conduct and conclude in time for EU exit in the event of no agreement being reached.</w:t>
      </w:r>
    </w:p>
    <w:p w14:paraId="52ECB5FC" w14:textId="77777777" w:rsidR="007058F1" w:rsidRDefault="007058F1">
      <w:pPr>
        <w:rPr>
          <w:rFonts w:ascii="Helvetica Neue" w:eastAsia="Helvetica Neue" w:hAnsi="Helvetica Neue" w:cs="Helvetica Neue"/>
          <w:sz w:val="22"/>
          <w:szCs w:val="22"/>
        </w:rPr>
      </w:pPr>
    </w:p>
    <w:p w14:paraId="5E0E6C52" w14:textId="77777777" w:rsidR="007058F1" w:rsidRPr="006B61F1" w:rsidRDefault="007058F1">
      <w:pPr>
        <w:rPr>
          <w:rFonts w:ascii="Helvetica Neue" w:eastAsia="Helvetica Neue" w:hAnsi="Helvetica Neue" w:cs="Helvetica Neue"/>
          <w:sz w:val="22"/>
          <w:szCs w:val="22"/>
        </w:rPr>
      </w:pPr>
    </w:p>
    <w:p w14:paraId="6A5E7594" w14:textId="77777777" w:rsidR="007058F1" w:rsidRPr="002334BE" w:rsidRDefault="00ED1797">
      <w:pPr>
        <w:keepNext/>
        <w:pBdr>
          <w:top w:val="nil"/>
          <w:left w:val="nil"/>
          <w:bottom w:val="nil"/>
          <w:right w:val="nil"/>
          <w:between w:val="nil"/>
        </w:pBdr>
        <w:spacing w:after="120"/>
        <w:rPr>
          <w:rFonts w:ascii="Helvetica Neue" w:eastAsia="Helvetica Neue" w:hAnsi="Helvetica Neue" w:cs="Helvetica Neue"/>
          <w:i/>
          <w:szCs w:val="22"/>
        </w:rPr>
      </w:pPr>
      <w:r w:rsidRPr="002334BE">
        <w:rPr>
          <w:rFonts w:ascii="Helvetica Neue" w:eastAsia="Helvetica Neue" w:hAnsi="Helvetica Neue" w:cs="Helvetica Neue"/>
          <w:i/>
          <w:szCs w:val="22"/>
        </w:rPr>
        <w:t>SI of particular importance to MVNOs</w:t>
      </w:r>
    </w:p>
    <w:p w14:paraId="44D1AF45" w14:textId="77777777"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The legal clarity provided by this SI is of particular benefit for MVNOs - at least 11 of which are small and micro businesses as above - for two distinct reasons:</w:t>
      </w:r>
    </w:p>
    <w:p w14:paraId="3B3DB140" w14:textId="77777777" w:rsidR="007058F1" w:rsidRDefault="00ED1797">
      <w:pPr>
        <w:keepNext/>
        <w:numPr>
          <w:ilvl w:val="0"/>
          <w:numId w:val="3"/>
        </w:numPr>
        <w:pBdr>
          <w:top w:val="nil"/>
          <w:left w:val="nil"/>
          <w:bottom w:val="nil"/>
          <w:right w:val="nil"/>
          <w:between w:val="nil"/>
        </w:pBdr>
        <w:spacing w:after="200"/>
        <w:rPr>
          <w:rFonts w:ascii="Helvetica Neue" w:eastAsia="Helvetica Neue" w:hAnsi="Helvetica Neue" w:cs="Helvetica Neue"/>
          <w:sz w:val="22"/>
          <w:szCs w:val="22"/>
        </w:rPr>
      </w:pPr>
      <w:r>
        <w:rPr>
          <w:rFonts w:ascii="Helvetica Neue" w:eastAsia="Helvetica Neue" w:hAnsi="Helvetica Neue" w:cs="Helvetica Neue"/>
          <w:sz w:val="22"/>
          <w:szCs w:val="22"/>
        </w:rPr>
        <w:t>Coming to a definitive conclusion on the status of the EU Roaming Regulation entirely falling away - or whether some of it would become retained domestic law in the event of this SI not being taken forward - would be more challenging for companies without well-resourced in-house legal teams (or the resources to secure external legal advice). MVNOs tend to be smaller than the four mobile operators and therefore will find lack of legal clarity more challenging. The specific uncertainty MVNOs would have to address is whether the retail obligation on them not to charge their consumers when travelling in the EU endures post-Exit. It is arguable that it would endure as EU law is frozen on Exit. However, it is also arguable (and is argued in this impact assessment) that the retail obligations on UK operators would fall-away on Exit as the Roaming Regulations would fall away as we are leaving the EU. This SI does not add new regulation - it clarifies the legal situation.</w:t>
      </w:r>
    </w:p>
    <w:p w14:paraId="48C5AD28" w14:textId="77777777" w:rsidR="007058F1" w:rsidRDefault="00ED1797">
      <w:pPr>
        <w:keepNext/>
        <w:numPr>
          <w:ilvl w:val="0"/>
          <w:numId w:val="3"/>
        </w:numPr>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MVNOs can find sustaining surcharge-free roaming for their customers especially challenging compared to their parent mobile operators. They have no network of their own, which means no overseas consumers roam on their network (as they do not have one) so cannot do deals with overseas operators directly. Indeed, they have to pay a commercially-set rate to their parent operator for their customers roaming capability overseas. This rate may - or may not - be as competitive as the rate the parent operator itself secures with an overseas operator. MVNOs are therefore especially sensitive to rules around roaming surcharges, as to sustain roaming they may have to pay more than their parent operator would for the same amount of traffic.</w:t>
      </w:r>
    </w:p>
    <w:p w14:paraId="6290A741" w14:textId="6237A3AA" w:rsidR="007058F1" w:rsidRPr="006B61F1" w:rsidRDefault="00ED1797" w:rsidP="006B61F1">
      <w:pPr>
        <w:keepNext/>
        <w:pBdr>
          <w:top w:val="nil"/>
          <w:left w:val="nil"/>
          <w:bottom w:val="nil"/>
          <w:right w:val="nil"/>
          <w:between w:val="nil"/>
        </w:pBdr>
        <w:spacing w:after="120"/>
        <w:ind w:left="720"/>
        <w:rPr>
          <w:color w:val="000000"/>
          <w:sz w:val="22"/>
          <w:szCs w:val="22"/>
        </w:rPr>
      </w:pPr>
      <w:r>
        <w:rPr>
          <w:rFonts w:ascii="Helvetica Neue" w:eastAsia="Helvetica Neue" w:hAnsi="Helvetica Neue" w:cs="Helvetica Neue"/>
          <w:sz w:val="22"/>
          <w:szCs w:val="22"/>
        </w:rPr>
        <w:t xml:space="preserve">The combination of parent operators passing on unconstrained wholesale charges </w:t>
      </w:r>
      <w:r>
        <w:rPr>
          <w:rFonts w:ascii="Helvetica Neue" w:eastAsia="Helvetica Neue" w:hAnsi="Helvetica Neue" w:cs="Helvetica Neue"/>
          <w:sz w:val="22"/>
          <w:szCs w:val="22"/>
          <w:u w:val="single"/>
        </w:rPr>
        <w:t>and</w:t>
      </w:r>
      <w:r>
        <w:rPr>
          <w:rFonts w:ascii="Helvetica Neue" w:eastAsia="Helvetica Neue" w:hAnsi="Helvetica Neue" w:cs="Helvetica Neue"/>
          <w:sz w:val="22"/>
          <w:szCs w:val="22"/>
        </w:rPr>
        <w:t xml:space="preserve"> an obligation on MVNOs not to surcharge their customers has potential to impose significant costs to smaller operators. This increases the chance that MVNOs would be forced to deactivate roaming for their customers to </w:t>
      </w:r>
      <w:r>
        <w:rPr>
          <w:rFonts w:ascii="Helvetica Neue" w:eastAsia="Helvetica Neue" w:hAnsi="Helvetica Neue" w:cs="Helvetica Neue"/>
          <w:sz w:val="22"/>
          <w:szCs w:val="22"/>
        </w:rPr>
        <w:lastRenderedPageBreak/>
        <w:t>avoid damaging loses. A decision which, whilst unavoidable, may in itself do significant commercial damage. This SI ensures that this form of ‘one-sided’ regulation does not occur.</w:t>
      </w:r>
    </w:p>
    <w:p w14:paraId="16221C3A" w14:textId="77777777" w:rsidR="007058F1" w:rsidRDefault="007058F1">
      <w:pPr>
        <w:keepNext/>
        <w:pBdr>
          <w:top w:val="nil"/>
          <w:left w:val="nil"/>
          <w:bottom w:val="nil"/>
          <w:right w:val="nil"/>
          <w:between w:val="nil"/>
        </w:pBdr>
        <w:spacing w:after="120"/>
        <w:rPr>
          <w:rFonts w:ascii="Helvetica Neue" w:eastAsia="Helvetica Neue" w:hAnsi="Helvetica Neue" w:cs="Helvetica Neue"/>
          <w:sz w:val="22"/>
          <w:szCs w:val="22"/>
        </w:rPr>
      </w:pPr>
    </w:p>
    <w:p w14:paraId="35A19F15" w14:textId="77777777" w:rsidR="007058F1" w:rsidRDefault="00ED1797">
      <w:pPr>
        <w:keepNext/>
        <w:pBdr>
          <w:top w:val="nil"/>
          <w:left w:val="nil"/>
          <w:bottom w:val="nil"/>
          <w:right w:val="nil"/>
          <w:between w:val="nil"/>
        </w:pBdr>
        <w:spacing w:after="120"/>
        <w:rPr>
          <w:rFonts w:ascii="Helvetica Neue" w:eastAsia="Helvetica Neue" w:hAnsi="Helvetica Neue" w:cs="Helvetica Neue"/>
          <w:b/>
          <w:color w:val="000000"/>
          <w:sz w:val="28"/>
          <w:szCs w:val="28"/>
        </w:rPr>
      </w:pPr>
      <w:r>
        <w:rPr>
          <w:rFonts w:ascii="Helvetica Neue" w:eastAsia="Helvetica Neue" w:hAnsi="Helvetica Neue" w:cs="Helvetica Neue"/>
          <w:b/>
          <w:color w:val="000000"/>
          <w:sz w:val="28"/>
          <w:szCs w:val="28"/>
        </w:rPr>
        <w:t>Summary and preferred option with description of implementation plan</w:t>
      </w:r>
    </w:p>
    <w:p w14:paraId="1460C372" w14:textId="71C020E8"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We want to ensure that UK companies have the maximum freedom to trade and do business with the EU. The Government recognises that there are specific consumer measures that are associated with the Digital Single Market. </w:t>
      </w:r>
      <w:r w:rsidRPr="006B61F1">
        <w:rPr>
          <w:rFonts w:ascii="Helvetica Neue" w:eastAsia="Helvetica Neue" w:hAnsi="Helvetica Neue" w:cs="Helvetica Neue"/>
          <w:color w:val="222222"/>
          <w:sz w:val="22"/>
          <w:szCs w:val="22"/>
          <w:highlight w:val="white"/>
        </w:rPr>
        <w:t xml:space="preserve">The Political Declaration on the UK's Future Economic Partnership proposes a framework for negotiations with the EU, including for services and digital sectors. </w:t>
      </w:r>
      <w:r>
        <w:rPr>
          <w:rFonts w:ascii="Helvetica Neue" w:eastAsia="Helvetica Neue" w:hAnsi="Helvetica Neue" w:cs="Helvetica Neue"/>
          <w:sz w:val="22"/>
          <w:szCs w:val="22"/>
        </w:rPr>
        <w:t xml:space="preserve"> That approach would not preclude discussions with the EU on arrangements for consumers, for example in the area of mobile roaming, if that would be in the mutual interests of both sides. </w:t>
      </w:r>
    </w:p>
    <w:p w14:paraId="5F36A595" w14:textId="77777777"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In that context, domestic legislation removing the retail caps on operators and continuing the transparency requirements will best fulfil our policy objectives as it:</w:t>
      </w:r>
    </w:p>
    <w:p w14:paraId="4E7B35AC" w14:textId="77777777" w:rsidR="007058F1" w:rsidRDefault="00ED1797">
      <w:pPr>
        <w:keepNext/>
        <w:numPr>
          <w:ilvl w:val="0"/>
          <w:numId w:val="7"/>
        </w:numPr>
        <w:rPr>
          <w:rFonts w:ascii="Helvetica Neue" w:eastAsia="Helvetica Neue" w:hAnsi="Helvetica Neue" w:cs="Helvetica Neue"/>
          <w:sz w:val="22"/>
          <w:szCs w:val="22"/>
        </w:rPr>
      </w:pPr>
      <w:r>
        <w:rPr>
          <w:rFonts w:ascii="Helvetica Neue" w:eastAsia="Helvetica Neue" w:hAnsi="Helvetica Neue" w:cs="Helvetica Neue"/>
          <w:sz w:val="22"/>
          <w:szCs w:val="22"/>
        </w:rPr>
        <w:t>Will allow UK consumers to continue to receive mobile phone services while travelling in EU states</w:t>
      </w:r>
    </w:p>
    <w:p w14:paraId="67C6DA94" w14:textId="77777777" w:rsidR="007058F1" w:rsidRDefault="00ED1797">
      <w:pPr>
        <w:keepNext/>
        <w:numPr>
          <w:ilvl w:val="0"/>
          <w:numId w:val="7"/>
        </w:numPr>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Is commercially viable for UK mobile operators </w:t>
      </w:r>
    </w:p>
    <w:p w14:paraId="52BC4A76" w14:textId="77777777" w:rsidR="007058F1" w:rsidRDefault="00ED1797">
      <w:pPr>
        <w:keepNext/>
        <w:numPr>
          <w:ilvl w:val="0"/>
          <w:numId w:val="7"/>
        </w:numPr>
        <w:rPr>
          <w:rFonts w:ascii="Helvetica Neue" w:eastAsia="Helvetica Neue" w:hAnsi="Helvetica Neue" w:cs="Helvetica Neue"/>
          <w:sz w:val="22"/>
          <w:szCs w:val="22"/>
        </w:rPr>
      </w:pPr>
      <w:r>
        <w:rPr>
          <w:rFonts w:ascii="Helvetica Neue" w:eastAsia="Helvetica Neue" w:hAnsi="Helvetica Neue" w:cs="Helvetica Neue"/>
          <w:sz w:val="22"/>
          <w:szCs w:val="22"/>
        </w:rPr>
        <w:t>Will continue to provide transparency to UK customers roaming in EU member states.</w:t>
      </w:r>
    </w:p>
    <w:p w14:paraId="1C8183E2" w14:textId="77777777" w:rsidR="007058F1" w:rsidRDefault="007058F1">
      <w:pPr>
        <w:keepNext/>
        <w:pBdr>
          <w:top w:val="nil"/>
          <w:left w:val="nil"/>
          <w:bottom w:val="nil"/>
          <w:right w:val="nil"/>
          <w:between w:val="nil"/>
        </w:pBdr>
        <w:spacing w:after="120"/>
        <w:rPr>
          <w:rFonts w:ascii="Helvetica Neue" w:eastAsia="Helvetica Neue" w:hAnsi="Helvetica Neue" w:cs="Helvetica Neue"/>
          <w:sz w:val="22"/>
          <w:szCs w:val="22"/>
        </w:rPr>
      </w:pPr>
    </w:p>
    <w:p w14:paraId="2FAD47F9" w14:textId="77777777" w:rsidR="007058F1" w:rsidRDefault="00ED1797">
      <w:pPr>
        <w:keepNext/>
        <w:pBdr>
          <w:top w:val="nil"/>
          <w:left w:val="nil"/>
          <w:bottom w:val="nil"/>
          <w:right w:val="nil"/>
          <w:between w:val="nil"/>
        </w:pBdr>
        <w:spacing w:after="120"/>
        <w:rPr>
          <w:rFonts w:ascii="Helvetica Neue" w:eastAsia="Helvetica Neue" w:hAnsi="Helvetica Neue" w:cs="Helvetica Neue"/>
          <w:b/>
          <w:sz w:val="28"/>
          <w:szCs w:val="28"/>
        </w:rPr>
      </w:pPr>
      <w:r>
        <w:rPr>
          <w:rFonts w:ascii="Helvetica Neue" w:eastAsia="Helvetica Neue" w:hAnsi="Helvetica Neue" w:cs="Helvetica Neue"/>
          <w:b/>
          <w:sz w:val="28"/>
          <w:szCs w:val="28"/>
        </w:rPr>
        <w:t>Post-Implementation Review</w:t>
      </w:r>
    </w:p>
    <w:p w14:paraId="25AEF140" w14:textId="4B1DE226"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We recognise that Ministers have a duty to include a statutory review provision in new secondary legislation that has a regulatory effect on business, unless it is not appropriate to do so. A post-implementation review is not appropriate in this case for the ‘exceptional reasons’ allowed for in the relevant guidance.</w:t>
      </w:r>
      <w:r>
        <w:rPr>
          <w:rFonts w:ascii="Helvetica Neue" w:eastAsia="Helvetica Neue" w:hAnsi="Helvetica Neue" w:cs="Helvetica Neue"/>
          <w:sz w:val="22"/>
          <w:szCs w:val="22"/>
          <w:vertAlign w:val="superscript"/>
        </w:rPr>
        <w:footnoteReference w:id="14"/>
      </w:r>
      <w:r>
        <w:rPr>
          <w:rFonts w:ascii="Helvetica Neue" w:eastAsia="Helvetica Neue" w:hAnsi="Helvetica Neue" w:cs="Helvetica Neue"/>
          <w:sz w:val="22"/>
          <w:szCs w:val="22"/>
        </w:rPr>
        <w:t xml:space="preserve"> This SI is made under the EU Withdrawal Act 2018, so no review clause is required."</w:t>
      </w:r>
    </w:p>
    <w:p w14:paraId="4369FD44" w14:textId="77777777" w:rsidR="007058F1" w:rsidRDefault="00ED1797">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 xml:space="preserve">This legislation emerges from a ‘no deal’ Exit from the EU (which we contend forms an ‘exceptional reason’). It aims to remedy deficiencies in retained EU legislation, in line with the EU Withdrawal Act 2018, by ensuring UK operators are not subject to one-sided regulation. EU Exit means that a post-implementation review of this SI would be of limited value as the previous regulatory regime is not available to the UK outside of the EU. Any resumption of surcharge-free roaming in a no-deal scenario would thus be the result of negotiations with the EU rather than any domestic post-implementation review. This may be similar to the </w:t>
      </w:r>
      <w:r>
        <w:rPr>
          <w:rFonts w:ascii="Helvetica Neue" w:eastAsia="Helvetica Neue" w:hAnsi="Helvetica Neue" w:cs="Helvetica Neue"/>
          <w:color w:val="222222"/>
          <w:sz w:val="22"/>
          <w:szCs w:val="22"/>
          <w:highlight w:val="white"/>
        </w:rPr>
        <w:t xml:space="preserve">Political Declaration on the UK's Future Economic Partnership which proposes a framework for negotiations with the EU, including for services and digital sectors. That approach would not preclude discussions with the EU on arrangements for consumers, for example in the area of mobile roaming. </w:t>
      </w:r>
    </w:p>
    <w:p w14:paraId="5425EB73" w14:textId="77777777" w:rsidR="007058F1" w:rsidRDefault="00ED1797" w:rsidP="006B61F1">
      <w:pPr>
        <w:keepNext/>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In addition, the alternative options (such as ‘do nothing’ or maintain one-sided retail regulation) are not appropriate now or in the future. This does not remove the general need to review and improve legislation in due course and where appropriate, but rather removes rigid review requirements as they relate to this SI. All Departments are able to review their legislation without a statutory clause.</w:t>
      </w:r>
    </w:p>
    <w:p w14:paraId="4DC67B22" w14:textId="7D07C742" w:rsidR="007058F1" w:rsidRDefault="00ED1797">
      <w:pPr>
        <w:keepNext/>
        <w:pBdr>
          <w:top w:val="nil"/>
          <w:left w:val="nil"/>
          <w:bottom w:val="nil"/>
          <w:right w:val="nil"/>
          <w:between w:val="nil"/>
        </w:pBdr>
        <w:spacing w:after="120"/>
        <w:rPr>
          <w:rFonts w:ascii="Helvetica Neue" w:eastAsia="Helvetica Neue" w:hAnsi="Helvetica Neue" w:cs="Helvetica Neue"/>
          <w:sz w:val="22"/>
          <w:szCs w:val="22"/>
        </w:rPr>
      </w:pPr>
      <w:r>
        <w:rPr>
          <w:rFonts w:ascii="Helvetica Neue" w:eastAsia="Helvetica Neue" w:hAnsi="Helvetica Neue" w:cs="Helvetica Neue"/>
          <w:sz w:val="22"/>
          <w:szCs w:val="22"/>
        </w:rPr>
        <w:t>Within the UK’s existing regulatory regime, Ofcom undertakes regular reviews of the telecoms market to ensure it is well-functioning. It has a statutory duty “to further the interests of consumers in relevant markets, where appropriate by promoting competition”. Ofcom’s role is further reflected in its 2018 review of the Mobile Call Termination market, where it considered calls to UK mobile numbers while roaming abroad in scope of its market definition</w:t>
      </w:r>
      <w:r>
        <w:rPr>
          <w:rFonts w:ascii="Helvetica Neue" w:eastAsia="Helvetica Neue" w:hAnsi="Helvetica Neue" w:cs="Helvetica Neue"/>
          <w:sz w:val="22"/>
          <w:szCs w:val="22"/>
          <w:vertAlign w:val="superscript"/>
        </w:rPr>
        <w:footnoteReference w:id="15"/>
      </w:r>
      <w:r>
        <w:rPr>
          <w:rFonts w:ascii="Helvetica Neue" w:eastAsia="Helvetica Neue" w:hAnsi="Helvetica Neue" w:cs="Helvetica Neue"/>
          <w:sz w:val="22"/>
          <w:szCs w:val="22"/>
        </w:rPr>
        <w:t xml:space="preserve">. Government receives regular updates from Ofcom and will have the opportunity to review </w:t>
      </w:r>
      <w:r>
        <w:rPr>
          <w:rFonts w:ascii="Helvetica Neue" w:eastAsia="Helvetica Neue" w:hAnsi="Helvetica Neue" w:cs="Helvetica Neue"/>
          <w:sz w:val="22"/>
          <w:szCs w:val="22"/>
        </w:rPr>
        <w:lastRenderedPageBreak/>
        <w:t>mobile roaming whenever it is convenient or appropriate. In the event of competition concerns emerging, Ofcom has concurrent Competition Act powers with the Competition and Markets Authority.</w:t>
      </w:r>
    </w:p>
    <w:p w14:paraId="526EB7D1" w14:textId="77777777" w:rsidR="007058F1" w:rsidRDefault="007058F1">
      <w:pPr>
        <w:keepNext/>
        <w:pBdr>
          <w:top w:val="nil"/>
          <w:left w:val="nil"/>
          <w:bottom w:val="nil"/>
          <w:right w:val="nil"/>
          <w:between w:val="nil"/>
        </w:pBdr>
        <w:spacing w:after="120"/>
        <w:rPr>
          <w:rFonts w:ascii="Helvetica Neue" w:eastAsia="Helvetica Neue" w:hAnsi="Helvetica Neue" w:cs="Helvetica Neue"/>
          <w:sz w:val="22"/>
          <w:szCs w:val="22"/>
        </w:rPr>
      </w:pPr>
    </w:p>
    <w:sectPr w:rsidR="007058F1">
      <w:headerReference w:type="default" r:id="rId8"/>
      <w:footerReference w:type="default" r:id="rId9"/>
      <w:pgSz w:w="11907" w:h="16840"/>
      <w:pgMar w:top="680" w:right="851" w:bottom="680" w:left="85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77F3C5" w14:textId="77777777" w:rsidR="009E2C43" w:rsidRDefault="009E2C43">
      <w:r>
        <w:separator/>
      </w:r>
    </w:p>
  </w:endnote>
  <w:endnote w:type="continuationSeparator" w:id="0">
    <w:p w14:paraId="4026EA55" w14:textId="77777777" w:rsidR="009E2C43" w:rsidRDefault="009E2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Helvetica Neue">
    <w:altName w:val="Corbel"/>
    <w:charset w:val="00"/>
    <w:family w:val="auto"/>
    <w:pitch w:val="variable"/>
    <w:sig w:usb0="E50002FF" w:usb1="500079DB" w:usb2="00000010" w:usb3="00000000" w:csb0="00000001" w:csb1="00000000"/>
  </w:font>
  <w:font w:name="PT Sans">
    <w:altName w:val="Corbel"/>
    <w:charset w:val="00"/>
    <w:family w:val="auto"/>
    <w:pitch w:val="variable"/>
    <w:sig w:usb0="A00002EF" w:usb1="5000204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4E"/>
    <w:family w:val="auto"/>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32C7C5" w14:textId="5998E9F1" w:rsidR="007058F1" w:rsidRDefault="00ED1797">
    <w:pPr>
      <w:pBdr>
        <w:top w:val="nil"/>
        <w:left w:val="nil"/>
        <w:bottom w:val="nil"/>
        <w:right w:val="nil"/>
        <w:between w:val="nil"/>
      </w:pBdr>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2B1EAC">
      <w:rPr>
        <w:noProof/>
        <w:color w:val="000000"/>
        <w:sz w:val="18"/>
        <w:szCs w:val="18"/>
      </w:rPr>
      <w:t>1</w:t>
    </w:r>
    <w:r>
      <w:rPr>
        <w:color w:val="000000"/>
        <w:sz w:val="18"/>
        <w:szCs w:val="18"/>
      </w:rPr>
      <w:fldChar w:fldCharType="end"/>
    </w:r>
  </w:p>
  <w:p w14:paraId="6C269B0B" w14:textId="77777777" w:rsidR="007058F1" w:rsidRDefault="007058F1">
    <w:pPr>
      <w:pBdr>
        <w:top w:val="nil"/>
        <w:left w:val="nil"/>
        <w:bottom w:val="nil"/>
        <w:right w:val="nil"/>
        <w:between w:val="nil"/>
      </w:pBdr>
      <w:rPr>
        <w:color w:val="000000"/>
        <w:sz w:val="18"/>
        <w:szCs w:val="18"/>
      </w:rPr>
    </w:pPr>
  </w:p>
  <w:p w14:paraId="2016E3F8" w14:textId="77777777" w:rsidR="007058F1" w:rsidRDefault="007058F1">
    <w:pPr>
      <w:pBdr>
        <w:top w:val="nil"/>
        <w:left w:val="nil"/>
        <w:bottom w:val="nil"/>
        <w:right w:val="nil"/>
        <w:between w:val="nil"/>
      </w:pBdr>
      <w:rPr>
        <w:color w:val="000000"/>
        <w:sz w:val="18"/>
        <w:szCs w:val="18"/>
      </w:rPr>
    </w:pPr>
  </w:p>
  <w:p w14:paraId="29345505" w14:textId="77777777" w:rsidR="007058F1" w:rsidRDefault="007058F1">
    <w:pPr>
      <w:pBdr>
        <w:top w:val="nil"/>
        <w:left w:val="nil"/>
        <w:bottom w:val="nil"/>
        <w:right w:val="nil"/>
        <w:between w:val="nil"/>
      </w:pBdr>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CC0A43" w14:textId="77777777" w:rsidR="009E2C43" w:rsidRDefault="009E2C43">
      <w:r>
        <w:separator/>
      </w:r>
    </w:p>
  </w:footnote>
  <w:footnote w:type="continuationSeparator" w:id="0">
    <w:p w14:paraId="3FAD5D16" w14:textId="77777777" w:rsidR="009E2C43" w:rsidRDefault="009E2C43">
      <w:r>
        <w:continuationSeparator/>
      </w:r>
    </w:p>
  </w:footnote>
  <w:footnote w:id="1">
    <w:p w14:paraId="2664D3AC" w14:textId="77777777" w:rsidR="007058F1" w:rsidRDefault="00ED1797">
      <w:pPr>
        <w:rPr>
          <w:sz w:val="20"/>
          <w:szCs w:val="20"/>
        </w:rPr>
      </w:pPr>
      <w:r>
        <w:rPr>
          <w:vertAlign w:val="superscript"/>
        </w:rPr>
        <w:footnoteRef/>
      </w:r>
      <w:r>
        <w:rPr>
          <w:sz w:val="20"/>
          <w:szCs w:val="20"/>
        </w:rPr>
        <w:t xml:space="preserve"> European Commission - Report on the implementation of the Regulation on roaming on public mobile communications networks within the Union:</w:t>
      </w:r>
    </w:p>
    <w:p w14:paraId="0519241C" w14:textId="77777777" w:rsidR="007058F1" w:rsidRDefault="00ED1797">
      <w:pPr>
        <w:rPr>
          <w:sz w:val="20"/>
          <w:szCs w:val="20"/>
        </w:rPr>
      </w:pPr>
      <w:r>
        <w:rPr>
          <w:sz w:val="20"/>
          <w:szCs w:val="20"/>
        </w:rPr>
        <w:t>https://ec.europa.eu/digital-single-market/en/news/report-implementation-regulation-roaming-public-mobile-communications-networks-within-union</w:t>
      </w:r>
    </w:p>
  </w:footnote>
  <w:footnote w:id="2">
    <w:p w14:paraId="308B099C" w14:textId="77777777" w:rsidR="007058F1" w:rsidRDefault="00ED1797">
      <w:pPr>
        <w:rPr>
          <w:sz w:val="20"/>
          <w:szCs w:val="20"/>
        </w:rPr>
      </w:pPr>
      <w:r>
        <w:rPr>
          <w:vertAlign w:val="superscript"/>
        </w:rPr>
        <w:footnoteRef/>
      </w:r>
      <w:r>
        <w:rPr>
          <w:sz w:val="20"/>
          <w:szCs w:val="20"/>
        </w:rPr>
        <w:t xml:space="preserve"> European Commission - Notice to stakeholders 12 March 2018: withdrawal of the United Kingdom and EU rules in the field of electronic communications: https://ec.europa.eu/info/sites/info/files/notice_to_stakeholders_brexit_telecomms_final.pdf</w:t>
      </w:r>
    </w:p>
  </w:footnote>
  <w:footnote w:id="3">
    <w:p w14:paraId="60FC6B6E" w14:textId="77777777" w:rsidR="007058F1" w:rsidRDefault="00ED1797">
      <w:pPr>
        <w:rPr>
          <w:sz w:val="20"/>
          <w:szCs w:val="20"/>
        </w:rPr>
      </w:pPr>
      <w:r>
        <w:rPr>
          <w:vertAlign w:val="superscript"/>
        </w:rPr>
        <w:footnoteRef/>
      </w:r>
      <w:r>
        <w:rPr>
          <w:sz w:val="20"/>
          <w:szCs w:val="20"/>
        </w:rPr>
        <w:t xml:space="preserve"> ONS (2017), ASHE survey. This is for the latest available year (2015) - the current average hourly pay is expected to be aligned. Available online at: https://www.ons.gov.uk/employmentandlabourmarket/peopleinwork/earningsandworkinghours/adhocs/006608annualsurveyofhoursandearningsashepublicandprivatesectorsplitby1to4digitsoccode</w:t>
      </w:r>
    </w:p>
  </w:footnote>
  <w:footnote w:id="4">
    <w:p w14:paraId="4EB238EC" w14:textId="77777777" w:rsidR="007058F1" w:rsidRDefault="00ED1797">
      <w:pPr>
        <w:rPr>
          <w:sz w:val="20"/>
          <w:szCs w:val="20"/>
        </w:rPr>
      </w:pPr>
      <w:r>
        <w:rPr>
          <w:vertAlign w:val="superscript"/>
        </w:rPr>
        <w:footnoteRef/>
      </w:r>
      <w:r>
        <w:rPr>
          <w:sz w:val="20"/>
          <w:szCs w:val="20"/>
        </w:rPr>
        <w:t xml:space="preserve"> ‘Travel trends estimates: overseas residents in the UK’, ONS https://www.ons.gov.uk/peoplepopulationandcommunity/leisureandtourism/datasets/overseasresidentsvisitstotheuk</w:t>
      </w:r>
    </w:p>
  </w:footnote>
  <w:footnote w:id="5">
    <w:p w14:paraId="263E8709" w14:textId="2BE3DDA0" w:rsidR="007058F1" w:rsidRPr="00700B39" w:rsidRDefault="00ED1797">
      <w:pPr>
        <w:rPr>
          <w:sz w:val="20"/>
          <w:szCs w:val="20"/>
        </w:rPr>
      </w:pPr>
      <w:r>
        <w:rPr>
          <w:vertAlign w:val="superscript"/>
        </w:rPr>
        <w:footnoteRef/>
      </w:r>
      <w:r>
        <w:rPr>
          <w:sz w:val="20"/>
          <w:szCs w:val="20"/>
        </w:rPr>
        <w:t xml:space="preserve"> ‘Notice To Stakeholders: Withdrawal of the United Kingdom and EU Rules in the Field of Electronic Communications’, European Commission, March 2018 </w:t>
      </w:r>
      <w:r w:rsidRPr="00700B39">
        <w:rPr>
          <w:sz w:val="20"/>
          <w:szCs w:val="20"/>
        </w:rPr>
        <w:t xml:space="preserve">https://ec.europa.eu/info/sites/info/files/file_import/electronic_communications_en.pdf  </w:t>
      </w:r>
    </w:p>
  </w:footnote>
  <w:footnote w:id="6">
    <w:p w14:paraId="47CF1AD1" w14:textId="77777777" w:rsidR="007058F1" w:rsidRDefault="00ED1797">
      <w:pPr>
        <w:rPr>
          <w:sz w:val="20"/>
          <w:szCs w:val="20"/>
        </w:rPr>
      </w:pPr>
      <w:r>
        <w:rPr>
          <w:vertAlign w:val="superscript"/>
        </w:rPr>
        <w:footnoteRef/>
      </w:r>
      <w:r>
        <w:rPr>
          <w:sz w:val="20"/>
          <w:szCs w:val="20"/>
        </w:rPr>
        <w:t xml:space="preserve"> Ofcom - Communications Market Report 2017: https://www.ofcom.org.uk/__data/assets/pdf_file/0017/105074/cmr-2017-uk.pdf</w:t>
      </w:r>
    </w:p>
  </w:footnote>
  <w:footnote w:id="7">
    <w:p w14:paraId="6F44A6C1" w14:textId="77777777" w:rsidR="007058F1" w:rsidRDefault="00ED1797">
      <w:pPr>
        <w:rPr>
          <w:sz w:val="20"/>
          <w:szCs w:val="20"/>
        </w:rPr>
      </w:pPr>
      <w:r>
        <w:rPr>
          <w:vertAlign w:val="superscript"/>
        </w:rPr>
        <w:footnoteRef/>
      </w:r>
      <w:r>
        <w:rPr>
          <w:sz w:val="20"/>
          <w:szCs w:val="20"/>
        </w:rPr>
        <w:t xml:space="preserve"> Ofcom Communications Market Report 2018: https://www.ofcom.org.uk/research-and-data/multi-sector-research/cmr/cmr-2018/interactive</w:t>
      </w:r>
    </w:p>
  </w:footnote>
  <w:footnote w:id="8">
    <w:p w14:paraId="37BE2A5B" w14:textId="77777777" w:rsidR="007058F1" w:rsidRDefault="00ED1797">
      <w:pPr>
        <w:rPr>
          <w:sz w:val="20"/>
          <w:szCs w:val="20"/>
        </w:rPr>
      </w:pPr>
      <w:r>
        <w:rPr>
          <w:vertAlign w:val="superscript"/>
        </w:rPr>
        <w:footnoteRef/>
      </w:r>
      <w:r>
        <w:rPr>
          <w:sz w:val="20"/>
          <w:szCs w:val="20"/>
        </w:rPr>
        <w:t xml:space="preserve"> WiFI4EU, Digital Single Market: https://ec.europa.eu/digital-single-market/en/policies/wifi4eu-free-wi-fi-europeans</w:t>
      </w:r>
    </w:p>
  </w:footnote>
  <w:footnote w:id="9">
    <w:p w14:paraId="156BC2CC" w14:textId="77777777" w:rsidR="007058F1" w:rsidRDefault="00ED1797">
      <w:pPr>
        <w:rPr>
          <w:sz w:val="20"/>
          <w:szCs w:val="20"/>
        </w:rPr>
      </w:pPr>
      <w:r>
        <w:rPr>
          <w:vertAlign w:val="superscript"/>
        </w:rPr>
        <w:footnoteRef/>
      </w:r>
      <w:r>
        <w:rPr>
          <w:sz w:val="20"/>
          <w:szCs w:val="20"/>
        </w:rPr>
        <w:t xml:space="preserve"> Ofcom - SME experiences of communications services 2016; https://www.ofcom.org.uk/__data/assets/pdf_file/0030/96348/Ofcom-SME-consumer-experience-research-2016-Report.pdf</w:t>
      </w:r>
    </w:p>
  </w:footnote>
  <w:footnote w:id="10">
    <w:p w14:paraId="621CC880" w14:textId="77777777" w:rsidR="007058F1" w:rsidRDefault="00ED1797">
      <w:pPr>
        <w:rPr>
          <w:sz w:val="20"/>
          <w:szCs w:val="20"/>
        </w:rPr>
      </w:pPr>
      <w:r>
        <w:rPr>
          <w:vertAlign w:val="superscript"/>
        </w:rPr>
        <w:footnoteRef/>
      </w:r>
      <w:r>
        <w:rPr>
          <w:sz w:val="20"/>
          <w:szCs w:val="20"/>
        </w:rPr>
        <w:t xml:space="preserve"> Ofcom - The Communications Market 2016: https://www.ofcom.org.uk/__data/assets/pdf_file/0026/26648/uk_telecoms.pdf</w:t>
      </w:r>
    </w:p>
  </w:footnote>
  <w:footnote w:id="11">
    <w:p w14:paraId="0544BFC7" w14:textId="77777777" w:rsidR="007058F1" w:rsidRDefault="00ED1797">
      <w:pPr>
        <w:rPr>
          <w:sz w:val="20"/>
          <w:szCs w:val="20"/>
        </w:rPr>
      </w:pPr>
      <w:r>
        <w:rPr>
          <w:vertAlign w:val="superscript"/>
        </w:rPr>
        <w:footnoteRef/>
      </w:r>
      <w:r>
        <w:rPr>
          <w:sz w:val="20"/>
          <w:szCs w:val="20"/>
        </w:rPr>
        <w:t xml:space="preserve"> State of the UK MVNO Market - https://www.grantthornton.co.uk/globalassets/1.-member-firms/united-kingdom/pdf/publication/state-of-the-uk-mvno-market.pdf</w:t>
      </w:r>
    </w:p>
  </w:footnote>
  <w:footnote w:id="12">
    <w:p w14:paraId="397DF0A3" w14:textId="77777777" w:rsidR="007058F1" w:rsidRDefault="00ED1797">
      <w:pPr>
        <w:rPr>
          <w:sz w:val="20"/>
          <w:szCs w:val="20"/>
        </w:rPr>
      </w:pPr>
      <w:r>
        <w:rPr>
          <w:vertAlign w:val="superscript"/>
        </w:rPr>
        <w:footnoteRef/>
      </w:r>
      <w:r>
        <w:rPr>
          <w:sz w:val="20"/>
          <w:szCs w:val="20"/>
        </w:rPr>
        <w:t xml:space="preserve">LycaMobile - https://www.lycamobile.co.uk/en/about-us/ </w:t>
      </w:r>
    </w:p>
  </w:footnote>
  <w:footnote w:id="13">
    <w:p w14:paraId="2F8571A9" w14:textId="77777777" w:rsidR="007058F1" w:rsidRDefault="00ED1797">
      <w:pPr>
        <w:rPr>
          <w:sz w:val="20"/>
          <w:szCs w:val="20"/>
        </w:rPr>
      </w:pPr>
      <w:r>
        <w:rPr>
          <w:vertAlign w:val="superscript"/>
        </w:rPr>
        <w:footnoteRef/>
      </w:r>
      <w:r>
        <w:rPr>
          <w:sz w:val="20"/>
          <w:szCs w:val="20"/>
        </w:rPr>
        <w:t xml:space="preserve"> A small business employs fewer than 50 staff; a micro business employs fewer than 10. See House of Commons Library - https://researchbriefings.files.parliament.uk/documents/SN06152/SN06152.pdf</w:t>
      </w:r>
    </w:p>
  </w:footnote>
  <w:footnote w:id="14">
    <w:p w14:paraId="2D662F12" w14:textId="7885137B" w:rsidR="007058F1" w:rsidRPr="00700B39" w:rsidRDefault="00ED1797">
      <w:pPr>
        <w:rPr>
          <w:sz w:val="20"/>
          <w:szCs w:val="20"/>
        </w:rPr>
      </w:pPr>
      <w:r>
        <w:rPr>
          <w:vertAlign w:val="superscript"/>
        </w:rPr>
        <w:footnoteRef/>
      </w:r>
      <w:r>
        <w:rPr>
          <w:sz w:val="20"/>
          <w:szCs w:val="20"/>
        </w:rPr>
        <w:t xml:space="preserve"> ‘SMALL BUSINESS, ENTERPRISE AND EMPLOYMENT ACT 2015 Statutory Guidance under s.31 of the Small Business, Enterprise and Employment Act Determining whether it is appropriate to make provision for review (Post-Implementation Review Guidance)’, BEIS </w:t>
      </w:r>
      <w:r w:rsidRPr="00700B39">
        <w:rPr>
          <w:sz w:val="20"/>
          <w:szCs w:val="20"/>
        </w:rPr>
        <w:t xml:space="preserve">https://assets.publishing.service.gov.uk/government/uploads/system/uploads/attachment_data/file/674755/small-business-act-s31-statutory-review-requirements.pdf </w:t>
      </w:r>
    </w:p>
  </w:footnote>
  <w:footnote w:id="15">
    <w:p w14:paraId="442894BD" w14:textId="77777777" w:rsidR="007058F1" w:rsidRDefault="00ED1797">
      <w:pPr>
        <w:rPr>
          <w:sz w:val="20"/>
          <w:szCs w:val="20"/>
        </w:rPr>
      </w:pPr>
      <w:r>
        <w:rPr>
          <w:vertAlign w:val="superscript"/>
        </w:rPr>
        <w:footnoteRef/>
      </w:r>
      <w:r>
        <w:rPr>
          <w:sz w:val="20"/>
          <w:szCs w:val="20"/>
        </w:rPr>
        <w:t xml:space="preserve"> See para 3.81 in Ofcom - Final Statement: Mobile Call Termination Market Review 2018: https://www.ofcom.org.uk/__data/assets/pdf_file/0021/112458/Final-Statement-Mobile-Call-Termination-Market-Review-2018-2021.pdf</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042C3" w14:textId="77777777" w:rsidR="007058F1" w:rsidRDefault="007058F1">
    <w:pPr>
      <w:pBdr>
        <w:top w:val="nil"/>
        <w:left w:val="nil"/>
        <w:bottom w:val="nil"/>
        <w:right w:val="nil"/>
        <w:between w:val="nil"/>
      </w:pBdr>
      <w:jc w:val="center"/>
      <w:rPr>
        <w:rFonts w:ascii="Helvetica Neue" w:eastAsia="Helvetica Neue" w:hAnsi="Helvetica Neue" w:cs="Helvetica Neue"/>
        <w:b/>
        <w:sz w:val="22"/>
        <w:szCs w:val="22"/>
      </w:rPr>
    </w:pPr>
  </w:p>
  <w:p w14:paraId="6D7B6035" w14:textId="77777777" w:rsidR="007058F1" w:rsidRDefault="007058F1">
    <w:pPr>
      <w:pBdr>
        <w:top w:val="nil"/>
        <w:left w:val="nil"/>
        <w:bottom w:val="nil"/>
        <w:right w:val="nil"/>
        <w:between w:val="nil"/>
      </w:pBdr>
      <w:jc w:val="center"/>
      <w:rPr>
        <w:rFonts w:ascii="Helvetica Neue" w:eastAsia="Helvetica Neue" w:hAnsi="Helvetica Neue" w:cs="Helvetica Neue"/>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86712"/>
    <w:multiLevelType w:val="multilevel"/>
    <w:tmpl w:val="EFDE98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DC7864"/>
    <w:multiLevelType w:val="multilevel"/>
    <w:tmpl w:val="ABA8D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AC5E01"/>
    <w:multiLevelType w:val="multilevel"/>
    <w:tmpl w:val="0CCE7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115775D"/>
    <w:multiLevelType w:val="multilevel"/>
    <w:tmpl w:val="EE70C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E80931"/>
    <w:multiLevelType w:val="multilevel"/>
    <w:tmpl w:val="BD6A3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6512F3D"/>
    <w:multiLevelType w:val="multilevel"/>
    <w:tmpl w:val="E8AA4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F0015D"/>
    <w:multiLevelType w:val="multilevel"/>
    <w:tmpl w:val="1302A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F367895"/>
    <w:multiLevelType w:val="multilevel"/>
    <w:tmpl w:val="72861D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E4A54B8"/>
    <w:multiLevelType w:val="multilevel"/>
    <w:tmpl w:val="C640F7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58300A3"/>
    <w:multiLevelType w:val="multilevel"/>
    <w:tmpl w:val="16F4E9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8"/>
  </w:num>
  <w:num w:numId="2">
    <w:abstractNumId w:val="3"/>
  </w:num>
  <w:num w:numId="3">
    <w:abstractNumId w:val="6"/>
  </w:num>
  <w:num w:numId="4">
    <w:abstractNumId w:val="2"/>
  </w:num>
  <w:num w:numId="5">
    <w:abstractNumId w:val="5"/>
  </w:num>
  <w:num w:numId="6">
    <w:abstractNumId w:val="4"/>
  </w:num>
  <w:num w:numId="7">
    <w:abstractNumId w:val="7"/>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8F1"/>
    <w:rsid w:val="00090478"/>
    <w:rsid w:val="000B020C"/>
    <w:rsid w:val="001122A3"/>
    <w:rsid w:val="001F3939"/>
    <w:rsid w:val="002334BE"/>
    <w:rsid w:val="002B1EAC"/>
    <w:rsid w:val="002D7ACB"/>
    <w:rsid w:val="00316383"/>
    <w:rsid w:val="00384C4D"/>
    <w:rsid w:val="004308A7"/>
    <w:rsid w:val="004C66A8"/>
    <w:rsid w:val="006B61F1"/>
    <w:rsid w:val="00700B39"/>
    <w:rsid w:val="007058F1"/>
    <w:rsid w:val="00784608"/>
    <w:rsid w:val="007A1A43"/>
    <w:rsid w:val="007D193F"/>
    <w:rsid w:val="007D49D0"/>
    <w:rsid w:val="008C73EC"/>
    <w:rsid w:val="009E2C43"/>
    <w:rsid w:val="00A03452"/>
    <w:rsid w:val="00AE2D37"/>
    <w:rsid w:val="00B33051"/>
    <w:rsid w:val="00B62697"/>
    <w:rsid w:val="00D6034F"/>
    <w:rsid w:val="00DB7BA4"/>
    <w:rsid w:val="00ED179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AA3B3"/>
  <w15:docId w15:val="{DCB15DAE-58DA-49A3-A22E-AE247DB5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pBdr>
        <w:top w:val="nil"/>
        <w:left w:val="nil"/>
        <w:bottom w:val="nil"/>
        <w:right w:val="nil"/>
        <w:between w:val="nil"/>
      </w:pBdr>
      <w:tabs>
        <w:tab w:val="right" w:pos="10206"/>
      </w:tabs>
      <w:spacing w:before="240" w:after="60"/>
      <w:outlineLvl w:val="0"/>
    </w:pPr>
    <w:rPr>
      <w:rFonts w:ascii="Verdana" w:eastAsia="Verdana" w:hAnsi="Verdana" w:cs="Verdana"/>
      <w:b/>
      <w:sz w:val="32"/>
      <w:szCs w:val="32"/>
    </w:rPr>
  </w:style>
  <w:style w:type="paragraph" w:styleId="Heading2">
    <w:name w:val="heading 2"/>
    <w:basedOn w:val="Normal"/>
    <w:next w:val="Normal"/>
    <w:pPr>
      <w:keepNext/>
      <w:keepLines/>
      <w:pBdr>
        <w:top w:val="nil"/>
        <w:left w:val="nil"/>
        <w:bottom w:val="nil"/>
        <w:right w:val="nil"/>
        <w:between w:val="nil"/>
      </w:pBdr>
      <w:spacing w:before="480" w:after="240"/>
      <w:outlineLvl w:val="1"/>
    </w:pPr>
    <w:rPr>
      <w:color w:val="000000"/>
      <w:sz w:val="32"/>
      <w:szCs w:val="32"/>
    </w:rPr>
  </w:style>
  <w:style w:type="paragraph" w:styleId="Heading3">
    <w:name w:val="heading 3"/>
    <w:basedOn w:val="Normal"/>
    <w:next w:val="Normal"/>
    <w:pPr>
      <w:keepNext/>
      <w:keepLines/>
      <w:pBdr>
        <w:top w:val="nil"/>
        <w:left w:val="nil"/>
        <w:bottom w:val="nil"/>
        <w:right w:val="nil"/>
        <w:between w:val="nil"/>
      </w:pBdr>
      <w:spacing w:before="360" w:after="240"/>
      <w:outlineLvl w:val="2"/>
    </w:pPr>
    <w:rPr>
      <w:b/>
      <w:color w:val="000000"/>
    </w:rPr>
  </w:style>
  <w:style w:type="paragraph" w:styleId="Heading4">
    <w:name w:val="heading 4"/>
    <w:basedOn w:val="Normal"/>
    <w:next w:val="Normal"/>
    <w:pPr>
      <w:pBdr>
        <w:top w:val="nil"/>
        <w:left w:val="nil"/>
        <w:bottom w:val="nil"/>
        <w:right w:val="nil"/>
        <w:between w:val="nil"/>
      </w:pBdr>
      <w:spacing w:before="240" w:after="120"/>
      <w:outlineLvl w:val="3"/>
    </w:pPr>
    <w:rPr>
      <w:b/>
      <w:color w:val="000000"/>
      <w:sz w:val="22"/>
      <w:szCs w:val="22"/>
    </w:rPr>
  </w:style>
  <w:style w:type="paragraph" w:styleId="Heading5">
    <w:name w:val="heading 5"/>
    <w:basedOn w:val="Normal"/>
    <w:next w:val="Normal"/>
    <w:pPr>
      <w:pBdr>
        <w:top w:val="nil"/>
        <w:left w:val="nil"/>
        <w:bottom w:val="nil"/>
        <w:right w:val="nil"/>
        <w:between w:val="nil"/>
      </w:pBdr>
      <w:spacing w:before="240" w:after="120"/>
      <w:outlineLvl w:val="4"/>
    </w:pPr>
    <w:rPr>
      <w:i/>
      <w:sz w:val="22"/>
      <w:szCs w:val="22"/>
    </w:rPr>
  </w:style>
  <w:style w:type="paragraph" w:styleId="Heading6">
    <w:name w:val="heading 6"/>
    <w:basedOn w:val="Normal"/>
    <w:next w:val="Normal"/>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ind w:left="113"/>
    </w:pPr>
    <w:rPr>
      <w:color w:val="FFFFFF"/>
      <w:sz w:val="32"/>
      <w:szCs w:val="32"/>
    </w:rPr>
  </w:style>
  <w:style w:type="paragraph" w:styleId="Subtitle">
    <w:name w:val="Subtitle"/>
    <w:basedOn w:val="Normal"/>
    <w:next w:val="Normal"/>
    <w:pPr>
      <w:pBdr>
        <w:top w:val="nil"/>
        <w:left w:val="nil"/>
        <w:bottom w:val="nil"/>
        <w:right w:val="nil"/>
        <w:between w:val="nil"/>
      </w:pBdr>
      <w:spacing w:after="60"/>
      <w:jc w:val="center"/>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E2D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2D37"/>
    <w:rPr>
      <w:rFonts w:ascii="Segoe UI" w:hAnsi="Segoe UI" w:cs="Segoe UI"/>
      <w:sz w:val="18"/>
      <w:szCs w:val="18"/>
    </w:rPr>
  </w:style>
  <w:style w:type="paragraph" w:styleId="Revision">
    <w:name w:val="Revision"/>
    <w:hidden/>
    <w:uiPriority w:val="99"/>
    <w:semiHidden/>
    <w:rsid w:val="006B61F1"/>
  </w:style>
  <w:style w:type="paragraph" w:styleId="ListParagraph">
    <w:name w:val="List Paragraph"/>
    <w:basedOn w:val="Normal"/>
    <w:uiPriority w:val="34"/>
    <w:qFormat/>
    <w:rsid w:val="00700B39"/>
    <w:pPr>
      <w:ind w:left="720"/>
      <w:contextualSpacing/>
    </w:pPr>
  </w:style>
  <w:style w:type="paragraph" w:styleId="Header">
    <w:name w:val="header"/>
    <w:basedOn w:val="Normal"/>
    <w:link w:val="HeaderChar"/>
    <w:uiPriority w:val="99"/>
    <w:unhideWhenUsed/>
    <w:rsid w:val="00316383"/>
    <w:pPr>
      <w:tabs>
        <w:tab w:val="center" w:pos="4320"/>
        <w:tab w:val="right" w:pos="8640"/>
      </w:tabs>
    </w:pPr>
  </w:style>
  <w:style w:type="character" w:customStyle="1" w:styleId="HeaderChar">
    <w:name w:val="Header Char"/>
    <w:basedOn w:val="DefaultParagraphFont"/>
    <w:link w:val="Header"/>
    <w:uiPriority w:val="99"/>
    <w:rsid w:val="00316383"/>
  </w:style>
  <w:style w:type="paragraph" w:styleId="Footer">
    <w:name w:val="footer"/>
    <w:basedOn w:val="Normal"/>
    <w:link w:val="FooterChar"/>
    <w:uiPriority w:val="99"/>
    <w:unhideWhenUsed/>
    <w:rsid w:val="00316383"/>
    <w:pPr>
      <w:tabs>
        <w:tab w:val="center" w:pos="4320"/>
        <w:tab w:val="right" w:pos="8640"/>
      </w:tabs>
    </w:pPr>
  </w:style>
  <w:style w:type="character" w:customStyle="1" w:styleId="FooterChar">
    <w:name w:val="Footer Char"/>
    <w:basedOn w:val="DefaultParagraphFont"/>
    <w:link w:val="Footer"/>
    <w:uiPriority w:val="99"/>
    <w:rsid w:val="00316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chard.sullivan@culture.gov.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8480</Words>
  <Characters>48341</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Cabinet Office</Company>
  <LinksUpToDate>false</LinksUpToDate>
  <CharactersWithSpaces>56708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Edwards</dc:creator>
  <cp:lastModifiedBy>Thomas Frost</cp:lastModifiedBy>
  <cp:revision>2</cp:revision>
  <cp:lastPrinted>2018-12-18T16:28:00Z</cp:lastPrinted>
  <dcterms:created xsi:type="dcterms:W3CDTF">2019-03-15T10:39:00Z</dcterms:created>
  <dcterms:modified xsi:type="dcterms:W3CDTF">2019-03-15T10:39:00Z</dcterms:modified>
</cp:coreProperties>
</file>