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Arial;Arial" w:hAnsi="Arial;Arial" w:cs="Arial;Arial"/>
          <w:b/>
        </w:rPr>
      </w:pPr>
      <w:r>
        <w:rPr>
          <w:rFonts w:cs="Arial;Arial" w:ascii="Arial;Arial" w:hAnsi="Arial;Arial"/>
          <w:b/>
        </w:rPr>
        <w:t>HM Treasury</w:t>
      </w:r>
    </w:p>
    <w:p>
      <w:pPr>
        <w:pStyle w:val="Normal"/>
        <w:spacing w:lineRule="auto" w:line="240"/>
        <w:rPr>
          <w:rFonts w:ascii="Arial;Arial" w:hAnsi="Arial;Arial" w:cs="Arial;Arial"/>
          <w:b/>
          <w:sz w:val="28"/>
          <w:szCs w:val="28"/>
        </w:rPr>
      </w:pPr>
      <w:r>
        <w:rPr>
          <w:rFonts w:cs="Arial;Arial" w:ascii="Arial;Arial" w:hAnsi="Arial;Arial"/>
          <w:b/>
          <w:sz w:val="28"/>
          <w:szCs w:val="28"/>
        </w:rPr>
        <w:t>Annual review of certain tax credits monetary amounts under Section 41 of the Tax Credits Act 2002 for the tax year 2020-21</w:t>
      </w:r>
    </w:p>
    <w:p>
      <w:pPr>
        <w:pStyle w:val="Normal"/>
        <w:spacing w:lineRule="auto" w:line="240"/>
        <w:rPr>
          <w:rFonts w:ascii="Arial;Arial" w:hAnsi="Arial;Arial" w:cs="Arial;Arial"/>
          <w:b/>
        </w:rPr>
      </w:pPr>
      <w:r>
        <w:rPr>
          <w:rFonts w:cs="Arial;Arial" w:ascii="Arial;Arial" w:hAnsi="Arial;Arial"/>
          <w:b/>
        </w:rPr>
        <w:t xml:space="preserve">Report required under section 41 of the Tax Credits Act 2002.  </w:t>
      </w:r>
    </w:p>
    <w:p>
      <w:pPr>
        <w:pStyle w:val="Normal"/>
        <w:spacing w:lineRule="auto" w:line="240"/>
        <w:rPr/>
      </w:pPr>
      <w:r>
        <w:rPr>
          <w:rFonts w:cs="Arial;Arial" w:ascii="Arial;Arial" w:hAnsi="Arial;Arial"/>
          <w:b/>
        </w:rPr>
        <w:t>Laid before Parliament pursuant to Section 41(5) of the Tax Credits Act 2002</w:t>
      </w:r>
    </w:p>
    <w:p>
      <w:pPr>
        <w:pStyle w:val="Normal"/>
        <w:spacing w:lineRule="auto" w:line="240"/>
        <w:rPr/>
      </w:pPr>
      <w:r>
        <w:rPr>
          <w:rFonts w:cs="Arial;Arial" w:ascii="Arial;Arial" w:hAnsi="Arial;Arial"/>
        </w:rPr>
        <w:t>Section 41(1) of the Tax Credits Act 2002 (the Act)</w:t>
      </w:r>
      <w:r>
        <w:rPr>
          <w:rStyle w:val="FootnoteCharacters"/>
          <w:rStyle w:val="FootnoteReference"/>
          <w:rFonts w:cs="Arial;Arial" w:ascii="Arial;Arial" w:hAnsi="Arial;Arial"/>
        </w:rPr>
        <w:footnoteReference w:id="2"/>
      </w:r>
      <w:r>
        <w:rPr>
          <w:rFonts w:cs="Arial;Arial" w:ascii="Arial;Arial" w:hAnsi="Arial;Arial"/>
        </w:rPr>
        <w:t>, requires a review, each tax year, of certain monetary amounts set out in section 41(2), to determine whether they have retained their value in relation to prices in the United Kingdom in such manner as the Treasury consider appropriate.  A report of that review must be laid before each House of Parliament, stating what each amount would have been, if it had retained its value against prices.</w:t>
      </w:r>
    </w:p>
    <w:p>
      <w:pPr>
        <w:pStyle w:val="Normal"/>
        <w:spacing w:lineRule="auto" w:line="240"/>
        <w:rPr/>
      </w:pPr>
      <w:r>
        <w:rPr>
          <w:rFonts w:cs="Arial;Arial" w:ascii="Arial;Arial" w:hAnsi="Arial;Arial"/>
        </w:rPr>
        <w:t>The requirement applies to any monetary amount prescribed under the following provisions:</w:t>
      </w:r>
    </w:p>
    <w:p>
      <w:pPr>
        <w:pStyle w:val="Normal"/>
        <w:numPr>
          <w:ilvl w:val="0"/>
          <w:numId w:val="1"/>
        </w:numPr>
        <w:spacing w:lineRule="auto" w:line="240"/>
        <w:rPr>
          <w:rFonts w:ascii="Arial;Arial" w:hAnsi="Arial;Arial" w:cs="Arial;Arial"/>
        </w:rPr>
      </w:pPr>
      <w:r>
        <w:rPr>
          <w:rFonts w:cs="Arial;Arial" w:ascii="Arial;Arial" w:hAnsi="Arial;Arial"/>
        </w:rPr>
        <w:t>The income thresholds at which each tax credit will start to be withdrawn: these are prescribed under section 7(1)(a) of the Act.</w:t>
      </w:r>
    </w:p>
    <w:p>
      <w:pPr>
        <w:pStyle w:val="Normal"/>
        <w:numPr>
          <w:ilvl w:val="0"/>
          <w:numId w:val="1"/>
        </w:numPr>
        <w:spacing w:lineRule="auto" w:line="240"/>
        <w:rPr>
          <w:rFonts w:ascii="Arial;Arial" w:hAnsi="Arial;Arial" w:cs="Arial;Arial"/>
        </w:rPr>
      </w:pPr>
      <w:r>
        <w:rPr>
          <w:rFonts w:cs="Arial;Arial" w:ascii="Arial;Arial" w:hAnsi="Arial;Arial"/>
        </w:rPr>
        <w:t>Any thresholds relating to changes in income between the current tax year and the previous tax year as prescribed under section 7(3)(a)-(d).</w:t>
      </w:r>
    </w:p>
    <w:p>
      <w:pPr>
        <w:pStyle w:val="Normal"/>
        <w:numPr>
          <w:ilvl w:val="0"/>
          <w:numId w:val="1"/>
        </w:numPr>
        <w:spacing w:lineRule="auto" w:line="240"/>
        <w:rPr>
          <w:rFonts w:ascii="Arial;Arial" w:hAnsi="Arial;Arial" w:cs="Arial;Arial"/>
        </w:rPr>
      </w:pPr>
      <w:r>
        <w:rPr>
          <w:rFonts w:cs="Arial;Arial" w:ascii="Arial;Arial" w:hAnsi="Arial;Arial"/>
        </w:rPr>
        <w:t>The maximum rates for the various elements of child tax credit as prescribed under section 9 and for those of working tax credit under section 11 of the Act.</w:t>
      </w:r>
    </w:p>
    <w:p>
      <w:pPr>
        <w:pStyle w:val="Normal"/>
        <w:spacing w:lineRule="auto" w:line="240"/>
        <w:rPr>
          <w:rFonts w:ascii="Arial;Arial" w:hAnsi="Arial;Arial" w:cs="Arial;Arial"/>
        </w:rPr>
      </w:pPr>
      <w:r>
        <w:rPr>
          <w:rFonts w:cs="Arial;Arial" w:ascii="Arial;Arial" w:hAnsi="Arial;Arial"/>
        </w:rPr>
        <w:t xml:space="preserve">The overall level of prices as measured by the change in the Consumer Price Index (CPI) from September 2018 to September 2019 was 1.7 per cent.   </w:t>
      </w:r>
    </w:p>
    <w:p>
      <w:pPr>
        <w:pStyle w:val="Normal"/>
        <w:spacing w:lineRule="auto" w:line="240"/>
        <w:rPr>
          <w:rFonts w:ascii="Arial;Arial" w:hAnsi="Arial;Arial" w:cs="Arial;Arial"/>
        </w:rPr>
      </w:pPr>
      <w:r>
        <w:rPr>
          <w:rFonts w:cs="Arial;Arial" w:ascii="Arial;Arial" w:hAnsi="Arial;Arial"/>
        </w:rPr>
        <w:t>The Government implemented a number of changes to the welfare system in the Welfare Reform and Work Act (2016): principally the four-year restriction on benefit uprating up to 2019/20. 2020/21 will be the first year uprating of most elements and thresholds will resume.</w:t>
      </w:r>
    </w:p>
    <w:p>
      <w:pPr>
        <w:pStyle w:val="Normal"/>
        <w:spacing w:lineRule="auto" w:line="240"/>
        <w:rPr>
          <w:rFonts w:ascii="Arial;Arial" w:hAnsi="Arial;Arial" w:cs="Arial;Arial"/>
        </w:rPr>
      </w:pPr>
      <w:r>
        <w:rPr>
          <w:rFonts w:cs="Arial;Arial" w:ascii="Arial;Arial" w:hAnsi="Arial;Arial"/>
        </w:rPr>
        <w:t>The table attached shows:</w:t>
      </w:r>
    </w:p>
    <w:p>
      <w:pPr>
        <w:pStyle w:val="Normal"/>
        <w:numPr>
          <w:ilvl w:val="0"/>
          <w:numId w:val="2"/>
        </w:numPr>
        <w:spacing w:lineRule="auto" w:line="240"/>
        <w:rPr>
          <w:rFonts w:ascii="Arial;Arial" w:hAnsi="Arial;Arial" w:cs="Arial;Arial"/>
        </w:rPr>
      </w:pPr>
      <w:r>
        <w:rPr>
          <w:rFonts w:cs="Arial;Arial" w:ascii="Arial;Arial" w:hAnsi="Arial;Arial"/>
        </w:rPr>
        <w:t>The current rate (2019-20 tax year) of each element/threshold reviewed;</w:t>
      </w:r>
    </w:p>
    <w:p>
      <w:pPr>
        <w:pStyle w:val="Normal"/>
        <w:numPr>
          <w:ilvl w:val="0"/>
          <w:numId w:val="2"/>
        </w:numPr>
        <w:spacing w:lineRule="auto" w:line="240"/>
        <w:rPr>
          <w:rFonts w:ascii="Arial;Arial" w:hAnsi="Arial;Arial" w:cs="Arial;Arial"/>
        </w:rPr>
      </w:pPr>
      <w:r>
        <w:rPr>
          <w:rFonts w:cs="Arial;Arial" w:ascii="Arial;Arial" w:hAnsi="Arial;Arial"/>
        </w:rPr>
        <w:t>The rate of each element/threshold for the new tax year (2020-21), in line with proposals set out by the Chief Secretary to the Treasury in the Written Ministerial Statement (WMS) published on 4 November 2019;</w:t>
      </w:r>
    </w:p>
    <w:p>
      <w:pPr>
        <w:pStyle w:val="Normal"/>
        <w:numPr>
          <w:ilvl w:val="0"/>
          <w:numId w:val="2"/>
        </w:numPr>
        <w:spacing w:lineRule="auto" w:line="240"/>
        <w:rPr>
          <w:rFonts w:ascii="Arial;Arial" w:hAnsi="Arial;Arial" w:cs="Arial;Arial"/>
        </w:rPr>
      </w:pPr>
      <w:r>
        <w:rPr>
          <w:rFonts w:cs="Arial;Arial" w:ascii="Arial;Arial" w:hAnsi="Arial;Arial"/>
        </w:rPr>
        <w:t>The difference between the current rates and the proposed new rates; and</w:t>
      </w:r>
    </w:p>
    <w:p>
      <w:pPr>
        <w:pStyle w:val="Normal"/>
        <w:numPr>
          <w:ilvl w:val="0"/>
          <w:numId w:val="2"/>
        </w:numPr>
        <w:spacing w:lineRule="auto" w:line="240"/>
        <w:rPr>
          <w:rFonts w:ascii="Arial;Arial" w:hAnsi="Arial;Arial" w:cs="Arial;Arial"/>
        </w:rPr>
      </w:pPr>
      <w:r>
        <w:rPr>
          <w:rFonts w:cs="Arial;Arial" w:ascii="Arial;Arial" w:hAnsi="Arial;Arial"/>
        </w:rPr>
        <w:t>The amount of each element/threshold if the rate had been changed in line with the change in the general level of prices.</w:t>
      </w:r>
    </w:p>
    <w:p>
      <w:pPr>
        <w:sectPr>
          <w:footnotePr>
            <w:numFmt w:val="decimal"/>
          </w:footnotePr>
          <w:type w:val="nextPage"/>
          <w:pgSz w:w="11906" w:h="16838"/>
          <w:pgMar w:left="1440" w:right="1440" w:gutter="0" w:header="0" w:top="1440" w:footer="0" w:bottom="1440"/>
          <w:pgNumType w:fmt="decimal"/>
          <w:formProt w:val="false"/>
          <w:textDirection w:val="lrTb"/>
          <w:docGrid w:type="default" w:linePitch="360" w:charSpace="0"/>
        </w:sectPr>
        <w:pStyle w:val="Normal"/>
        <w:spacing w:lineRule="auto" w:line="240"/>
        <w:rPr>
          <w:rFonts w:ascii="Arial;Arial" w:hAnsi="Arial;Arial" w:cs="Arial;Arial"/>
        </w:rPr>
      </w:pPr>
      <w:r>
        <w:rPr>
          <w:rFonts w:cs="Arial;Arial" w:ascii="Arial;Arial" w:hAnsi="Arial;Arial"/>
        </w:rPr>
      </w:r>
    </w:p>
    <w:p>
      <w:pPr>
        <w:pStyle w:val="Normal"/>
        <w:spacing w:lineRule="atLeast" w:line="0" w:before="0" w:after="0"/>
        <w:rPr>
          <w:rFonts w:ascii="Arial;Arial" w:hAnsi="Arial;Arial" w:cs="Arial;Arial"/>
          <w:b/>
        </w:rPr>
      </w:pPr>
      <w:r>
        <w:rPr>
          <w:rFonts w:cs="Arial;Arial" w:ascii="Arial;Arial" w:hAnsi="Arial;Arial"/>
          <w:b/>
        </w:rPr>
        <w:t>REPORT REQUIRED UNDER SECTION 41 OF THE TAX CREDITS ACT 2002</w:t>
      </w:r>
    </w:p>
    <w:p>
      <w:pPr>
        <w:pStyle w:val="Normal"/>
        <w:spacing w:lineRule="atLeast" w:line="0" w:before="0" w:after="0"/>
        <w:rPr>
          <w:rFonts w:ascii="Arial;Arial" w:hAnsi="Arial;Arial" w:cs="Arial;Arial"/>
          <w:b/>
        </w:rPr>
      </w:pPr>
      <w:r>
        <w:rPr>
          <w:rFonts w:cs="Arial;Arial" w:ascii="Arial;Arial" w:hAnsi="Arial;Arial"/>
          <w:b/>
        </w:rPr>
      </w:r>
    </w:p>
    <w:tbl>
      <w:tblPr>
        <w:tblW w:w="4950" w:type="pct"/>
        <w:jc w:val="left"/>
        <w:tblInd w:w="108" w:type="dxa"/>
        <w:tblLayout w:type="fixed"/>
        <w:tblCellMar>
          <w:top w:w="0" w:type="dxa"/>
          <w:left w:w="108" w:type="dxa"/>
          <w:bottom w:w="0" w:type="dxa"/>
          <w:right w:w="108" w:type="dxa"/>
        </w:tblCellMar>
      </w:tblPr>
      <w:tblGrid>
        <w:gridCol w:w="6765"/>
        <w:gridCol w:w="2018"/>
        <w:gridCol w:w="2744"/>
        <w:gridCol w:w="1433"/>
        <w:gridCol w:w="2284"/>
      </w:tblGrid>
      <w:tr>
        <w:trPr>
          <w:trHeight w:val="557" w:hRule="atLeast"/>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b/>
              </w:rPr>
            </w:pPr>
            <w:r>
              <w:rPr>
                <w:rFonts w:cs="Arial;Arial" w:ascii="Arial;Arial" w:hAnsi="Arial;Arial"/>
                <w:b/>
              </w:rPr>
              <w:t>Section 11 Tax Credits Act 2002 -The Working Tax Credit (Entitlement and Maximum Rate) Regulations 2002</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b/>
              </w:rPr>
            </w:pPr>
            <w:r>
              <w:rPr>
                <w:rFonts w:cs="Arial;Arial" w:ascii="Arial;Arial" w:hAnsi="Arial;Arial"/>
                <w:b/>
              </w:rPr>
              <w:t>2019-20 Annual rates (£)</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b/>
              </w:rPr>
            </w:pPr>
            <w:r>
              <w:rPr>
                <w:rFonts w:cs="Arial;Arial" w:ascii="Arial;Arial" w:hAnsi="Arial;Arial"/>
                <w:b/>
              </w:rPr>
              <w:t>2020-21 Annual rates announced by WMS (£)</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b/>
              </w:rPr>
            </w:pPr>
            <w:r>
              <w:rPr>
                <w:rFonts w:cs="Arial;Arial" w:ascii="Arial;Arial" w:hAnsi="Arial;Arial"/>
                <w:b/>
              </w:rPr>
              <w:t>Change (£)</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b/>
              </w:rPr>
            </w:pPr>
            <w:r>
              <w:rPr>
                <w:rFonts w:cs="Arial;Arial" w:ascii="Arial;Arial" w:hAnsi="Arial;Arial"/>
                <w:b/>
              </w:rPr>
              <w:t>Rate if changed in line with prices (£)</w:t>
            </w:r>
          </w:p>
        </w:tc>
      </w:tr>
      <w:tr>
        <w:trPr>
          <w:trHeight w:val="23" w:hRule="atLeast"/>
          <w:cantSplit w:val="true"/>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Basic Element</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1,960</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Arial;Arial" w:hAnsi="Arial;Arial" w:cs="Arial;Arial"/>
                <w:color w:val="000000"/>
              </w:rPr>
            </w:pPr>
            <w:r>
              <w:rPr>
                <w:rFonts w:cs="Arial;Arial" w:ascii="Arial;Arial" w:hAnsi="Arial;Arial"/>
                <w:color w:val="000000"/>
              </w:rPr>
              <w:t>1,995</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35</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1,995</w:t>
            </w:r>
          </w:p>
        </w:tc>
      </w:tr>
      <w:tr>
        <w:trPr>
          <w:trHeight w:val="23" w:hRule="atLeast"/>
          <w:cantSplit w:val="true"/>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 xml:space="preserve">Couple and Lone Parent Element </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2,010</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Arial;Arial" w:hAnsi="Arial;Arial" w:cs="Arial;Arial"/>
                <w:color w:val="000000"/>
              </w:rPr>
            </w:pPr>
            <w:r>
              <w:rPr>
                <w:rFonts w:cs="Arial;Arial" w:ascii="Arial;Arial" w:hAnsi="Arial;Arial"/>
                <w:color w:val="000000"/>
              </w:rPr>
              <w:t>2,045</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35</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2,045</w:t>
            </w:r>
          </w:p>
        </w:tc>
      </w:tr>
      <w:tr>
        <w:trPr>
          <w:trHeight w:val="23" w:hRule="atLeast"/>
          <w:cantSplit w:val="true"/>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 xml:space="preserve">30 hour Element </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810</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Arial;Arial" w:hAnsi="Arial;Arial" w:cs="Arial;Arial"/>
                <w:color w:val="000000"/>
              </w:rPr>
            </w:pPr>
            <w:r>
              <w:rPr>
                <w:rFonts w:cs="Arial;Arial" w:ascii="Arial;Arial" w:hAnsi="Arial;Arial"/>
                <w:color w:val="000000"/>
              </w:rPr>
              <w:t>825</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15</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825</w:t>
            </w:r>
          </w:p>
        </w:tc>
      </w:tr>
      <w:tr>
        <w:trPr>
          <w:trHeight w:val="23" w:hRule="atLeast"/>
          <w:cantSplit w:val="true"/>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Disability Element                                                                                 Schedule 2</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3,165</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Arial;Arial" w:hAnsi="Arial;Arial" w:cs="Arial;Arial"/>
                <w:color w:val="000000"/>
                <w:lang w:eastAsia="en-GB"/>
              </w:rPr>
            </w:pPr>
            <w:r>
              <w:rPr>
                <w:rFonts w:cs="Arial;Arial" w:ascii="Arial;Arial" w:hAnsi="Arial;Arial"/>
                <w:color w:val="000000"/>
              </w:rPr>
              <w:t>3,220</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55</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3,220</w:t>
            </w:r>
          </w:p>
        </w:tc>
      </w:tr>
      <w:tr>
        <w:trPr>
          <w:trHeight w:val="23" w:hRule="atLeast"/>
          <w:cantSplit w:val="true"/>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Severe Disability Element                                                                    Schedule 2</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1,365</w:t>
            </w:r>
          </w:p>
        </w:tc>
        <w:tc>
          <w:tcPr>
            <w:tcW w:w="274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rFonts w:ascii="Arial;Arial" w:hAnsi="Arial;Arial" w:cs="Arial;Arial"/>
                <w:color w:val="000000"/>
              </w:rPr>
            </w:pPr>
            <w:r>
              <w:rPr>
                <w:rFonts w:cs="Arial;Arial" w:ascii="Arial;Arial" w:hAnsi="Arial;Arial"/>
                <w:color w:val="000000"/>
              </w:rPr>
              <w:t>1,390</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25</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1,390</w:t>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b/>
              </w:rPr>
              <w:t>Section 9 Tax Credits Act 2002 -The Child Tax Credit Regulations 2002</w:t>
            </w:r>
          </w:p>
        </w:tc>
        <w:tc>
          <w:tcPr>
            <w:tcW w:w="201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c>
          <w:tcPr>
            <w:tcW w:w="2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c>
          <w:tcPr>
            <w:tcW w:w="143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c>
          <w:tcPr>
            <w:tcW w:w="22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Family Element                                                                                       Reg 7(3)</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545</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545</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eastAsia="Arial;Arial" w:cs="Arial;Arial" w:ascii="Arial;Arial" w:hAnsi="Arial;Arial"/>
              </w:rPr>
              <w:t xml:space="preserve"> </w:t>
            </w:r>
            <w:r>
              <w:rPr>
                <w:rFonts w:cs="Arial;Arial" w:ascii="Arial;Arial" w:hAnsi="Arial;Arial"/>
              </w:rPr>
              <w:t>0</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555</w:t>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 xml:space="preserve">Child Element </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2,780</w:t>
            </w:r>
          </w:p>
        </w:tc>
        <w:tc>
          <w:tcPr>
            <w:tcW w:w="274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rFonts w:ascii="Arial;Arial" w:hAnsi="Arial;Arial" w:cs="Arial;Arial"/>
              </w:rPr>
            </w:pPr>
            <w:r>
              <w:rPr>
                <w:rFonts w:cs="Arial;Arial" w:ascii="Arial;Arial" w:hAnsi="Arial;Arial"/>
              </w:rPr>
              <w:t>2,830</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50</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2,830</w:t>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pPr>
            <w:r>
              <w:rPr>
                <w:rFonts w:cs="Arial;Arial" w:ascii="Arial;Arial" w:hAnsi="Arial;Arial"/>
              </w:rPr>
              <w:t>Child or qualifying young person is disabled                                     Reg 7(5)(a)</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3,355</w:t>
            </w:r>
          </w:p>
        </w:tc>
        <w:tc>
          <w:tcPr>
            <w:tcW w:w="274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rFonts w:ascii="Arial;Arial" w:hAnsi="Arial;Arial" w:cs="Arial;Arial"/>
              </w:rPr>
            </w:pPr>
            <w:r>
              <w:rPr>
                <w:rFonts w:cs="Arial;Arial" w:ascii="Arial;Arial" w:hAnsi="Arial;Arial"/>
              </w:rPr>
              <w:t>3,415</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60</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3,415</w:t>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Child or qualifying young person severely disabled                         Reg 7(5)(b)</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4,715</w:t>
            </w:r>
          </w:p>
        </w:tc>
        <w:tc>
          <w:tcPr>
            <w:tcW w:w="274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7" w:before="0" w:after="160"/>
              <w:rPr>
                <w:rFonts w:ascii="Arial;Arial" w:hAnsi="Arial;Arial" w:cs="Arial;Arial"/>
              </w:rPr>
            </w:pPr>
            <w:r>
              <w:rPr>
                <w:rFonts w:cs="Arial;Arial" w:ascii="Arial;Arial" w:hAnsi="Arial;Arial"/>
              </w:rPr>
              <w:t>4,800</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85</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4,800</w:t>
            </w:r>
          </w:p>
        </w:tc>
      </w:tr>
      <w:tr>
        <w:trPr>
          <w:trHeight w:val="420" w:hRule="atLeast"/>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pPr>
            <w:r>
              <w:rPr>
                <w:rFonts w:cs="Arial;Arial" w:ascii="Arial;Arial" w:hAnsi="Arial;Arial"/>
                <w:b/>
              </w:rPr>
              <w:t>Sections 7(1) &amp; (3) and 13 Tax Credits Act 2002 – The Tax Credits (Income Thresholds and Determination Rates) Regulations 2002</w:t>
            </w:r>
          </w:p>
        </w:tc>
        <w:tc>
          <w:tcPr>
            <w:tcW w:w="201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b/>
              </w:rPr>
            </w:pPr>
            <w:r>
              <w:rPr>
                <w:rFonts w:cs="Arial;Arial" w:ascii="Arial;Arial" w:hAnsi="Arial;Arial"/>
                <w:b/>
              </w:rPr>
            </w:r>
          </w:p>
        </w:tc>
        <w:tc>
          <w:tcPr>
            <w:tcW w:w="274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c>
          <w:tcPr>
            <w:tcW w:w="1433"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c>
          <w:tcPr>
            <w:tcW w:w="22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0" w:before="0" w:after="160"/>
              <w:rPr>
                <w:rFonts w:ascii="Arial;Arial" w:hAnsi="Arial;Arial" w:cs="Arial;Arial"/>
              </w:rPr>
            </w:pPr>
            <w:r>
              <w:rPr>
                <w:rFonts w:cs="Arial;Arial" w:ascii="Arial;Arial" w:hAnsi="Arial;Arial"/>
              </w:rPr>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rPr>
                <w:rFonts w:ascii="Arial;Arial" w:hAnsi="Arial;Arial" w:cs="Arial;Arial"/>
              </w:rPr>
            </w:pPr>
            <w:r>
              <w:rPr>
                <w:rFonts w:cs="Arial;Arial" w:ascii="Arial;Arial" w:hAnsi="Arial;Arial"/>
              </w:rPr>
              <w:t xml:space="preserve">Income Disregard  </w:t>
            </w:r>
          </w:p>
          <w:p>
            <w:pPr>
              <w:pStyle w:val="Normal"/>
              <w:spacing w:lineRule="atLeast" w:line="0" w:before="0" w:after="160"/>
              <w:rPr>
                <w:rFonts w:ascii="Arial;Arial" w:hAnsi="Arial;Arial" w:cs="Arial;Arial"/>
              </w:rPr>
            </w:pPr>
            <w:r>
              <w:rPr>
                <w:rFonts w:cs="Arial;Arial" w:ascii="Arial;Arial" w:hAnsi="Arial;Arial"/>
              </w:rPr>
              <w:t>Reg 5</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2,500</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2,500</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0</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2,545</w:t>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pPr>
            <w:r>
              <w:rPr>
                <w:rFonts w:cs="Arial;Arial" w:ascii="Arial;Arial" w:hAnsi="Arial;Arial"/>
              </w:rPr>
              <w:t>First Income Threshold Working Tax Credit                                                                  Reg 3(2) and (7)(3)</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6,420</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6,530</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110</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6,530</w:t>
            </w:r>
          </w:p>
        </w:tc>
      </w:tr>
      <w:tr>
        <w:trPr/>
        <w:tc>
          <w:tcPr>
            <w:tcW w:w="6765"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pPr>
            <w:r>
              <w:rPr>
                <w:rFonts w:cs="Arial;Arial" w:ascii="Arial;Arial" w:hAnsi="Arial;Arial"/>
              </w:rPr>
              <w:t>First Income Threshold Child Tax Credit                                                                    Reg 3(3) and 8(3)</w:t>
            </w:r>
          </w:p>
        </w:tc>
        <w:tc>
          <w:tcPr>
            <w:tcW w:w="2018"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16,105</w:t>
            </w:r>
          </w:p>
        </w:tc>
        <w:tc>
          <w:tcPr>
            <w:tcW w:w="274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16,385</w:t>
            </w:r>
          </w:p>
        </w:tc>
        <w:tc>
          <w:tcPr>
            <w:tcW w:w="1433"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280</w:t>
            </w:r>
          </w:p>
        </w:tc>
        <w:tc>
          <w:tcPr>
            <w:tcW w:w="2284" w:type="dxa"/>
            <w:tcBorders>
              <w:top w:val="single" w:sz="4" w:space="0" w:color="000000"/>
              <w:left w:val="single" w:sz="4" w:space="0" w:color="000000"/>
              <w:bottom w:val="single" w:sz="4" w:space="0" w:color="000000"/>
              <w:right w:val="single" w:sz="4" w:space="0" w:color="000000"/>
            </w:tcBorders>
          </w:tcPr>
          <w:p>
            <w:pPr>
              <w:pStyle w:val="Normal"/>
              <w:spacing w:lineRule="atLeast" w:line="0" w:before="0" w:after="160"/>
              <w:rPr>
                <w:rFonts w:ascii="Arial;Arial" w:hAnsi="Arial;Arial" w:cs="Arial;Arial"/>
              </w:rPr>
            </w:pPr>
            <w:r>
              <w:rPr>
                <w:rFonts w:cs="Arial;Arial" w:ascii="Arial;Arial" w:hAnsi="Arial;Arial"/>
              </w:rPr>
              <w:t>16,385</w:t>
            </w:r>
          </w:p>
        </w:tc>
      </w:tr>
    </w:tbl>
    <w:p>
      <w:pPr>
        <w:pStyle w:val="Normal"/>
        <w:spacing w:lineRule="atLeast" w:line="0" w:before="0" w:after="160"/>
        <w:rPr>
          <w:sz w:val="20"/>
          <w:szCs w:val="20"/>
        </w:rPr>
      </w:pPr>
      <w:r>
        <w:rPr>
          <w:sz w:val="20"/>
          <w:szCs w:val="20"/>
        </w:rPr>
      </w:r>
    </w:p>
    <w:sectPr>
      <w:footnotePr>
        <w:numFmt w:val="decimal"/>
      </w:footnotePr>
      <w:type w:val="nextPage"/>
      <w:pgSz w:orient="landscape" w:w="16838" w:h="11906"/>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modern"/>
    <w:pitch w:val="default"/>
  </w:font>
  <w:font w:name="Wingdings">
    <w:altName w:val="Wingdings 2"/>
    <w:charset w:val="02"/>
    <w:family w:val="auto"/>
    <w:pitch w:val="variable"/>
  </w:font>
  <w:font w:name="Symbol">
    <w:altName w:val="Times New Roman"/>
    <w:charset w:val="02"/>
    <w:family w:val="roman"/>
    <w:pitch w:val="variable"/>
  </w:font>
  <w:font w:name="Segoe UI">
    <w:charset w:val="00"/>
    <w:family w:val="swiss"/>
    <w:pitch w:val="variable"/>
  </w:font>
  <w:font w:name="Liberation Sans">
    <w:altName w:val="Arial"/>
    <w:charset w:val="00"/>
    <w:family w:val="swiss"/>
    <w:pitch w:val="variable"/>
  </w:font>
  <w:font w:name="Arial">
    <w:charset w:val="00"/>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160"/>
        <w:rPr/>
      </w:pPr>
      <w:r>
        <w:rPr>
          <w:rStyle w:val="FootnoteCharacters"/>
        </w:rPr>
        <w:footnoteRef/>
      </w:r>
      <w:r>
        <w:rPr/>
        <w:t xml:space="preserve"> </w:t>
      </w:r>
      <w:r>
        <w:rPr/>
        <w:t>Part 1 of the Tax Credits Act 2002 has been repealed by Welfare Reform Act 2012 with effect from 1 February 2019. Part 1 includes section 41. However, by T</w:t>
      </w:r>
      <w:bookmarkStart w:id="0" w:name="_Hlk26497844"/>
      <w:bookmarkStart w:id="1" w:name="_Hlk26497843"/>
      <w:r>
        <w:rPr/>
        <w:t>he Welfare Reform Act 2012 (Commencement No 32 and Savings and Transitional Provisions) Order 2019, section 3(1), Part 1 of the TCA 2002 shall be treated as though it is still in force in relation to certain categories of cases. Those categories are set out in full in section 3(2)-(5) and (9) of the 2019 order.</w:t>
      </w:r>
      <w:bookmarkEnd w:id="0"/>
      <w:bookmarkEnd w:id="1"/>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abstractNum>
  <w:abstractNum w:abstractNumId="2">
    <w:lvl w:ilvl="0">
      <w:start w:val="1"/>
      <w:numFmt w:val="lowerLetter"/>
      <w:lvlText w:val="%1)"/>
      <w:lvlJc w:val="left"/>
      <w:pPr>
        <w:tabs>
          <w:tab w:val="num" w:pos="0"/>
        </w:tabs>
        <w:ind w:left="36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Times"/>
      <w:color w:val="auto"/>
      <w:sz w:val="22"/>
      <w:szCs w:val="22"/>
      <w:lang w:val="en-GB" w:bidi="ar-SA" w:eastAsia="zh-CN"/>
    </w:rPr>
  </w:style>
  <w:style w:type="character" w:styleId="WW8Num2z0">
    <w:name w:val="WW8Num2z0"/>
    <w:qFormat/>
    <w:rPr>
      <w:rFonts w:ascii="Calibri" w:hAnsi="Calibri" w:eastAsia="Calibri" w:cs="Times New Roman; Times"/>
    </w:rPr>
  </w:style>
  <w:style w:type="character" w:styleId="WW8Num2z1">
    <w:name w:val="WW8Num2z1"/>
    <w:qFormat/>
    <w:rPr>
      <w:rFonts w:ascii="Courier New;Courier New" w:hAnsi="Courier New;Courier New" w:cs="Courier New;Courier New"/>
    </w:rPr>
  </w:style>
  <w:style w:type="character" w:styleId="WW8Num2z2">
    <w:name w:val="WW8Num2z2"/>
    <w:qFormat/>
    <w:rPr>
      <w:rFonts w:ascii="Wingdings;Wingdings 2" w:hAnsi="Wingdings;Wingdings 2" w:cs="Wingdings;Wingdings 2"/>
    </w:rPr>
  </w:style>
  <w:style w:type="character" w:styleId="WW8Num2z3">
    <w:name w:val="WW8Num2z3"/>
    <w:qFormat/>
    <w:rPr>
      <w:rFonts w:ascii="Symbol;Times New Roman" w:hAnsi="Symbol;Times New Roman" w:cs="Symbol;Times New Roman"/>
    </w:rPr>
  </w:style>
  <w:style w:type="character" w:styleId="WW8Num3z0">
    <w:name w:val="WW8Num3z0"/>
    <w:qFormat/>
    <w:rPr>
      <w:rFonts w:ascii="Symbol;Times New Roman" w:hAnsi="Symbol;Times New Roman" w:cs="Symbol;Times New Roman"/>
    </w:rPr>
  </w:style>
  <w:style w:type="character" w:styleId="WW8Num3z1">
    <w:name w:val="WW8Num3z1"/>
    <w:qFormat/>
    <w:rPr>
      <w:rFonts w:ascii="Courier New;Courier New" w:hAnsi="Courier New;Courier New" w:cs="Courier New;Courier New"/>
    </w:rPr>
  </w:style>
  <w:style w:type="character" w:styleId="WW8Num3z2">
    <w:name w:val="WW8Num3z2"/>
    <w:qFormat/>
    <w:rPr>
      <w:rFonts w:ascii="Wingdings;Wingdings 2" w:hAnsi="Wingdings;Wingdings 2" w:cs="Wingdings;Wingdings 2"/>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HeaderChar">
    <w:name w:val="Header Char"/>
    <w:qFormat/>
    <w:rPr>
      <w:sz w:val="22"/>
      <w:szCs w:val="22"/>
    </w:rPr>
  </w:style>
  <w:style w:type="character" w:styleId="FooterChar">
    <w:name w:val="Footer Char"/>
    <w:qFormat/>
    <w:rPr>
      <w:sz w:val="22"/>
      <w:szCs w:val="22"/>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FootnoteTextChar">
    <w:name w:val="Footnote Text 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2020-01-28T16:03:00Z</dcterms:created>
  <dc:creator>Jacqueline Latter</dc:creator>
  <dc:description/>
  <cp:keywords/>
  <dc:language>en-GB</dc:language>
  <cp:lastModifiedBy>Hastick, Andrea - HMT</cp:lastModifiedBy>
  <cp:lastPrinted>2020-01-28T15:01:00Z</cp:lastPrinted>
  <dcterms:modified xsi:type="dcterms:W3CDTF">2020-01-28T16:03:00Z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0x010100672A3FCA98991645BE083C320B7539B70073E2331C55A74AA0969608FB8C0629F600CBDDE69890E4AE49814FA43CD554EF51</vt:lpwstr>
  </property>
  <property fmtid="{D5CDD505-2E9C-101B-9397-08002B2CF9AE}" pid="3" name="HMT_ArchivedBy">
    <vt:lpwstr/>
  </property>
  <property fmtid="{D5CDD505-2E9C-101B-9397-08002B2CF9AE}" pid="4" name="HMT_ArchivedOn">
    <vt:lpwstr/>
  </property>
  <property fmtid="{D5CDD505-2E9C-101B-9397-08002B2CF9AE}" pid="5" name="HMT_Audit">
    <vt:lpwstr/>
  </property>
  <property fmtid="{D5CDD505-2E9C-101B-9397-08002B2CF9AE}" pid="6" name="HMT_Category">
    <vt:lpwstr>4;#Policy Document Types|bd4325a7-7f6a-48f9-b0dc-cc3aef626e65</vt:lpwstr>
  </property>
  <property fmtid="{D5CDD505-2E9C-101B-9397-08002B2CF9AE}" pid="7" name="HMT_CategoryHTField0">
    <vt:lpwstr>Policy Document Types|bd4325a7-7f6a-48f9-b0dc-cc3aef626e65</vt:lpwstr>
  </property>
  <property fmtid="{D5CDD505-2E9C-101B-9397-08002B2CF9AE}" pid="8" name="HMT_Classification">
    <vt:lpwstr>8;#Official|0c3401bb-744b-4660-997f-fc50d910db48</vt:lpwstr>
  </property>
  <property fmtid="{D5CDD505-2E9C-101B-9397-08002B2CF9AE}" pid="9" name="HMT_ClosedArchive">
    <vt:lpwstr>0</vt:lpwstr>
  </property>
  <property fmtid="{D5CDD505-2E9C-101B-9397-08002B2CF9AE}" pid="10" name="HMT_ClosedBy">
    <vt:lpwstr/>
  </property>
  <property fmtid="{D5CDD505-2E9C-101B-9397-08002B2CF9AE}" pid="11" name="HMT_ClosedOn">
    <vt:lpwstr/>
  </property>
  <property fmtid="{D5CDD505-2E9C-101B-9397-08002B2CF9AE}" pid="12" name="HMT_ClosedOnOrig">
    <vt:lpwstr/>
  </property>
  <property fmtid="{D5CDD505-2E9C-101B-9397-08002B2CF9AE}" pid="13" name="HMT_ClosedbyOrig">
    <vt:lpwstr/>
  </property>
  <property fmtid="{D5CDD505-2E9C-101B-9397-08002B2CF9AE}" pid="14" name="HMT_DeletedOn">
    <vt:lpwstr/>
  </property>
  <property fmtid="{D5CDD505-2E9C-101B-9397-08002B2CF9AE}" pid="15" name="HMT_DocumentType">
    <vt:lpwstr>1;#Other|c235b5c2-f697-427b-a70a-43d69599f998</vt:lpwstr>
  </property>
  <property fmtid="{D5CDD505-2E9C-101B-9397-08002B2CF9AE}" pid="16" name="HMT_DocumentTypeHTField0">
    <vt:lpwstr>Other|c235b5c2-f697-427b-a70a-43d69599f998</vt:lpwstr>
  </property>
  <property fmtid="{D5CDD505-2E9C-101B-9397-08002B2CF9AE}" pid="17" name="HMT_Group">
    <vt:lpwstr>2;#Ministerial and Communications|9d8fc5c3-f187-4cdc-9b2e-d03a5d5367ae</vt:lpwstr>
  </property>
  <property fmtid="{D5CDD505-2E9C-101B-9397-08002B2CF9AE}" pid="18" name="HMT_GroupHTField0">
    <vt:lpwstr>Ministerial and Communications|9d8fc5c3-f187-4cdc-9b2e-d03a5d5367ae</vt:lpwstr>
  </property>
  <property fmtid="{D5CDD505-2E9C-101B-9397-08002B2CF9AE}" pid="19" name="HMT_LegacyCreatedBy">
    <vt:lpwstr/>
  </property>
  <property fmtid="{D5CDD505-2E9C-101B-9397-08002B2CF9AE}" pid="20" name="HMT_LegacyExtRef">
    <vt:lpwstr/>
  </property>
  <property fmtid="{D5CDD505-2E9C-101B-9397-08002B2CF9AE}" pid="21" name="HMT_LegacyItemID">
    <vt:lpwstr/>
  </property>
  <property fmtid="{D5CDD505-2E9C-101B-9397-08002B2CF9AE}" pid="22" name="HMT_LegacyModifiedBy">
    <vt:lpwstr/>
  </property>
  <property fmtid="{D5CDD505-2E9C-101B-9397-08002B2CF9AE}" pid="23" name="HMT_LegacyOrigSource">
    <vt:lpwstr/>
  </property>
  <property fmtid="{D5CDD505-2E9C-101B-9397-08002B2CF9AE}" pid="24" name="HMT_LegacyRecord">
    <vt:lpwstr>0</vt:lpwstr>
  </property>
  <property fmtid="{D5CDD505-2E9C-101B-9397-08002B2CF9AE}" pid="25" name="HMT_LegacySensitive">
    <vt:lpwstr>0</vt:lpwstr>
  </property>
  <property fmtid="{D5CDD505-2E9C-101B-9397-08002B2CF9AE}" pid="26" name="HMT_Record">
    <vt:lpwstr>1</vt:lpwstr>
  </property>
  <property fmtid="{D5CDD505-2E9C-101B-9397-08002B2CF9AE}" pid="27" name="HMT_Review">
    <vt:lpwstr>0</vt:lpwstr>
  </property>
  <property fmtid="{D5CDD505-2E9C-101B-9397-08002B2CF9AE}" pid="28" name="HMT_SubTeam">
    <vt:lpwstr/>
  </property>
  <property fmtid="{D5CDD505-2E9C-101B-9397-08002B2CF9AE}" pid="29" name="HMT_SubTeamHTField0">
    <vt:lpwstr/>
  </property>
  <property fmtid="{D5CDD505-2E9C-101B-9397-08002B2CF9AE}" pid="30" name="HMT_SubTopic">
    <vt:lpwstr>D10 2020 SI Case files</vt:lpwstr>
  </property>
  <property fmtid="{D5CDD505-2E9C-101B-9397-08002B2CF9AE}" pid="31" name="HMT_Team">
    <vt:lpwstr>106;#Parliamentary Unit|7fdf7b1f-fd4d-43a8-bb24-982a1fad54f4</vt:lpwstr>
  </property>
  <property fmtid="{D5CDD505-2E9C-101B-9397-08002B2CF9AE}" pid="32" name="HMT_TeamHTField0">
    <vt:lpwstr>Parliamentary Unit|7fdf7b1f-fd4d-43a8-bb24-982a1fad54f4</vt:lpwstr>
  </property>
  <property fmtid="{D5CDD505-2E9C-101B-9397-08002B2CF9AE}" pid="33" name="HMT_Theme">
    <vt:lpwstr>Parliamentary Unit</vt:lpwstr>
  </property>
  <property fmtid="{D5CDD505-2E9C-101B-9397-08002B2CF9AE}" pid="34" name="HMT_Topic">
    <vt:lpwstr>D-Secondary Legislation</vt:lpwstr>
  </property>
  <property fmtid="{D5CDD505-2E9C-101B-9397-08002B2CF9AE}" pid="35" name="TaxCatchAll">
    <vt:lpwstr>8;#Official|0c3401bb-744b-4660-997f-fc50d910db48;#106;#Parliamentary Unit|7fdf7b1f-fd4d-43a8-bb24-982a1fad54f4;#2;#Ministerial and Communications|9d8fc5c3-f187-4cdc-9b2e-d03a5d5367ae;#1;#Other|c235b5c2-f697-427b-a70a-43d69599f998;#4;#Policy Document Types</vt:lpwstr>
  </property>
  <property fmtid="{D5CDD505-2E9C-101B-9397-08002B2CF9AE}" pid="36" name="b9c42a306c8b47fcbaf8a41a71352f3a">
    <vt:lpwstr>Official|0c3401bb-744b-4660-997f-fc50d910db48</vt:lpwstr>
  </property>
  <property fmtid="{D5CDD505-2E9C-101B-9397-08002B2CF9AE}" pid="37" name="dlc_EmailBCC">
    <vt:lpwstr/>
  </property>
  <property fmtid="{D5CDD505-2E9C-101B-9397-08002B2CF9AE}" pid="38" name="dlc_EmailCC">
    <vt:lpwstr/>
  </property>
  <property fmtid="{D5CDD505-2E9C-101B-9397-08002B2CF9AE}" pid="39" name="dlc_EmailFrom">
    <vt:lpwstr/>
  </property>
  <property fmtid="{D5CDD505-2E9C-101B-9397-08002B2CF9AE}" pid="40" name="dlc_EmailMailbox">
    <vt:lpwstr/>
  </property>
  <property fmtid="{D5CDD505-2E9C-101B-9397-08002B2CF9AE}" pid="41" name="dlc_EmailReceivedUTC">
    <vt:lpwstr/>
  </property>
  <property fmtid="{D5CDD505-2E9C-101B-9397-08002B2CF9AE}" pid="42" name="dlc_EmailSentUTC">
    <vt:lpwstr/>
  </property>
  <property fmtid="{D5CDD505-2E9C-101B-9397-08002B2CF9AE}" pid="43" name="dlc_EmailSubject">
    <vt:lpwstr/>
  </property>
  <property fmtid="{D5CDD505-2E9C-101B-9397-08002B2CF9AE}" pid="44" name="dlc_EmailTo">
    <vt:lpwstr/>
  </property>
</Properties>
</file>