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Arial" w:hAnsi="Arial" w:cs="Arial"/>
          <w:b/>
          <w:lang w:val="en-GB"/>
        </w:rPr>
      </w:pPr>
      <w:r>
        <w:rPr>
          <w:rFonts w:cs="Arial" w:ascii="Arial" w:hAnsi="Arial"/>
          <w:b/>
          <w:lang w:val="en-GB"/>
        </w:rPr>
      </w:r>
    </w:p>
    <w:p>
      <w:pPr>
        <w:pStyle w:val="Normal"/>
        <w:spacing w:lineRule="auto" w:line="240" w:before="0" w:after="0"/>
        <w:ind w:left="-567" w:right="0"/>
        <w:jc w:val="center"/>
        <w:rPr>
          <w:rFonts w:ascii="Times New Roman" w:hAnsi="Times New Roman" w:cs="Times New Roman"/>
          <w:b/>
          <w:lang w:val="en-GB"/>
        </w:rPr>
      </w:pPr>
      <w:r>
        <w:rPr>
          <w:rFonts w:cs="Times New Roman" w:ascii="Times New Roman" w:hAnsi="Times New Roman"/>
          <w:b/>
          <w:lang w:val="en-GB"/>
        </w:rPr>
        <w:t>EXPLANATORY MEMORANDUM TO</w:t>
      </w:r>
    </w:p>
    <w:p>
      <w:pPr>
        <w:pStyle w:val="Normal"/>
        <w:spacing w:lineRule="auto" w:line="240" w:before="0" w:after="0"/>
        <w:ind w:left="-567" w:right="0"/>
        <w:jc w:val="center"/>
        <w:rPr>
          <w:rFonts w:ascii="Times New Roman" w:hAnsi="Times New Roman" w:cs="Times New Roman"/>
          <w:b/>
          <w:lang w:val="en-GB"/>
        </w:rPr>
      </w:pPr>
      <w:r>
        <w:rPr>
          <w:rFonts w:cs="Times New Roman" w:ascii="Times New Roman" w:hAnsi="Times New Roman"/>
          <w:b/>
          <w:lang w:val="en-GB"/>
        </w:rPr>
        <w:t>THE PROTECTION OF FREEDOMS ACT 2012 (GUIDANCE ON THE MAKING OR RENEWING OF NATIONAL SECURITY DETERMINATIONS) ORDER 2014</w:t>
      </w:r>
    </w:p>
    <w:p>
      <w:pPr>
        <w:pStyle w:val="Normal"/>
        <w:spacing w:lineRule="auto" w:line="240" w:before="0" w:after="0"/>
        <w:ind w:left="-567" w:right="0"/>
        <w:jc w:val="center"/>
        <w:rPr>
          <w:rFonts w:ascii="Times New Roman" w:hAnsi="Times New Roman" w:cs="Times New Roman"/>
          <w:b/>
          <w:lang w:val="en-GB"/>
        </w:rPr>
      </w:pPr>
      <w:r>
        <w:rPr>
          <w:rFonts w:cs="Times New Roman" w:ascii="Times New Roman" w:hAnsi="Times New Roman"/>
          <w:b/>
          <w:lang w:val="en-GB"/>
        </w:rPr>
      </w:r>
    </w:p>
    <w:p>
      <w:pPr>
        <w:pStyle w:val="Normal"/>
        <w:jc w:val="center"/>
        <w:rPr>
          <w:rFonts w:ascii="Times New Roman" w:hAnsi="Times New Roman" w:cs="Times New Roman"/>
          <w:b/>
        </w:rPr>
      </w:pPr>
      <w:r>
        <w:rPr>
          <w:rFonts w:cs="Times New Roman" w:ascii="Times New Roman" w:hAnsi="Times New Roman"/>
          <w:b/>
        </w:rPr>
        <w:t>2014 No. 198</w:t>
      </w:r>
    </w:p>
    <w:p>
      <w:pPr>
        <w:pStyle w:val="ListParagraph"/>
        <w:spacing w:lineRule="auto" w:line="240" w:before="0" w:after="0"/>
        <w:ind w:left="-87" w:right="0"/>
        <w:contextualSpacing/>
        <w:rPr>
          <w:rFonts w:ascii="Times New Roman" w:hAnsi="Times New Roman" w:cs="Times New Roman"/>
          <w:b/>
          <w:sz w:val="24"/>
          <w:szCs w:val="24"/>
        </w:rPr>
      </w:pPr>
      <w:r>
        <w:rPr>
          <w:rFonts w:cs="Times New Roman"/>
          <w:b/>
          <w:sz w:val="24"/>
          <w:szCs w:val="24"/>
        </w:rPr>
      </w:r>
    </w:p>
    <w:p>
      <w:pPr>
        <w:pStyle w:val="ListParagraph"/>
        <w:spacing w:lineRule="auto" w:line="240" w:before="0" w:after="0"/>
        <w:ind w:hanging="807" w:right="0"/>
        <w:contextualSpacing/>
        <w:rPr>
          <w:b/>
          <w:sz w:val="24"/>
          <w:szCs w:val="24"/>
        </w:rPr>
      </w:pPr>
      <w:r>
        <w:rPr>
          <w:b/>
          <w:sz w:val="24"/>
          <w:szCs w:val="24"/>
        </w:rPr>
        <w:t>1.</w:t>
      </w:r>
      <w:r>
        <w:rPr>
          <w:sz w:val="24"/>
          <w:szCs w:val="24"/>
        </w:rPr>
        <w:tab/>
        <w:t>This explanatory memorandum has been prepared by the Home Office and is laid before Parliament by Command of Her Majesty.</w:t>
      </w:r>
    </w:p>
    <w:p>
      <w:pPr>
        <w:pStyle w:val="Normal"/>
        <w:spacing w:lineRule="auto" w:line="240" w:before="0" w:after="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jc w:val="both"/>
        <w:rPr/>
      </w:pPr>
      <w:r>
        <w:rPr>
          <w:rFonts w:cs="Times New Roman" w:ascii="Times New Roman" w:hAnsi="Times New Roman"/>
          <w:b/>
        </w:rPr>
        <w:t>2.</w:t>
        <w:tab/>
        <w:t>Purpose of the instrument</w:t>
      </w:r>
    </w:p>
    <w:p>
      <w:pPr>
        <w:pStyle w:val="Normal"/>
        <w:spacing w:lineRule="auto" w:line="240" w:before="0" w:after="0"/>
        <w:jc w:val="both"/>
        <w:rPr>
          <w:rFonts w:ascii="Times New Roman" w:hAnsi="Times New Roman" w:cs="Times New Roman"/>
          <w:b/>
        </w:rPr>
      </w:pPr>
      <w:r>
        <w:rPr>
          <w:rFonts w:cs="Times New Roman" w:ascii="Times New Roman" w:hAnsi="Times New Roman"/>
          <w:b/>
        </w:rPr>
      </w:r>
    </w:p>
    <w:p>
      <w:pPr>
        <w:pStyle w:val="Normal"/>
        <w:spacing w:lineRule="auto" w:line="240" w:before="0" w:after="0"/>
        <w:ind w:left="720" w:right="113"/>
        <w:rPr>
          <w:rFonts w:ascii="Times New Roman" w:hAnsi="Times New Roman" w:cs="Times New Roman"/>
          <w:lang w:val="en-GB"/>
        </w:rPr>
      </w:pPr>
      <w:r>
        <w:rPr>
          <w:rFonts w:cs="Times New Roman" w:ascii="Times New Roman" w:hAnsi="Times New Roman"/>
        </w:rPr>
        <w:t>2.1</w:t>
        <w:tab/>
      </w:r>
      <w:r>
        <w:rPr>
          <w:rFonts w:cs="Times New Roman" w:ascii="Times New Roman" w:hAnsi="Times New Roman"/>
          <w:lang w:val="en-GB"/>
        </w:rPr>
        <w:t>The purpose of this Order is to make provision for guidance in relation to powers for the making or renewing of national security determinations allowing the retention of biometric data set out in the Terrorism Act 2000, Counter-Terrorism Act 2008, Terrorism Prevention and Investigation Measures Act 2011, Police and Criminal Evidence Act 1984, Police and Criminal Evidence (Northern Ireland) Order 1989 and the Criminal Procedure (Scotland) Act 1995, as amended by section 9 and Schedule 1 to the Protection of Freedoms Act 2012.</w:t>
      </w:r>
    </w:p>
    <w:p>
      <w:pPr>
        <w:pStyle w:val="Normal"/>
        <w:spacing w:lineRule="auto" w:line="240" w:before="0" w:after="0"/>
        <w:ind w:left="720" w:right="113"/>
        <w:rPr>
          <w:rFonts w:ascii="Times New Roman" w:hAnsi="Times New Roman" w:cs="Times New Roman"/>
          <w:lang w:val="en-GB"/>
        </w:rPr>
      </w:pPr>
      <w:r>
        <w:rPr>
          <w:rFonts w:cs="Times New Roman" w:ascii="Times New Roman" w:hAnsi="Times New Roman"/>
          <w:lang w:val="en-GB"/>
        </w:rPr>
      </w:r>
    </w:p>
    <w:p>
      <w:pPr>
        <w:pStyle w:val="Normal"/>
        <w:ind w:hanging="720" w:left="720" w:right="0"/>
        <w:rPr>
          <w:rFonts w:ascii="Times New Roman" w:hAnsi="Times New Roman" w:cs="Times New Roman"/>
          <w:b/>
        </w:rPr>
      </w:pPr>
      <w:r>
        <w:rPr>
          <w:rFonts w:cs="Times New Roman" w:ascii="Times New Roman" w:hAnsi="Times New Roman"/>
          <w:b/>
        </w:rPr>
        <w:t>3.</w:t>
        <w:tab/>
        <w:t>Matters of special interest to the Joint Committee on Statutory Instruments</w:t>
      </w:r>
    </w:p>
    <w:p>
      <w:pPr>
        <w:pStyle w:val="Normal"/>
        <w:ind w:left="720" w:right="0"/>
        <w:rPr>
          <w:rFonts w:ascii="Times New Roman" w:hAnsi="Times New Roman" w:cs="Times New Roman"/>
        </w:rPr>
      </w:pPr>
      <w:r>
        <w:rPr>
          <w:rFonts w:cs="Times New Roman" w:ascii="Times New Roman" w:hAnsi="Times New Roman"/>
        </w:rPr>
        <w:t>3.1</w:t>
        <w:tab/>
        <w:t>None.</w:t>
      </w:r>
    </w:p>
    <w:p>
      <w:pPr>
        <w:pStyle w:val="Normal"/>
        <w:spacing w:lineRule="auto" w:line="240" w:before="0" w:after="0"/>
        <w:ind w:hanging="720" w:left="720" w:right="0"/>
        <w:rPr>
          <w:rFonts w:ascii="Times New Roman" w:hAnsi="Times New Roman" w:cs="Times New Roman"/>
          <w:b/>
        </w:rPr>
      </w:pPr>
      <w:r>
        <w:rPr>
          <w:rFonts w:cs="Times New Roman" w:ascii="Times New Roman" w:hAnsi="Times New Roman"/>
          <w:b/>
        </w:rPr>
        <w:t>4.</w:t>
        <w:tab/>
        <w:t>Legislative Context</w:t>
      </w:r>
    </w:p>
    <w:p>
      <w:pPr>
        <w:pStyle w:val="Normal"/>
        <w:spacing w:lineRule="auto" w:line="240" w:before="0" w:after="0"/>
        <w:ind w:hanging="720" w:left="720" w:right="0"/>
        <w:rPr>
          <w:rFonts w:ascii="Times New Roman" w:hAnsi="Times New Roman" w:cs="Times New Roman"/>
          <w:b/>
        </w:rPr>
      </w:pPr>
      <w:r>
        <w:rPr>
          <w:rFonts w:cs="Times New Roman" w:ascii="Times New Roman" w:hAnsi="Times New Roman"/>
          <w:b/>
        </w:rPr>
      </w:r>
    </w:p>
    <w:p>
      <w:pPr>
        <w:pStyle w:val="Normal"/>
        <w:spacing w:lineRule="auto" w:line="240" w:before="0" w:after="0"/>
        <w:ind w:left="720" w:right="113"/>
        <w:rPr>
          <w:rFonts w:ascii="Times New Roman" w:hAnsi="Times New Roman" w:cs="Times New Roman"/>
          <w:b/>
        </w:rPr>
      </w:pPr>
      <w:r>
        <w:rPr>
          <w:rFonts w:cs="Times New Roman" w:ascii="Times New Roman" w:hAnsi="Times New Roman"/>
        </w:rPr>
        <w:t>4.1</w:t>
        <w:tab/>
        <w:t xml:space="preserve">The powers to retain biometric material set out in relevant UK legislation were significantly altered by the Protection of Freedoms Act 2012 (enacted in May 2012).  These changes were made as a result of the judgment of the European Court of Human Rights in </w:t>
      </w:r>
      <w:r>
        <w:rPr>
          <w:rFonts w:cs="Times New Roman" w:ascii="Times New Roman" w:hAnsi="Times New Roman"/>
          <w:i/>
        </w:rPr>
        <w:t xml:space="preserve">S and Marper v United Kingdom [2008] </w:t>
      </w:r>
      <w:r>
        <w:rPr>
          <w:rFonts w:cs="Times New Roman" w:ascii="Times New Roman" w:hAnsi="Times New Roman"/>
        </w:rPr>
        <w:t xml:space="preserve">(see: </w:t>
      </w:r>
      <w:hyperlink r:id="rId2">
        <w:r>
          <w:rPr>
            <w:rStyle w:val="Hyperlink"/>
            <w:rFonts w:cs="Times New Roman" w:ascii="Times New Roman" w:hAnsi="Times New Roman"/>
            <w:lang w:eastAsia="en-GB"/>
          </w:rPr>
          <w:t>http://www.bailii.org/eu/cases/ECHR/2008/1581.html</w:t>
        </w:r>
      </w:hyperlink>
      <w:r>
        <w:rPr>
          <w:rFonts w:cs="Times New Roman" w:ascii="Times New Roman" w:hAnsi="Times New Roman"/>
          <w:lang w:eastAsia="en-GB"/>
        </w:rPr>
        <w:t>)</w:t>
      </w:r>
      <w:r>
        <w:rPr>
          <w:rFonts w:cs="Times New Roman" w:ascii="Times New Roman" w:hAnsi="Times New Roman"/>
        </w:rPr>
        <w:t xml:space="preserve"> and gave effect to the Government’s commitment made in its </w:t>
      </w:r>
      <w:r>
        <w:rPr>
          <w:rFonts w:cs="Times New Roman" w:ascii="Times New Roman" w:hAnsi="Times New Roman"/>
          <w:i/>
        </w:rPr>
        <w:t>Programme for Government [2010]</w:t>
      </w:r>
      <w:r>
        <w:rPr>
          <w:rFonts w:cs="Times New Roman" w:ascii="Times New Roman" w:hAnsi="Times New Roman"/>
        </w:rPr>
        <w:t xml:space="preserve"> to ‘adopt the protections of the Scottish model.’</w:t>
      </w:r>
    </w:p>
    <w:p>
      <w:pPr>
        <w:pStyle w:val="ListParagraph"/>
        <w:spacing w:lineRule="auto" w:line="240" w:before="0" w:after="0"/>
        <w:ind w:left="-426" w:right="113"/>
        <w:contextualSpacing/>
        <w:rPr>
          <w:rFonts w:ascii="Times New Roman" w:hAnsi="Times New Roman" w:cs="Times New Roman"/>
          <w:b/>
          <w:sz w:val="24"/>
          <w:szCs w:val="24"/>
        </w:rPr>
      </w:pPr>
      <w:r>
        <w:rPr>
          <w:rFonts w:cs="Times New Roman"/>
          <w:b/>
          <w:sz w:val="24"/>
          <w:szCs w:val="24"/>
        </w:rPr>
      </w:r>
    </w:p>
    <w:p>
      <w:pPr>
        <w:pStyle w:val="Normal"/>
        <w:spacing w:lineRule="auto" w:line="240" w:before="0" w:after="0"/>
        <w:ind w:left="720" w:right="113"/>
        <w:rPr>
          <w:rFonts w:ascii="Times New Roman" w:hAnsi="Times New Roman" w:cs="Times New Roman"/>
          <w:b/>
        </w:rPr>
      </w:pPr>
      <w:r>
        <w:rPr>
          <w:rFonts w:cs="Times New Roman" w:ascii="Times New Roman" w:hAnsi="Times New Roman"/>
        </w:rPr>
        <w:t>(see:</w:t>
      </w:r>
      <w:hyperlink r:id="rId3">
        <w:r>
          <w:rPr>
            <w:rStyle w:val="Hyperlink"/>
            <w:rFonts w:cs="Times New Roman" w:ascii="Times New Roman" w:hAnsi="Times New Roman"/>
            <w:lang w:eastAsia="en-GB"/>
          </w:rPr>
          <w:t>http://webarchive.nationalarchives.gov.uk/20100526084809/http://programmeforgovernment.hmg.gov.uk</w:t>
        </w:r>
      </w:hyperlink>
      <w:r>
        <w:rPr>
          <w:rFonts w:cs="Times New Roman" w:ascii="Times New Roman" w:hAnsi="Times New Roman"/>
        </w:rPr>
        <w:t>).</w:t>
      </w:r>
    </w:p>
    <w:p>
      <w:pPr>
        <w:pStyle w:val="Normal"/>
        <w:spacing w:lineRule="auto" w:line="240" w:before="0" w:after="0"/>
        <w:ind w:left="720" w:right="0"/>
        <w:jc w:val="both"/>
        <w:rPr>
          <w:rFonts w:ascii="Times New Roman" w:hAnsi="Times New Roman" w:cs="Times New Roman"/>
          <w:b/>
        </w:rPr>
      </w:pPr>
      <w:r>
        <w:rPr>
          <w:rFonts w:cs="Times New Roman" w:ascii="Times New Roman" w:hAnsi="Times New Roman"/>
          <w:b/>
        </w:rPr>
      </w:r>
    </w:p>
    <w:p>
      <w:pPr>
        <w:pStyle w:val="Normal"/>
        <w:spacing w:lineRule="auto" w:line="240" w:before="0" w:after="0"/>
        <w:ind w:left="720" w:right="113"/>
        <w:rPr>
          <w:rFonts w:ascii="Times New Roman" w:hAnsi="Times New Roman" w:cs="Times New Roman"/>
          <w:lang w:val="en-GB"/>
        </w:rPr>
      </w:pPr>
      <w:r>
        <w:rPr>
          <w:rFonts w:cs="Times New Roman" w:ascii="Times New Roman" w:hAnsi="Times New Roman"/>
        </w:rPr>
        <w:t>4.2</w:t>
        <w:tab/>
        <w:t>Specifically, sections 9, 19 to 22 and Schedule 1 to the Protection of Freedoms Act 2012 provides the police and other law enforcement authorities with the power to extend retention of biometric material (DNA and fingerprints) where necessary for the purposes of national security i.e. make a national security determination (NSD). This process is subject to independent oversight by the Biometric Commissioner (including the power to order destruction of material), and requires the Secretary of State to issue guidance on the making or renewing of national security determinations allowing extended retention of such material.</w:t>
      </w:r>
    </w:p>
    <w:p>
      <w:pPr>
        <w:pStyle w:val="Normal"/>
        <w:spacing w:lineRule="auto" w:line="240" w:before="0" w:after="0"/>
        <w:ind w:left="720" w:right="0"/>
        <w:jc w:val="both"/>
        <w:rPr>
          <w:rFonts w:ascii="Times New Roman" w:hAnsi="Times New Roman" w:cs="Times New Roman"/>
          <w:lang w:val="en-GB"/>
        </w:rPr>
      </w:pPr>
      <w:r>
        <w:rPr>
          <w:rFonts w:cs="Times New Roman" w:ascii="Times New Roman" w:hAnsi="Times New Roman"/>
          <w:lang w:val="en-GB"/>
        </w:rPr>
      </w:r>
    </w:p>
    <w:p>
      <w:pPr>
        <w:pStyle w:val="Normal"/>
        <w:spacing w:lineRule="auto" w:line="240" w:before="0" w:after="0"/>
        <w:ind w:hanging="720" w:left="720" w:right="0"/>
        <w:rPr>
          <w:rFonts w:ascii="Times New Roman" w:hAnsi="Times New Roman" w:cs="Times New Roman"/>
          <w:b/>
        </w:rPr>
      </w:pPr>
      <w:r>
        <w:rPr>
          <w:rFonts w:cs="Times New Roman" w:ascii="Times New Roman" w:hAnsi="Times New Roman"/>
          <w:b/>
        </w:rPr>
        <w:t>5.</w:t>
        <w:tab/>
        <w:t>Territorial Extent and Application</w:t>
      </w:r>
    </w:p>
    <w:p>
      <w:pPr>
        <w:pStyle w:val="Normal"/>
        <w:spacing w:lineRule="auto" w:line="240" w:before="0" w:after="0"/>
        <w:ind w:hanging="720" w:left="720" w:right="0"/>
        <w:rPr>
          <w:rFonts w:ascii="Times New Roman" w:hAnsi="Times New Roman" w:cs="Times New Roman"/>
          <w:b/>
        </w:rPr>
      </w:pPr>
      <w:r>
        <w:rPr>
          <w:rFonts w:cs="Times New Roman" w:ascii="Times New Roman" w:hAnsi="Times New Roman"/>
          <w:b/>
        </w:rPr>
      </w:r>
    </w:p>
    <w:p>
      <w:pPr>
        <w:pStyle w:val="Normal"/>
        <w:spacing w:lineRule="auto" w:line="240" w:before="0" w:after="0"/>
        <w:ind w:firstLine="720" w:right="0"/>
        <w:rPr>
          <w:rFonts w:ascii="Times New Roman" w:hAnsi="Times New Roman" w:cs="Times New Roman"/>
        </w:rPr>
      </w:pPr>
      <w:r>
        <w:rPr>
          <w:rFonts w:cs="Times New Roman" w:ascii="Times New Roman" w:hAnsi="Times New Roman"/>
        </w:rPr>
        <w:t>5.1</w:t>
        <w:tab/>
        <w:t xml:space="preserve">This instrument applies to all of the United Kingdom. </w:t>
      </w:r>
    </w:p>
    <w:p>
      <w:pPr>
        <w:pStyle w:val="Normal"/>
        <w:spacing w:lineRule="auto" w:line="240" w:before="0" w:after="0"/>
        <w:ind w:hanging="720" w:left="720" w:right="0"/>
        <w:rPr>
          <w:rFonts w:ascii="Times New Roman" w:hAnsi="Times New Roman" w:cs="Times New Roman"/>
          <w:highlight w:val="yellow"/>
        </w:rPr>
      </w:pPr>
      <w:r>
        <w:rPr>
          <w:rFonts w:cs="Times New Roman" w:ascii="Times New Roman" w:hAnsi="Times New Roman"/>
          <w:highlight w:val="yellow"/>
        </w:rPr>
      </w:r>
    </w:p>
    <w:p>
      <w:pPr>
        <w:pStyle w:val="Normal"/>
        <w:spacing w:lineRule="auto" w:line="240" w:before="0" w:after="0"/>
        <w:ind w:hanging="720" w:left="720" w:right="0"/>
        <w:rPr>
          <w:rFonts w:ascii="Times New Roman" w:hAnsi="Times New Roman" w:cs="Times New Roman"/>
          <w:b/>
        </w:rPr>
      </w:pPr>
      <w:r>
        <w:rPr>
          <w:rFonts w:cs="Times New Roman" w:ascii="Times New Roman" w:hAnsi="Times New Roman"/>
          <w:b/>
        </w:rPr>
        <w:t>6.</w:t>
        <w:tab/>
        <w:t>European Convention on Human Rights</w:t>
      </w:r>
    </w:p>
    <w:p>
      <w:pPr>
        <w:pStyle w:val="Normal"/>
        <w:spacing w:lineRule="auto" w:line="240" w:before="0" w:after="0"/>
        <w:ind w:hanging="720" w:left="720" w:right="0"/>
        <w:rPr>
          <w:rFonts w:ascii="Times New Roman" w:hAnsi="Times New Roman" w:cs="Times New Roman"/>
          <w:b/>
        </w:rPr>
      </w:pPr>
      <w:r>
        <w:rPr>
          <w:rFonts w:cs="Times New Roman" w:ascii="Times New Roman" w:hAnsi="Times New Roman"/>
          <w:b/>
        </w:rPr>
      </w:r>
    </w:p>
    <w:p>
      <w:pPr>
        <w:pStyle w:val="Default"/>
        <w:tabs>
          <w:tab w:val="clear" w:pos="720"/>
          <w:tab w:val="left" w:pos="709" w:leader="none"/>
        </w:tabs>
        <w:spacing w:lineRule="auto" w:line="240" w:before="0" w:after="0"/>
        <w:ind w:hanging="709" w:left="709" w:right="0"/>
        <w:rPr/>
      </w:pPr>
      <w:r>
        <w:rPr>
          <w:rFonts w:cs="Times New Roman" w:ascii="Times New Roman" w:hAnsi="Times New Roman"/>
        </w:rPr>
        <w:tab/>
        <w:t xml:space="preserve">6.1 </w:t>
        <w:tab/>
        <w:t xml:space="preserve">The </w:t>
      </w:r>
      <w:r>
        <w:rPr>
          <w:rFonts w:cs="Times New Roman" w:ascii="Times New Roman" w:hAnsi="Times New Roman"/>
          <w:color w:val="000000"/>
        </w:rPr>
        <w:t>Secretary of State</w:t>
      </w:r>
      <w:r>
        <w:rPr>
          <w:rFonts w:cs="Times New Roman" w:ascii="Times New Roman" w:hAnsi="Times New Roman"/>
        </w:rPr>
        <w:t xml:space="preserve"> has made the following statement regarding Human Rights:</w:t>
      </w:r>
    </w:p>
    <w:p>
      <w:pPr>
        <w:pStyle w:val="Normal"/>
        <w:spacing w:lineRule="auto" w:line="240" w:before="0" w:after="0"/>
        <w:ind w:left="-426" w:right="113"/>
        <w:rPr>
          <w:rFonts w:ascii="Times New Roman" w:hAnsi="Times New Roman" w:cs="Times New Roman"/>
          <w:lang w:val="en-GB"/>
        </w:rPr>
      </w:pPr>
      <w:r>
        <w:rPr>
          <w:rFonts w:cs="Times New Roman" w:ascii="Times New Roman" w:hAnsi="Times New Roman"/>
          <w:lang w:val="en-GB"/>
        </w:rPr>
      </w:r>
    </w:p>
    <w:p>
      <w:pPr>
        <w:pStyle w:val="ListParagraph"/>
        <w:tabs>
          <w:tab w:val="clear" w:pos="720"/>
          <w:tab w:val="left" w:pos="0" w:leader="none"/>
        </w:tabs>
        <w:spacing w:lineRule="auto" w:line="240" w:before="0" w:after="0"/>
        <w:ind w:left="709" w:right="113"/>
        <w:contextualSpacing/>
        <w:rPr/>
      </w:pPr>
      <w:r>
        <w:rPr>
          <w:i/>
          <w:sz w:val="24"/>
          <w:szCs w:val="24"/>
        </w:rPr>
        <w:tab/>
        <w:t>“In my view the provisions of the Protection of Freedoms Act 2012 (Guidance on the Making or Renewing of National Security Determinations) Order 2014 are compatible with the Convention Rights”.</w:t>
      </w:r>
    </w:p>
    <w:p>
      <w:pPr>
        <w:pStyle w:val="Normal"/>
        <w:spacing w:lineRule="auto" w:line="240" w:before="0" w:after="0"/>
        <w:rPr>
          <w:rFonts w:ascii="Times New Roman" w:hAnsi="Times New Roman" w:cs="Times New Roman"/>
          <w:i/>
          <w:i/>
          <w:sz w:val="24"/>
          <w:szCs w:val="24"/>
          <w:highlight w:val="yellow"/>
        </w:rPr>
      </w:pPr>
      <w:r>
        <w:rPr>
          <w:rFonts w:cs="Times New Roman" w:ascii="Times New Roman" w:hAnsi="Times New Roman"/>
          <w:i/>
          <w:sz w:val="24"/>
          <w:szCs w:val="24"/>
          <w:highlight w:val="yellow"/>
        </w:rPr>
      </w:r>
    </w:p>
    <w:p>
      <w:pPr>
        <w:pStyle w:val="Normal"/>
        <w:spacing w:lineRule="auto" w:line="240" w:before="0" w:after="0"/>
        <w:ind w:hanging="720" w:left="720" w:right="0"/>
        <w:rPr>
          <w:rFonts w:ascii="Times New Roman" w:hAnsi="Times New Roman" w:cs="Times New Roman"/>
          <w:b/>
        </w:rPr>
      </w:pPr>
      <w:r>
        <w:rPr>
          <w:rFonts w:cs="Times New Roman" w:ascii="Times New Roman" w:hAnsi="Times New Roman"/>
          <w:b/>
        </w:rPr>
        <w:t>7.</w:t>
        <w:tab/>
        <w:t>Policy background</w:t>
      </w:r>
    </w:p>
    <w:p>
      <w:pPr>
        <w:pStyle w:val="Normal"/>
        <w:spacing w:lineRule="auto" w:line="240" w:before="0" w:after="0"/>
        <w:ind w:hanging="720" w:left="720" w:right="0"/>
        <w:rPr>
          <w:rFonts w:ascii="Times New Roman" w:hAnsi="Times New Roman" w:cs="Times New Roman"/>
          <w:b/>
        </w:rPr>
      </w:pPr>
      <w:r>
        <w:rPr>
          <w:rFonts w:cs="Times New Roman" w:ascii="Times New Roman" w:hAnsi="Times New Roman"/>
          <w:b/>
        </w:rPr>
      </w:r>
    </w:p>
    <w:p>
      <w:pPr>
        <w:pStyle w:val="Heading7"/>
        <w:keepNext w:val="true"/>
        <w:numPr>
          <w:ilvl w:val="0"/>
          <w:numId w:val="2"/>
        </w:numPr>
        <w:spacing w:lineRule="auto" w:line="240"/>
        <w:ind w:hanging="0" w:left="720" w:right="0"/>
        <w:rPr>
          <w:rFonts w:ascii="Times New Roman" w:hAnsi="Times New Roman" w:cs="Times New Roman"/>
          <w:color w:val="000000"/>
          <w:sz w:val="24"/>
          <w:szCs w:val="24"/>
        </w:rPr>
      </w:pPr>
      <w:r>
        <w:rPr>
          <w:rFonts w:cs="Times New Roman" w:ascii="Times New Roman" w:hAnsi="Times New Roman"/>
          <w:color w:val="000000"/>
          <w:sz w:val="24"/>
          <w:szCs w:val="24"/>
        </w:rPr>
        <w:t xml:space="preserve">What is being done and why </w:t>
      </w:r>
    </w:p>
    <w:p>
      <w:pPr>
        <w:pStyle w:val="Normal"/>
        <w:spacing w:lineRule="auto" w:line="240" w:before="0" w:after="0"/>
        <w:ind w:hanging="720" w:left="720" w:right="0"/>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autoSpaceDE w:val="false"/>
        <w:spacing w:lineRule="auto" w:line="240" w:before="0" w:after="0"/>
        <w:ind w:left="720" w:right="0"/>
        <w:rPr/>
      </w:pPr>
      <w:r>
        <w:rPr>
          <w:rFonts w:cs="Times New Roman" w:ascii="Times New Roman" w:hAnsi="Times New Roman"/>
        </w:rPr>
        <w:t>7.1</w:t>
        <w:tab/>
      </w:r>
      <w:r>
        <w:rPr>
          <w:rFonts w:cs="Times New Roman" w:ascii="Times New Roman" w:hAnsi="Times New Roman"/>
          <w:color w:val="000000"/>
          <w:lang w:eastAsia="en-GB"/>
        </w:rPr>
        <w:t>The Programme for Government (section 3: civil liberties) states that the Government “</w:t>
      </w:r>
      <w:r>
        <w:rPr>
          <w:rFonts w:cs="Times New Roman" w:ascii="Times New Roman" w:hAnsi="Times New Roman"/>
          <w:i/>
          <w:iCs/>
          <w:color w:val="000000"/>
          <w:lang w:eastAsia="en-GB"/>
        </w:rPr>
        <w:t>will adopt the protections of the Scottish model for the DNA database</w:t>
      </w:r>
      <w:r>
        <w:rPr>
          <w:rFonts w:cs="Times New Roman" w:ascii="Times New Roman" w:hAnsi="Times New Roman"/>
          <w:color w:val="000000"/>
          <w:lang w:eastAsia="en-GB"/>
        </w:rPr>
        <w:t>”.</w:t>
      </w:r>
    </w:p>
    <w:p>
      <w:pPr>
        <w:pStyle w:val="ListParagraph"/>
        <w:autoSpaceDE w:val="false"/>
        <w:spacing w:lineRule="auto" w:line="240" w:before="0" w:after="0"/>
        <w:contextualSpacing/>
        <w:rPr>
          <w:rFonts w:ascii="Times New Roman" w:hAnsi="Times New Roman" w:cs="Times New Roman"/>
          <w:color w:val="000000"/>
          <w:sz w:val="24"/>
          <w:szCs w:val="24"/>
          <w:lang w:eastAsia="en-GB"/>
        </w:rPr>
      </w:pPr>
      <w:r>
        <w:rPr>
          <w:rFonts w:cs="Times New Roman"/>
          <w:color w:val="000000"/>
          <w:sz w:val="24"/>
          <w:szCs w:val="24"/>
          <w:lang w:eastAsia="en-GB"/>
        </w:rPr>
      </w:r>
    </w:p>
    <w:p>
      <w:pPr>
        <w:pStyle w:val="Normal"/>
        <w:autoSpaceDE w:val="false"/>
        <w:spacing w:lineRule="auto" w:line="240" w:before="0" w:after="0"/>
        <w:ind w:left="720" w:right="0"/>
        <w:rPr/>
      </w:pPr>
      <w:r>
        <w:rPr>
          <w:rFonts w:cs="Times New Roman" w:ascii="Times New Roman" w:hAnsi="Times New Roman"/>
          <w:color w:val="000000"/>
          <w:lang w:eastAsia="en-GB"/>
        </w:rPr>
        <w:t>7.2</w:t>
        <w:tab/>
        <w:t xml:space="preserve"> The existing framework for the taking, retention and destruction of fingerprints, footwear impressions, DNA samples and the profiles derived from such samples set out in Part 5 of </w:t>
      </w:r>
      <w:r>
        <w:rPr>
          <w:rFonts w:cs="Times New Roman" w:ascii="Times New Roman" w:hAnsi="Times New Roman"/>
          <w:color w:val="000000"/>
          <w:u w:val="single"/>
          <w:lang w:eastAsia="en-GB"/>
        </w:rPr>
        <w:t>Police and Criminal Evidence Act 1984</w:t>
      </w:r>
      <w:r>
        <w:rPr>
          <w:rFonts w:cs="Times New Roman" w:ascii="Times New Roman" w:hAnsi="Times New Roman"/>
          <w:color w:val="000000"/>
          <w:lang w:eastAsia="en-GB"/>
        </w:rPr>
        <w:t xml:space="preserve"> (“PACE”) and as amended by the </w:t>
      </w:r>
      <w:r>
        <w:rPr>
          <w:rFonts w:cs="Times New Roman" w:ascii="Times New Roman" w:hAnsi="Times New Roman"/>
          <w:color w:val="000000"/>
          <w:u w:val="single"/>
          <w:lang w:eastAsia="en-GB"/>
        </w:rPr>
        <w:t xml:space="preserve">Criminal Justice and Public Order Act 1994 </w:t>
      </w:r>
      <w:r>
        <w:rPr>
          <w:rFonts w:cs="Times New Roman" w:ascii="Times New Roman" w:hAnsi="Times New Roman"/>
          <w:color w:val="000000"/>
          <w:lang w:eastAsia="en-GB"/>
        </w:rPr>
        <w:t>(“the 1994 Act”) enabled DNA samples to be taken from anyone charged with, reported for summons, cautioned or convicted of a recordable offence; and allowed profiles obtained from such samples to be retained and speculatively searched against other profiles obtained from victims or scenes of crime.</w:t>
      </w:r>
    </w:p>
    <w:p>
      <w:pPr>
        <w:pStyle w:val="Normal"/>
        <w:autoSpaceDE w:val="false"/>
        <w:spacing w:lineRule="auto" w:line="240" w:before="0" w:after="0"/>
        <w:ind w:left="720" w:right="0"/>
        <w:rPr>
          <w:rFonts w:ascii="Times New Roman" w:hAnsi="Times New Roman" w:cs="Times New Roman"/>
          <w:color w:val="000000"/>
          <w:lang w:eastAsia="en-GB"/>
        </w:rPr>
      </w:pPr>
      <w:r>
        <w:rPr>
          <w:rFonts w:cs="Times New Roman" w:ascii="Times New Roman" w:hAnsi="Times New Roman"/>
          <w:color w:val="000000"/>
          <w:lang w:eastAsia="en-GB"/>
        </w:rPr>
      </w:r>
    </w:p>
    <w:p>
      <w:pPr>
        <w:pStyle w:val="Normal"/>
        <w:autoSpaceDE w:val="false"/>
        <w:spacing w:lineRule="auto" w:line="240" w:before="0" w:after="0"/>
        <w:ind w:left="720" w:right="0"/>
        <w:rPr/>
      </w:pPr>
      <w:r>
        <w:rPr>
          <w:rFonts w:cs="Times New Roman" w:ascii="Times New Roman" w:hAnsi="Times New Roman"/>
          <w:color w:val="000000"/>
          <w:lang w:eastAsia="en-GB"/>
        </w:rPr>
        <w:t>7.3</w:t>
        <w:tab/>
        <w:t xml:space="preserve">The </w:t>
      </w:r>
      <w:r>
        <w:rPr>
          <w:rFonts w:cs="Times New Roman" w:ascii="Times New Roman" w:hAnsi="Times New Roman"/>
          <w:color w:val="000000"/>
          <w:u w:val="single"/>
          <w:lang w:eastAsia="en-GB"/>
        </w:rPr>
        <w:t>Criminal Justice and Police Act 2001</w:t>
      </w:r>
      <w:r>
        <w:rPr>
          <w:rFonts w:cs="Times New Roman" w:ascii="Times New Roman" w:hAnsi="Times New Roman"/>
          <w:color w:val="000000"/>
          <w:lang w:eastAsia="en-GB"/>
        </w:rPr>
        <w:t xml:space="preserve"> further amended PACE so as to remove the obligation to destroy a DNA sample or profile when a suspect was not prosecuted for or was acquitted of the offence with which he or she was charged. The power to take and retain DNA samples and profiles was further widened by the </w:t>
      </w:r>
      <w:r>
        <w:rPr>
          <w:rFonts w:cs="Times New Roman" w:ascii="Times New Roman" w:hAnsi="Times New Roman"/>
          <w:color w:val="000000"/>
          <w:u w:val="single"/>
          <w:lang w:eastAsia="en-GB"/>
        </w:rPr>
        <w:t>Criminal Justice Act 2003</w:t>
      </w:r>
      <w:r>
        <w:rPr>
          <w:rFonts w:cs="Times New Roman" w:ascii="Times New Roman" w:hAnsi="Times New Roman"/>
          <w:color w:val="000000"/>
          <w:lang w:eastAsia="en-GB"/>
        </w:rPr>
        <w:t xml:space="preserve"> (“the 2003 Act”) which enabled a DNA sample to be taken from any person arrested for a recordable offence and detained in a police station, whether or not they are subsequently charged. Any such sample, and the profile derived from it, could be retained indefinitely.</w:t>
      </w:r>
    </w:p>
    <w:p>
      <w:pPr>
        <w:pStyle w:val="Normal"/>
        <w:autoSpaceDE w:val="false"/>
        <w:spacing w:lineRule="auto" w:line="240" w:before="0" w:after="0"/>
        <w:ind w:left="720" w:right="0"/>
        <w:rPr>
          <w:rFonts w:ascii="Times New Roman" w:hAnsi="Times New Roman" w:cs="Times New Roman"/>
          <w:color w:val="000000"/>
          <w:lang w:eastAsia="en-GB"/>
        </w:rPr>
      </w:pPr>
      <w:r>
        <w:rPr>
          <w:rFonts w:cs="Times New Roman" w:ascii="Times New Roman" w:hAnsi="Times New Roman"/>
          <w:color w:val="000000"/>
          <w:lang w:eastAsia="en-GB"/>
        </w:rPr>
      </w:r>
    </w:p>
    <w:p>
      <w:pPr>
        <w:pStyle w:val="Default"/>
        <w:spacing w:lineRule="auto" w:line="240" w:before="0" w:after="0"/>
        <w:ind w:left="720" w:right="0"/>
        <w:rPr/>
      </w:pPr>
      <w:r>
        <w:rPr>
          <w:rFonts w:cs="Times New Roman" w:ascii="Times New Roman" w:hAnsi="Times New Roman"/>
          <w:lang w:eastAsia="en-GB"/>
        </w:rPr>
        <w:t>7.4</w:t>
      </w:r>
      <w:r>
        <w:rPr>
          <w:rFonts w:cs="Times New Roman" w:ascii="Times New Roman" w:hAnsi="Times New Roman"/>
        </w:rPr>
        <w:tab/>
      </w:r>
      <w:r>
        <w:rPr>
          <w:rFonts w:cs="Times New Roman" w:ascii="Times New Roman" w:hAnsi="Times New Roman"/>
          <w:lang w:eastAsia="en-GB"/>
        </w:rPr>
        <w:t xml:space="preserve"> In December 2008, in the case of </w:t>
      </w:r>
      <w:r>
        <w:rPr>
          <w:rFonts w:cs="Times New Roman" w:ascii="Times New Roman" w:hAnsi="Times New Roman"/>
          <w:i/>
          <w:iCs/>
          <w:lang w:eastAsia="en-GB"/>
        </w:rPr>
        <w:t xml:space="preserve">S and Marper v United Kingdom </w:t>
      </w:r>
      <w:r>
        <w:rPr>
          <w:rFonts w:cs="Times New Roman" w:ascii="Times New Roman" w:hAnsi="Times New Roman"/>
          <w:lang w:eastAsia="en-GB"/>
        </w:rPr>
        <w:t xml:space="preserve">[2008] ECHR 15812, the European Court of Human Rights (“ECtHR”) ruled that the provisions in PACE (and the equivalent legislation in Northern Ireland) permitting the ‘blanket and indiscriminate’ retention of DNA from unconvicted individuals violated Article 8 (right to privacy) of the European Convention on Human Rights (“ECHR”). In response to this judgment, the then Government brought forward provisions in sections 14 to 23 of the </w:t>
      </w:r>
      <w:r>
        <w:rPr>
          <w:rFonts w:cs="Times New Roman" w:ascii="Times New Roman" w:hAnsi="Times New Roman"/>
          <w:u w:val="single"/>
          <w:lang w:eastAsia="en-GB"/>
        </w:rPr>
        <w:t>Crime and Security Act 2010</w:t>
      </w:r>
      <w:r>
        <w:rPr>
          <w:rFonts w:cs="Times New Roman" w:ascii="Times New Roman" w:hAnsi="Times New Roman"/>
          <w:lang w:eastAsia="en-GB"/>
        </w:rPr>
        <w:t xml:space="preserve"> (“the 2010 Act”) which, amongst other things, allowed for the retention of fingerprints and DNA profiles of persons arrested for, but not convicted of, any recordable offence for six years. Sections 14 to 18, 20 and 21 of the 2010 Act established a separate approach to the retention of DNA profiles and fingerprints by the police for national security purposes and made provisions for the extended retention of DNA and fingerprints on national security grounds. These provisions of the 2010 Act were not brought into force and Part 1 of Schedule 10 to the 2012 Act repeals them.  The equivalent legislation in Scotland is contained in sections 18 to 20 of the </w:t>
      </w:r>
      <w:r>
        <w:rPr>
          <w:rFonts w:cs="Times New Roman" w:ascii="Times New Roman" w:hAnsi="Times New Roman"/>
          <w:u w:val="single"/>
          <w:lang w:eastAsia="en-GB"/>
        </w:rPr>
        <w:t>Criminal Procedure (Scotland) Act 1995</w:t>
      </w:r>
      <w:r>
        <w:rPr>
          <w:rFonts w:cs="Times New Roman" w:ascii="Times New Roman" w:hAnsi="Times New Roman"/>
          <w:lang w:eastAsia="en-GB"/>
        </w:rPr>
        <w:t xml:space="preserve"> (as amended). </w:t>
      </w:r>
    </w:p>
    <w:p>
      <w:pPr>
        <w:pStyle w:val="Default"/>
        <w:spacing w:lineRule="auto" w:line="240" w:before="0" w:after="0"/>
        <w:ind w:left="720" w:right="0"/>
        <w:rPr>
          <w:rFonts w:ascii="Times New Roman" w:hAnsi="Times New Roman" w:cs="Times New Roman"/>
          <w:lang w:eastAsia="en-GB"/>
        </w:rPr>
      </w:pPr>
      <w:r>
        <w:rPr>
          <w:rFonts w:cs="Times New Roman" w:ascii="Times New Roman" w:hAnsi="Times New Roman"/>
          <w:lang w:eastAsia="en-GB"/>
        </w:rPr>
      </w:r>
    </w:p>
    <w:p>
      <w:pPr>
        <w:pStyle w:val="Default"/>
        <w:spacing w:lineRule="auto" w:line="240" w:before="0" w:after="0"/>
        <w:ind w:left="720" w:right="0"/>
        <w:rPr/>
      </w:pPr>
      <w:r>
        <w:rPr>
          <w:rFonts w:cs="Times New Roman" w:ascii="Times New Roman" w:hAnsi="Times New Roman"/>
          <w:lang w:eastAsia="en-GB"/>
        </w:rPr>
        <w:t>7.5</w:t>
      </w:r>
      <w:r>
        <w:rPr>
          <w:rFonts w:cs="Times New Roman" w:ascii="Times New Roman" w:hAnsi="Times New Roman"/>
        </w:rPr>
        <w:tab/>
        <w:t xml:space="preserve">Although retention on national security grounds was not addressed in the judgment in </w:t>
      </w:r>
      <w:r>
        <w:rPr>
          <w:rFonts w:cs="Times New Roman" w:ascii="Times New Roman" w:hAnsi="Times New Roman"/>
          <w:i/>
        </w:rPr>
        <w:t>Marper</w:t>
      </w:r>
      <w:r>
        <w:rPr>
          <w:rFonts w:cs="Times New Roman" w:ascii="Times New Roman" w:hAnsi="Times New Roman"/>
        </w:rPr>
        <w:t>, the Government sought to ensure that a comprehensive regime, which included this category of material, was established.  To this end, section 9 and Schedule 1 to the Protection of Freedoms Act 2012 provide for a broadly equivalent regime to that governing retention of biometric material taken in respect of general purposes, for that encompassing national security.</w:t>
      </w:r>
    </w:p>
    <w:p>
      <w:pPr>
        <w:pStyle w:val="Default"/>
        <w:spacing w:lineRule="auto" w:line="240" w:before="0" w:after="0"/>
        <w:ind w:left="720" w:right="0"/>
        <w:rPr>
          <w:rFonts w:ascii="Times New Roman" w:hAnsi="Times New Roman" w:cs="Times New Roman"/>
        </w:rPr>
      </w:pPr>
      <w:r>
        <w:rPr>
          <w:rFonts w:cs="Times New Roman" w:ascii="Times New Roman" w:hAnsi="Times New Roman"/>
        </w:rPr>
      </w:r>
    </w:p>
    <w:p>
      <w:pPr>
        <w:pStyle w:val="Default"/>
        <w:spacing w:lineRule="auto" w:line="240" w:before="0" w:after="0"/>
        <w:ind w:left="720" w:right="0"/>
        <w:rPr/>
      </w:pPr>
      <w:r>
        <w:rPr>
          <w:rFonts w:cs="Times New Roman" w:ascii="Times New Roman" w:hAnsi="Times New Roman"/>
        </w:rPr>
        <w:t>7.6</w:t>
        <w:tab/>
      </w:r>
      <w:r>
        <w:rPr>
          <w:rFonts w:cs="Times New Roman" w:ascii="Times New Roman" w:hAnsi="Times New Roman"/>
          <w:lang w:eastAsia="en-GB"/>
        </w:rPr>
        <w:t xml:space="preserve">This Order introduces for the first time statutory guidance governing the exercise of powers on the retention, destruction and use of biometric material held for national security purposes by police and other law enforcement authorities.  It gives effect to section 22 of the Protection of Freedoms Act 2012 which places a duty on the Secretary of State to prepare guidance in respect of the use of powers to retain biometric data for national security purposes. </w:t>
      </w:r>
    </w:p>
    <w:p>
      <w:pPr>
        <w:pStyle w:val="Default"/>
        <w:spacing w:lineRule="auto" w:line="240" w:before="0" w:after="0"/>
        <w:ind w:left="720" w:right="0"/>
        <w:rPr>
          <w:rFonts w:ascii="Times New Roman" w:hAnsi="Times New Roman" w:eastAsia="Calibri" w:cs="Times New Roman"/>
          <w:lang w:eastAsia="en-GB"/>
        </w:rPr>
      </w:pPr>
      <w:r>
        <w:rPr>
          <w:rFonts w:eastAsia="Calibri" w:cs="Times New Roman" w:ascii="Times New Roman" w:hAnsi="Times New Roman"/>
          <w:lang w:eastAsia="en-GB"/>
        </w:rPr>
      </w:r>
    </w:p>
    <w:p>
      <w:pPr>
        <w:pStyle w:val="Normal"/>
        <w:spacing w:lineRule="auto" w:line="240" w:before="0" w:after="0"/>
        <w:jc w:val="both"/>
        <w:rPr>
          <w:rFonts w:ascii="Times New Roman" w:hAnsi="Times New Roman" w:cs="Times New Roman"/>
          <w:b/>
        </w:rPr>
      </w:pPr>
      <w:r>
        <w:rPr>
          <w:rFonts w:cs="Times New Roman" w:ascii="Times New Roman" w:hAnsi="Times New Roman"/>
          <w:b/>
        </w:rPr>
        <w:t>8.</w:t>
        <w:tab/>
        <w:t>Consultation outcome</w:t>
      </w:r>
    </w:p>
    <w:p>
      <w:pPr>
        <w:pStyle w:val="Normal"/>
        <w:spacing w:lineRule="auto" w:line="240" w:before="0" w:after="0"/>
        <w:jc w:val="both"/>
        <w:rPr>
          <w:rFonts w:ascii="Times New Roman" w:hAnsi="Times New Roman" w:cs="Times New Roman"/>
          <w:b/>
        </w:rPr>
      </w:pPr>
      <w:r>
        <w:rPr>
          <w:rFonts w:cs="Times New Roman" w:ascii="Times New Roman" w:hAnsi="Times New Roman"/>
          <w:b/>
        </w:rPr>
      </w:r>
    </w:p>
    <w:p>
      <w:pPr>
        <w:pStyle w:val="Normal"/>
        <w:spacing w:lineRule="auto" w:line="240" w:before="0" w:after="0"/>
        <w:ind w:left="720" w:right="113"/>
        <w:rPr/>
      </w:pPr>
      <w:r>
        <w:rPr>
          <w:rFonts w:cs="Times New Roman" w:ascii="Times New Roman" w:hAnsi="Times New Roman"/>
        </w:rPr>
        <w:t>8.1</w:t>
        <w:tab/>
      </w:r>
      <w:r>
        <w:rPr>
          <w:rFonts w:cs="Times New Roman" w:ascii="Times New Roman" w:hAnsi="Times New Roman"/>
          <w:lang w:val="en-GB"/>
        </w:rPr>
        <w:t xml:space="preserve">There is a statutory requirement to consult the Commissioner for the Retention and Use of Biometric Material (“Biometrics Commissioner”) and the Lord Advocate on the draft guidance governing the national security retention powers contained in the relevant legislation (see paragraph </w:t>
      </w:r>
      <w:r>
        <w:rPr>
          <w:rFonts w:cs="Times New Roman" w:ascii="Times New Roman" w:hAnsi="Times New Roman"/>
        </w:rPr>
        <w:t>9.1</w:t>
      </w:r>
      <w:r>
        <w:rPr>
          <w:rFonts w:cs="Times New Roman" w:ascii="Times New Roman" w:hAnsi="Times New Roman"/>
          <w:lang w:val="en-GB"/>
        </w:rPr>
        <w:t xml:space="preserve"> below), as amended by the Protection of Freedoms Act 2012.  A consultation on the draft guidance was launched on 26 March 2013 and closed on 20 May 2013 (a period of eight weeks). The Home Office received eight submissions in response to the consultation – which broadly welcomed the new guidance as likely to be effective in ensuring the new powers of retention are used fairly and appropriately.  Responses, including those from the Police Service, Information Commissioner, Northern Ireland Policing Board and the statutory consultees (the Biometrics Commissioner and the Lord Advocate) made particular reference to the need for appropriate, stringent safeguards and clear lines of accountability.  </w:t>
      </w:r>
    </w:p>
    <w:p>
      <w:pPr>
        <w:pStyle w:val="Normal"/>
        <w:spacing w:lineRule="auto" w:line="240" w:before="0" w:after="0"/>
        <w:ind w:left="709" w:right="0"/>
        <w:jc w:val="both"/>
        <w:rPr>
          <w:rFonts w:ascii="Times New Roman" w:hAnsi="Times New Roman" w:cs="Times New Roman"/>
          <w:lang w:val="en-GB"/>
        </w:rPr>
      </w:pPr>
      <w:r>
        <w:rPr>
          <w:rFonts w:cs="Times New Roman" w:ascii="Times New Roman" w:hAnsi="Times New Roman"/>
          <w:lang w:val="en-GB"/>
        </w:rPr>
      </w:r>
    </w:p>
    <w:p>
      <w:pPr>
        <w:pStyle w:val="Normal"/>
        <w:spacing w:lineRule="auto" w:line="240" w:before="0" w:after="0"/>
        <w:ind w:left="720" w:right="0"/>
        <w:rPr>
          <w:rFonts w:ascii="Times New Roman" w:hAnsi="Times New Roman" w:cs="Times New Roman"/>
        </w:rPr>
      </w:pPr>
      <w:r>
        <w:rPr>
          <w:rFonts w:cs="Times New Roman" w:ascii="Times New Roman" w:hAnsi="Times New Roman"/>
        </w:rPr>
        <w:t>8.2</w:t>
        <w:tab/>
        <w:t xml:space="preserve">A summary of responses received is available on the GOV.UK website (see </w:t>
      </w:r>
      <w:hyperlink r:id="rId4">
        <w:r>
          <w:rPr>
            <w:rStyle w:val="Hyperlink"/>
            <w:rFonts w:cs="Times New Roman" w:ascii="Times New Roman" w:hAnsi="Times New Roman"/>
          </w:rPr>
          <w:t>https://www.gov.uk/government/uploads/system/uploads/attachment_data/file/206086/consultation-response.pdf</w:t>
        </w:r>
      </w:hyperlink>
      <w:r>
        <w:rPr>
          <w:rFonts w:cs="Times New Roman" w:ascii="Times New Roman" w:hAnsi="Times New Roman"/>
        </w:rPr>
        <w:t>).</w:t>
      </w:r>
    </w:p>
    <w:p>
      <w:pPr>
        <w:pStyle w:val="Normal"/>
        <w:spacing w:lineRule="auto" w:line="240" w:before="0" w:after="0"/>
        <w:ind w:firstLine="1135" w:left="-426" w:right="113"/>
        <w:rPr>
          <w:rFonts w:ascii="Times New Roman" w:hAnsi="Times New Roman" w:cs="Times New Roman"/>
        </w:rPr>
      </w:pPr>
      <w:r>
        <w:rPr>
          <w:rFonts w:cs="Times New Roman" w:ascii="Times New Roman" w:hAnsi="Times New Roman"/>
        </w:rPr>
      </w:r>
    </w:p>
    <w:p>
      <w:pPr>
        <w:pStyle w:val="Normal"/>
        <w:spacing w:lineRule="auto" w:line="240" w:before="0" w:after="0"/>
        <w:ind w:left="720" w:right="113"/>
        <w:rPr>
          <w:rFonts w:ascii="Times New Roman" w:hAnsi="Times New Roman" w:cs="Times New Roman"/>
          <w:lang w:val="en-GB"/>
        </w:rPr>
      </w:pPr>
      <w:r>
        <w:rPr>
          <w:rFonts w:cs="Times New Roman" w:ascii="Times New Roman" w:hAnsi="Times New Roman"/>
        </w:rPr>
        <w:t>8.3</w:t>
        <w:tab/>
      </w:r>
      <w:r>
        <w:rPr>
          <w:rFonts w:cs="Times New Roman" w:ascii="Times New Roman" w:hAnsi="Times New Roman"/>
          <w:lang w:val="en-GB"/>
        </w:rPr>
        <w:t>The Department has given careful consideration to the submissions received as part of the consultation as well as to those from its own engagement with stakeholders in developing the guidance and has made a number of changes to it as a result.</w:t>
      </w:r>
    </w:p>
    <w:p>
      <w:pPr>
        <w:pStyle w:val="Normal"/>
        <w:spacing w:lineRule="auto" w:line="240" w:before="0" w:after="0"/>
        <w:jc w:val="both"/>
        <w:rPr>
          <w:rFonts w:ascii="Times New Roman" w:hAnsi="Times New Roman" w:cs="Times New Roman"/>
          <w:b/>
          <w:lang w:val="en-GB"/>
        </w:rPr>
      </w:pPr>
      <w:r>
        <w:rPr>
          <w:rFonts w:cs="Times New Roman" w:ascii="Times New Roman" w:hAnsi="Times New Roman"/>
          <w:b/>
          <w:lang w:val="en-GB"/>
        </w:rPr>
      </w:r>
    </w:p>
    <w:p>
      <w:pPr>
        <w:pStyle w:val="Normal"/>
        <w:spacing w:lineRule="auto" w:line="240" w:before="0" w:after="0"/>
        <w:ind w:hanging="720" w:left="720" w:right="0"/>
        <w:jc w:val="both"/>
        <w:rPr>
          <w:rFonts w:ascii="Times New Roman" w:hAnsi="Times New Roman" w:cs="Times New Roman"/>
          <w:b/>
        </w:rPr>
      </w:pPr>
      <w:r>
        <w:rPr>
          <w:rFonts w:cs="Times New Roman" w:ascii="Times New Roman" w:hAnsi="Times New Roman"/>
          <w:b/>
        </w:rPr>
        <w:t>9.</w:t>
        <w:tab/>
        <w:t>Guidance</w:t>
      </w:r>
    </w:p>
    <w:p>
      <w:pPr>
        <w:pStyle w:val="Normal"/>
        <w:spacing w:lineRule="auto" w:line="240" w:before="0" w:after="0"/>
        <w:ind w:hanging="720" w:left="720" w:right="0"/>
        <w:jc w:val="both"/>
        <w:rPr>
          <w:rFonts w:ascii="Times New Roman" w:hAnsi="Times New Roman" w:cs="Times New Roman"/>
          <w:b/>
        </w:rPr>
      </w:pPr>
      <w:r>
        <w:rPr>
          <w:rFonts w:cs="Times New Roman" w:ascii="Times New Roman" w:hAnsi="Times New Roman"/>
          <w:b/>
        </w:rPr>
      </w:r>
    </w:p>
    <w:p>
      <w:pPr>
        <w:pStyle w:val="Normal"/>
        <w:spacing w:lineRule="auto" w:line="240" w:before="0" w:after="0"/>
        <w:ind w:left="720" w:right="113"/>
        <w:rPr/>
      </w:pPr>
      <w:r>
        <w:rPr>
          <w:rFonts w:cs="Times New Roman" w:ascii="Times New Roman" w:hAnsi="Times New Roman"/>
          <w:bCs/>
        </w:rPr>
        <w:t>9.1</w:t>
        <w:tab/>
      </w:r>
      <w:r>
        <w:rPr>
          <w:rFonts w:cs="Times New Roman" w:ascii="Times New Roman" w:hAnsi="Times New Roman"/>
          <w:lang w:val="en-GB"/>
        </w:rPr>
        <w:t>The Guidance sets out the basic principles for the use of the power by Chief Officers or Chief Constables to extend retention for national security purposes, under the following legislation:</w:t>
      </w:r>
    </w:p>
    <w:p>
      <w:pPr>
        <w:pStyle w:val="Normal"/>
        <w:tabs>
          <w:tab w:val="clear" w:pos="720"/>
          <w:tab w:val="left" w:pos="0" w:leader="none"/>
        </w:tabs>
        <w:spacing w:lineRule="auto" w:line="240" w:before="0" w:after="0"/>
        <w:ind w:left="-426" w:right="113"/>
        <w:rPr>
          <w:rFonts w:ascii="Times New Roman" w:hAnsi="Times New Roman" w:cs="Times New Roman"/>
          <w:lang w:val="en-GB"/>
        </w:rPr>
      </w:pPr>
      <w:r>
        <w:rPr>
          <w:rFonts w:cs="Times New Roman" w:ascii="Times New Roman" w:hAnsi="Times New Roman"/>
          <w:lang w:val="en-GB"/>
        </w:rPr>
      </w:r>
    </w:p>
    <w:p>
      <w:pPr>
        <w:pStyle w:val="ListParagraph"/>
        <w:numPr>
          <w:ilvl w:val="0"/>
          <w:numId w:val="5"/>
        </w:numPr>
        <w:tabs>
          <w:tab w:val="clear" w:pos="720"/>
          <w:tab w:val="left" w:pos="0" w:leader="none"/>
        </w:tabs>
        <w:spacing w:lineRule="auto" w:line="240" w:before="0" w:after="0"/>
        <w:ind w:hanging="360" w:left="1440" w:right="113"/>
        <w:contextualSpacing/>
        <w:rPr>
          <w:sz w:val="24"/>
          <w:szCs w:val="24"/>
        </w:rPr>
      </w:pPr>
      <w:r>
        <w:rPr>
          <w:sz w:val="24"/>
          <w:szCs w:val="24"/>
        </w:rPr>
        <w:t>Terrorism Act 2000;</w:t>
      </w:r>
    </w:p>
    <w:p>
      <w:pPr>
        <w:pStyle w:val="ListParagraph"/>
        <w:numPr>
          <w:ilvl w:val="0"/>
          <w:numId w:val="5"/>
        </w:numPr>
        <w:tabs>
          <w:tab w:val="clear" w:pos="720"/>
          <w:tab w:val="left" w:pos="0" w:leader="none"/>
        </w:tabs>
        <w:spacing w:lineRule="auto" w:line="240" w:before="0" w:after="0"/>
        <w:ind w:hanging="360" w:left="1440" w:right="113"/>
        <w:contextualSpacing/>
        <w:rPr>
          <w:sz w:val="24"/>
          <w:szCs w:val="24"/>
        </w:rPr>
      </w:pPr>
      <w:r>
        <w:rPr>
          <w:sz w:val="24"/>
          <w:szCs w:val="24"/>
        </w:rPr>
        <w:t>Counter-Terrorism Act 2008;</w:t>
      </w:r>
    </w:p>
    <w:p>
      <w:pPr>
        <w:pStyle w:val="ListParagraph"/>
        <w:numPr>
          <w:ilvl w:val="0"/>
          <w:numId w:val="5"/>
        </w:numPr>
        <w:tabs>
          <w:tab w:val="clear" w:pos="720"/>
          <w:tab w:val="left" w:pos="0" w:leader="none"/>
        </w:tabs>
        <w:spacing w:lineRule="auto" w:line="240" w:before="0" w:after="0"/>
        <w:ind w:hanging="360" w:left="1440" w:right="113"/>
        <w:contextualSpacing/>
        <w:rPr>
          <w:sz w:val="24"/>
          <w:szCs w:val="24"/>
        </w:rPr>
      </w:pPr>
      <w:r>
        <w:rPr>
          <w:sz w:val="24"/>
          <w:szCs w:val="24"/>
        </w:rPr>
        <w:t>Terrorism Prevention and Investigation Measures Act 2011;</w:t>
      </w:r>
    </w:p>
    <w:p>
      <w:pPr>
        <w:pStyle w:val="ListParagraph"/>
        <w:numPr>
          <w:ilvl w:val="0"/>
          <w:numId w:val="5"/>
        </w:numPr>
        <w:tabs>
          <w:tab w:val="clear" w:pos="720"/>
          <w:tab w:val="left" w:pos="0" w:leader="none"/>
        </w:tabs>
        <w:spacing w:lineRule="auto" w:line="240" w:before="0" w:after="0"/>
        <w:ind w:hanging="360" w:left="1440" w:right="113"/>
        <w:contextualSpacing/>
        <w:rPr>
          <w:sz w:val="24"/>
          <w:szCs w:val="24"/>
        </w:rPr>
      </w:pPr>
      <w:r>
        <w:rPr>
          <w:sz w:val="24"/>
          <w:szCs w:val="24"/>
        </w:rPr>
        <w:t>Police and Criminal Evidence Act 1984;</w:t>
      </w:r>
    </w:p>
    <w:p>
      <w:pPr>
        <w:pStyle w:val="ListParagraph"/>
        <w:numPr>
          <w:ilvl w:val="0"/>
          <w:numId w:val="5"/>
        </w:numPr>
        <w:tabs>
          <w:tab w:val="clear" w:pos="720"/>
          <w:tab w:val="left" w:pos="0" w:leader="none"/>
        </w:tabs>
        <w:spacing w:lineRule="auto" w:line="240" w:before="0" w:after="0"/>
        <w:ind w:hanging="360" w:left="1440" w:right="113"/>
        <w:contextualSpacing/>
        <w:rPr>
          <w:sz w:val="24"/>
          <w:szCs w:val="24"/>
        </w:rPr>
      </w:pPr>
      <w:r>
        <w:rPr>
          <w:sz w:val="24"/>
          <w:szCs w:val="24"/>
        </w:rPr>
        <w:t>Police and Criminal Evidence (Northern Ireland) Order 1989;</w:t>
      </w:r>
    </w:p>
    <w:p>
      <w:pPr>
        <w:pStyle w:val="ListParagraph"/>
        <w:numPr>
          <w:ilvl w:val="0"/>
          <w:numId w:val="5"/>
        </w:numPr>
        <w:tabs>
          <w:tab w:val="clear" w:pos="720"/>
          <w:tab w:val="left" w:pos="0" w:leader="none"/>
        </w:tabs>
        <w:spacing w:lineRule="auto" w:line="240" w:before="0" w:after="0"/>
        <w:ind w:hanging="360" w:left="1440" w:right="113"/>
        <w:contextualSpacing/>
        <w:rPr>
          <w:sz w:val="24"/>
          <w:szCs w:val="24"/>
        </w:rPr>
      </w:pPr>
      <w:r>
        <w:rPr>
          <w:sz w:val="24"/>
          <w:szCs w:val="24"/>
        </w:rPr>
        <w:t>Criminal Procedure (Scotland) Act 1995.</w:t>
      </w:r>
    </w:p>
    <w:p>
      <w:pPr>
        <w:pStyle w:val="Normal"/>
        <w:spacing w:lineRule="auto" w:line="240" w:before="0" w:after="0"/>
        <w:ind w:left="709" w:right="0"/>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0"/>
        <w:ind w:firstLine="720" w:right="113"/>
        <w:rPr>
          <w:rFonts w:ascii="Times New Roman" w:hAnsi="Times New Roman" w:cs="Times New Roman"/>
        </w:rPr>
      </w:pPr>
      <w:r>
        <w:rPr>
          <w:rFonts w:cs="Times New Roman" w:ascii="Times New Roman" w:hAnsi="Times New Roman"/>
          <w:bCs/>
        </w:rPr>
        <w:t>9.2</w:t>
        <w:tab/>
        <w:t xml:space="preserve">The </w:t>
      </w:r>
      <w:r>
        <w:rPr>
          <w:rFonts w:cs="Times New Roman" w:ascii="Times New Roman" w:hAnsi="Times New Roman"/>
        </w:rPr>
        <w:t>guidance includes direction on:</w:t>
      </w:r>
    </w:p>
    <w:p>
      <w:pPr>
        <w:pStyle w:val="Normal"/>
        <w:tabs>
          <w:tab w:val="clear" w:pos="720"/>
          <w:tab w:val="left" w:pos="0" w:leader="none"/>
        </w:tabs>
        <w:spacing w:lineRule="auto" w:line="240" w:before="0" w:after="0"/>
        <w:ind w:left="-426" w:right="113"/>
        <w:rPr>
          <w:rFonts w:ascii="Times New Roman" w:hAnsi="Times New Roman" w:cs="Times New Roman"/>
          <w:lang w:val="en-GB"/>
        </w:rPr>
      </w:pPr>
      <w:r>
        <w:rPr>
          <w:rFonts w:cs="Times New Roman" w:ascii="Times New Roman" w:hAnsi="Times New Roman"/>
          <w:lang w:val="en-GB"/>
        </w:rPr>
      </w:r>
    </w:p>
    <w:p>
      <w:pPr>
        <w:pStyle w:val="ListParagraph"/>
        <w:numPr>
          <w:ilvl w:val="0"/>
          <w:numId w:val="3"/>
        </w:numPr>
        <w:spacing w:lineRule="auto" w:line="240" w:before="0" w:after="0"/>
        <w:ind w:hanging="360" w:left="1440" w:right="113"/>
        <w:contextualSpacing/>
        <w:rPr>
          <w:sz w:val="24"/>
          <w:szCs w:val="24"/>
        </w:rPr>
      </w:pPr>
      <w:r>
        <w:rPr>
          <w:sz w:val="24"/>
          <w:szCs w:val="24"/>
        </w:rPr>
        <w:t>The scope of the powers;</w:t>
      </w:r>
    </w:p>
    <w:p>
      <w:pPr>
        <w:pStyle w:val="ListParagraph"/>
        <w:numPr>
          <w:ilvl w:val="0"/>
          <w:numId w:val="3"/>
        </w:numPr>
        <w:spacing w:lineRule="auto" w:line="240" w:before="0" w:after="0"/>
        <w:ind w:hanging="360" w:left="1440" w:right="113"/>
        <w:contextualSpacing/>
        <w:rPr>
          <w:sz w:val="24"/>
          <w:szCs w:val="24"/>
        </w:rPr>
      </w:pPr>
      <w:r>
        <w:rPr>
          <w:sz w:val="24"/>
          <w:szCs w:val="24"/>
        </w:rPr>
        <w:t>Requirements for making or renewing a national security determination (NSD);</w:t>
      </w:r>
    </w:p>
    <w:p>
      <w:pPr>
        <w:pStyle w:val="ListParagraph"/>
        <w:numPr>
          <w:ilvl w:val="0"/>
          <w:numId w:val="3"/>
        </w:numPr>
        <w:spacing w:lineRule="auto" w:line="240" w:before="0" w:after="0"/>
        <w:ind w:hanging="360" w:left="1440" w:right="113"/>
        <w:contextualSpacing/>
        <w:rPr>
          <w:sz w:val="24"/>
          <w:szCs w:val="24"/>
        </w:rPr>
      </w:pPr>
      <w:r>
        <w:rPr>
          <w:sz w:val="24"/>
          <w:szCs w:val="24"/>
        </w:rPr>
        <w:t>Recording, monitoring and reporting on the use of the powers;</w:t>
      </w:r>
    </w:p>
    <w:p>
      <w:pPr>
        <w:pStyle w:val="ListParagraph"/>
        <w:numPr>
          <w:ilvl w:val="0"/>
          <w:numId w:val="3"/>
        </w:numPr>
        <w:spacing w:lineRule="auto" w:line="240" w:before="0" w:after="0"/>
        <w:ind w:hanging="360" w:left="1440" w:right="113"/>
        <w:contextualSpacing/>
        <w:rPr>
          <w:sz w:val="24"/>
          <w:szCs w:val="24"/>
        </w:rPr>
      </w:pPr>
      <w:r>
        <w:rPr>
          <w:sz w:val="24"/>
          <w:szCs w:val="24"/>
        </w:rPr>
        <w:t>Engagement with the Commissioner for the Retention and Use of Biometric Material.</w:t>
      </w:r>
    </w:p>
    <w:p>
      <w:pPr>
        <w:pStyle w:val="ListParagraph"/>
        <w:spacing w:lineRule="auto" w:line="240" w:before="0" w:after="0"/>
        <w:ind w:left="1440" w:right="113"/>
        <w:contextualSpacing/>
        <w:rPr>
          <w:sz w:val="24"/>
          <w:szCs w:val="24"/>
        </w:rPr>
      </w:pPr>
      <w:r>
        <w:rPr>
          <w:sz w:val="24"/>
          <w:szCs w:val="24"/>
        </w:rPr>
        <w:t xml:space="preserve"> </w:t>
      </w:r>
    </w:p>
    <w:p>
      <w:pPr>
        <w:pStyle w:val="Normal"/>
        <w:spacing w:lineRule="auto" w:line="240" w:before="0" w:after="0"/>
        <w:ind w:hanging="720" w:left="720" w:right="0"/>
        <w:jc w:val="both"/>
        <w:rPr>
          <w:rFonts w:ascii="Times New Roman" w:hAnsi="Times New Roman" w:cs="Times New Roman"/>
          <w:b/>
        </w:rPr>
      </w:pPr>
      <w:r>
        <w:rPr>
          <w:rFonts w:cs="Times New Roman" w:ascii="Times New Roman" w:hAnsi="Times New Roman"/>
          <w:b/>
        </w:rPr>
        <w:t>10.</w:t>
        <w:tab/>
        <w:t>Impact</w:t>
      </w:r>
    </w:p>
    <w:p>
      <w:pPr>
        <w:pStyle w:val="Normal"/>
        <w:spacing w:lineRule="auto" w:line="240" w:before="0" w:after="0"/>
        <w:ind w:hanging="720" w:left="720" w:right="0"/>
        <w:jc w:val="both"/>
        <w:rPr>
          <w:rFonts w:ascii="Times New Roman" w:hAnsi="Times New Roman" w:cs="Times New Roman"/>
          <w:b/>
        </w:rPr>
      </w:pPr>
      <w:r>
        <w:rPr>
          <w:rFonts w:cs="Times New Roman" w:ascii="Times New Roman" w:hAnsi="Times New Roman"/>
          <w:b/>
        </w:rPr>
      </w:r>
    </w:p>
    <w:p>
      <w:pPr>
        <w:pStyle w:val="Normal"/>
        <w:spacing w:lineRule="auto" w:line="240" w:before="0" w:after="0"/>
        <w:ind w:firstLine="720" w:right="0"/>
        <w:jc w:val="both"/>
        <w:rPr>
          <w:rFonts w:ascii="Times New Roman" w:hAnsi="Times New Roman" w:cs="Times New Roman"/>
        </w:rPr>
      </w:pPr>
      <w:r>
        <w:rPr>
          <w:rFonts w:cs="Times New Roman" w:ascii="Times New Roman" w:hAnsi="Times New Roman"/>
        </w:rPr>
        <w:t>10.1</w:t>
        <w:tab/>
        <w:t xml:space="preserve">There is no foreseeable impact on business, charities or voluntary bodies. </w:t>
      </w:r>
    </w:p>
    <w:p>
      <w:pPr>
        <w:pStyle w:val="Normal"/>
        <w:spacing w:lineRule="auto" w:line="240" w:before="0" w:after="0"/>
        <w:ind w:left="720" w:right="0"/>
        <w:jc w:val="both"/>
        <w:rPr>
          <w:rFonts w:ascii="Times New Roman" w:hAnsi="Times New Roman" w:cs="Times New Roman"/>
        </w:rPr>
      </w:pPr>
      <w:r>
        <w:rPr>
          <w:rFonts w:cs="Times New Roman" w:ascii="Times New Roman" w:hAnsi="Times New Roman"/>
        </w:rPr>
      </w:r>
    </w:p>
    <w:p>
      <w:pPr>
        <w:pStyle w:val="BodyTextIndent"/>
        <w:spacing w:lineRule="auto" w:line="240" w:before="0" w:after="0"/>
        <w:ind w:firstLine="720" w:left="0" w:right="0"/>
        <w:jc w:val="both"/>
        <w:rPr>
          <w:rFonts w:ascii="Times New Roman" w:hAnsi="Times New Roman" w:cs="Times New Roman"/>
        </w:rPr>
      </w:pPr>
      <w:r>
        <w:rPr>
          <w:rFonts w:cs="Times New Roman" w:ascii="Times New Roman" w:hAnsi="Times New Roman"/>
        </w:rPr>
        <w:t>10.2</w:t>
        <w:tab/>
        <w:t>The impact on the public sector is less than £5million.</w:t>
      </w:r>
    </w:p>
    <w:p>
      <w:pPr>
        <w:pStyle w:val="BodyTextIndent"/>
        <w:spacing w:lineRule="auto" w:line="240" w:before="0" w:after="0"/>
        <w:ind w:left="709" w:right="0"/>
        <w:jc w:val="both"/>
        <w:rPr>
          <w:rFonts w:ascii="Times New Roman" w:hAnsi="Times New Roman" w:cs="Times New Roman"/>
        </w:rPr>
      </w:pPr>
      <w:r>
        <w:rPr>
          <w:rFonts w:cs="Times New Roman" w:ascii="Times New Roman" w:hAnsi="Times New Roman"/>
        </w:rPr>
      </w:r>
    </w:p>
    <w:p>
      <w:pPr>
        <w:pStyle w:val="Normal"/>
        <w:spacing w:lineRule="auto" w:line="240" w:before="0" w:after="0"/>
        <w:ind w:firstLine="720" w:right="0"/>
        <w:jc w:val="both"/>
        <w:rPr>
          <w:rFonts w:ascii="Times New Roman" w:hAnsi="Times New Roman" w:cs="Times New Roman"/>
        </w:rPr>
      </w:pPr>
      <w:r>
        <w:rPr>
          <w:rFonts w:cs="Times New Roman" w:ascii="Times New Roman" w:hAnsi="Times New Roman"/>
        </w:rPr>
        <w:t>10.3</w:t>
        <w:tab/>
        <w:t>An Impact Assessment has not been prepared for this instrument.</w:t>
      </w:r>
    </w:p>
    <w:p>
      <w:pPr>
        <w:pStyle w:val="Normal"/>
        <w:spacing w:lineRule="auto" w:line="240" w:before="0" w:after="0"/>
        <w:jc w:val="both"/>
        <w:rPr>
          <w:rFonts w:ascii="Times New Roman" w:hAnsi="Times New Roman" w:cs="Times New Roman"/>
          <w:highlight w:val="yellow"/>
        </w:rPr>
      </w:pPr>
      <w:r>
        <w:rPr>
          <w:rFonts w:cs="Times New Roman" w:ascii="Times New Roman" w:hAnsi="Times New Roman"/>
          <w:highlight w:val="yellow"/>
        </w:rPr>
      </w:r>
    </w:p>
    <w:p>
      <w:pPr>
        <w:pStyle w:val="Normal"/>
        <w:numPr>
          <w:ilvl w:val="0"/>
          <w:numId w:val="4"/>
        </w:numPr>
        <w:spacing w:lineRule="auto" w:line="240" w:before="0" w:after="0"/>
        <w:jc w:val="both"/>
        <w:rPr>
          <w:rFonts w:ascii="Times New Roman" w:hAnsi="Times New Roman" w:cs="Times New Roman"/>
          <w:b/>
        </w:rPr>
      </w:pPr>
      <w:r>
        <w:rPr>
          <w:rFonts w:cs="Times New Roman" w:ascii="Times New Roman" w:hAnsi="Times New Roman"/>
          <w:b/>
        </w:rPr>
        <w:t>Regulating small business</w:t>
      </w:r>
    </w:p>
    <w:p>
      <w:pPr>
        <w:pStyle w:val="Normal"/>
        <w:spacing w:lineRule="auto" w:line="240" w:before="0" w:after="0"/>
        <w:ind w:left="720" w:right="0"/>
        <w:jc w:val="both"/>
        <w:rPr>
          <w:rFonts w:ascii="Times New Roman" w:hAnsi="Times New Roman" w:cs="Times New Roman"/>
          <w:b/>
        </w:rPr>
      </w:pPr>
      <w:r>
        <w:rPr>
          <w:rFonts w:cs="Times New Roman" w:ascii="Times New Roman" w:hAnsi="Times New Roman"/>
          <w:b/>
        </w:rPr>
      </w:r>
    </w:p>
    <w:p>
      <w:pPr>
        <w:pStyle w:val="Normal"/>
        <w:spacing w:lineRule="auto" w:line="240" w:before="0" w:after="0"/>
        <w:ind w:firstLine="720" w:right="0"/>
        <w:jc w:val="both"/>
        <w:rPr>
          <w:rFonts w:ascii="Times New Roman" w:hAnsi="Times New Roman" w:cs="Times New Roman"/>
        </w:rPr>
      </w:pPr>
      <w:r>
        <w:rPr>
          <w:rFonts w:cs="Times New Roman" w:ascii="Times New Roman" w:hAnsi="Times New Roman"/>
        </w:rPr>
        <w:t xml:space="preserve">11.1 </w:t>
        <w:tab/>
        <w:t xml:space="preserve">The legislation does not apply to small business. </w:t>
      </w:r>
    </w:p>
    <w:p>
      <w:pPr>
        <w:pStyle w:val="Normal"/>
        <w:spacing w:lineRule="auto" w:line="240" w:before="0" w:after="0"/>
        <w:jc w:val="both"/>
        <w:rPr>
          <w:rFonts w:ascii="Times New Roman" w:hAnsi="Times New Roman" w:cs="Times New Roman"/>
          <w:highlight w:val="yellow"/>
        </w:rPr>
      </w:pPr>
      <w:r>
        <w:rPr>
          <w:rFonts w:cs="Times New Roman" w:ascii="Times New Roman" w:hAnsi="Times New Roman"/>
          <w:highlight w:val="yellow"/>
        </w:rPr>
      </w:r>
    </w:p>
    <w:p>
      <w:pPr>
        <w:pStyle w:val="Normal"/>
        <w:numPr>
          <w:ilvl w:val="0"/>
          <w:numId w:val="4"/>
        </w:numPr>
        <w:spacing w:lineRule="auto" w:line="240" w:before="0" w:after="0"/>
        <w:jc w:val="both"/>
        <w:rPr>
          <w:rFonts w:ascii="Times New Roman" w:hAnsi="Times New Roman" w:cs="Times New Roman"/>
          <w:b/>
        </w:rPr>
      </w:pPr>
      <w:r>
        <w:rPr>
          <w:rFonts w:cs="Times New Roman" w:ascii="Times New Roman" w:hAnsi="Times New Roman"/>
          <w:b/>
        </w:rPr>
        <w:t>Monitoring &amp; review</w:t>
      </w:r>
    </w:p>
    <w:p>
      <w:pPr>
        <w:pStyle w:val="Normal"/>
        <w:tabs>
          <w:tab w:val="clear" w:pos="720"/>
          <w:tab w:val="left" w:pos="0" w:leader="none"/>
        </w:tabs>
        <w:spacing w:lineRule="auto" w:line="240" w:before="0" w:after="0"/>
        <w:ind w:right="113"/>
        <w:rPr>
          <w:rFonts w:ascii="Times New Roman" w:hAnsi="Times New Roman" w:cs="Times New Roman"/>
          <w:b/>
          <w:lang w:val="en-GB"/>
        </w:rPr>
      </w:pPr>
      <w:r>
        <w:rPr>
          <w:rFonts w:cs="Times New Roman" w:ascii="Times New Roman" w:hAnsi="Times New Roman"/>
          <w:b/>
          <w:lang w:val="en-GB"/>
        </w:rPr>
      </w:r>
    </w:p>
    <w:p>
      <w:pPr>
        <w:pStyle w:val="Normal"/>
        <w:spacing w:lineRule="auto" w:line="240" w:before="0" w:after="0"/>
        <w:ind w:firstLine="709" w:right="113"/>
        <w:rPr>
          <w:rFonts w:ascii="Times New Roman" w:hAnsi="Times New Roman" w:cs="Times New Roman"/>
        </w:rPr>
      </w:pPr>
      <w:r>
        <w:rPr>
          <w:rFonts w:cs="Times New Roman" w:ascii="Times New Roman" w:hAnsi="Times New Roman"/>
        </w:rPr>
        <w:t>12.1</w:t>
        <w:tab/>
        <w:t xml:space="preserve"> The Guidance provides for the monitoring of the use of the powers to retain</w:t>
      </w:r>
    </w:p>
    <w:p>
      <w:pPr>
        <w:pStyle w:val="Normal"/>
        <w:spacing w:lineRule="auto" w:line="240" w:before="0" w:after="0"/>
        <w:ind w:left="709" w:right="113"/>
        <w:rPr>
          <w:rFonts w:ascii="Times New Roman" w:hAnsi="Times New Roman" w:cs="Times New Roman"/>
        </w:rPr>
      </w:pPr>
      <w:r>
        <w:rPr>
          <w:rFonts w:cs="Times New Roman" w:ascii="Times New Roman" w:hAnsi="Times New Roman"/>
        </w:rPr>
        <w:t>biometric material for national security purposes.</w:t>
      </w:r>
    </w:p>
    <w:p>
      <w:pPr>
        <w:pStyle w:val="Normal"/>
        <w:spacing w:lineRule="auto" w:line="240" w:before="0" w:after="0"/>
        <w:ind w:right="113"/>
        <w:rPr>
          <w:rFonts w:ascii="Times New Roman" w:hAnsi="Times New Roman" w:cs="Times New Roman"/>
        </w:rPr>
      </w:pPr>
      <w:r>
        <w:rPr>
          <w:rFonts w:cs="Times New Roman" w:ascii="Times New Roman" w:hAnsi="Times New Roman"/>
        </w:rPr>
      </w:r>
    </w:p>
    <w:p>
      <w:pPr>
        <w:pStyle w:val="Normal"/>
        <w:spacing w:lineRule="auto" w:line="240" w:before="0" w:after="0"/>
        <w:ind w:firstLine="709" w:right="113"/>
        <w:rPr>
          <w:rFonts w:ascii="Times New Roman" w:hAnsi="Times New Roman" w:cs="Times New Roman"/>
        </w:rPr>
      </w:pPr>
      <w:r>
        <w:rPr>
          <w:rFonts w:cs="Times New Roman" w:ascii="Times New Roman" w:hAnsi="Times New Roman"/>
        </w:rPr>
        <w:t>12.2</w:t>
        <w:tab/>
        <w:t>Statistical data on the use of the powers should be provided on a quarterly</w:t>
      </w:r>
    </w:p>
    <w:p>
      <w:pPr>
        <w:pStyle w:val="Normal"/>
        <w:spacing w:lineRule="auto" w:line="240" w:before="0" w:after="0"/>
        <w:ind w:left="709" w:right="113"/>
        <w:rPr>
          <w:rFonts w:ascii="Times New Roman" w:hAnsi="Times New Roman" w:cs="Times New Roman"/>
        </w:rPr>
      </w:pPr>
      <w:r>
        <w:rPr>
          <w:rFonts w:cs="Times New Roman" w:ascii="Times New Roman" w:hAnsi="Times New Roman"/>
        </w:rPr>
        <w:t>basis to the Home Office.</w:t>
      </w:r>
    </w:p>
    <w:p>
      <w:pPr>
        <w:pStyle w:val="Normal"/>
        <w:spacing w:lineRule="auto" w:line="240" w:before="0" w:after="0"/>
        <w:ind w:left="709" w:right="113"/>
        <w:rPr>
          <w:rFonts w:ascii="Times New Roman" w:hAnsi="Times New Roman" w:cs="Times New Roman"/>
        </w:rPr>
      </w:pPr>
      <w:r>
        <w:rPr>
          <w:rFonts w:cs="Times New Roman" w:ascii="Times New Roman" w:hAnsi="Times New Roman"/>
        </w:rPr>
      </w:r>
    </w:p>
    <w:p>
      <w:pPr>
        <w:pStyle w:val="ListParagraph"/>
        <w:numPr>
          <w:ilvl w:val="0"/>
          <w:numId w:val="4"/>
        </w:numPr>
        <w:spacing w:lineRule="auto" w:line="240" w:before="0" w:after="0"/>
        <w:contextualSpacing/>
        <w:jc w:val="both"/>
        <w:rPr>
          <w:b/>
          <w:sz w:val="24"/>
          <w:szCs w:val="24"/>
        </w:rPr>
      </w:pPr>
      <w:r>
        <w:rPr>
          <w:b/>
          <w:sz w:val="24"/>
          <w:szCs w:val="24"/>
        </w:rPr>
        <w:t>Contact</w:t>
      </w:r>
    </w:p>
    <w:p>
      <w:pPr>
        <w:pStyle w:val="ListParagraph"/>
        <w:spacing w:lineRule="auto" w:line="240" w:before="0" w:after="0"/>
        <w:contextualSpacing/>
        <w:jc w:val="both"/>
        <w:rPr>
          <w:b/>
          <w:sz w:val="24"/>
          <w:szCs w:val="24"/>
        </w:rPr>
      </w:pPr>
      <w:r>
        <w:rPr>
          <w:b/>
          <w:sz w:val="24"/>
          <w:szCs w:val="24"/>
        </w:rPr>
      </w:r>
    </w:p>
    <w:p>
      <w:pPr>
        <w:pStyle w:val="Normal"/>
        <w:spacing w:lineRule="auto" w:line="240" w:before="0" w:after="0"/>
        <w:ind w:left="720" w:right="0"/>
        <w:rPr/>
      </w:pPr>
      <w:r>
        <w:rPr>
          <w:rFonts w:cs="Times New Roman" w:ascii="Times New Roman" w:hAnsi="Times New Roman"/>
        </w:rPr>
        <w:t>13.1</w:t>
        <w:tab/>
        <w:t xml:space="preserve">The Counter-Terrorism Legislation Team at the Home Office can answer any queries regarding this instrument. The team can be contacted via email: </w:t>
      </w:r>
      <w:hyperlink r:id="rId5">
        <w:r>
          <w:rPr>
            <w:rStyle w:val="Hyperlink"/>
            <w:rFonts w:cs="Times New Roman" w:ascii="Times New Roman" w:hAnsi="Times New Roman"/>
          </w:rPr>
          <w:t>counterterrorismlegislation@homeoffice.x.gsi.gov.uk</w:t>
        </w:r>
      </w:hyperlink>
      <w:r>
        <w:rPr>
          <w:rFonts w:cs="Times New Roman" w:ascii="Times New Roman" w:hAnsi="Times New Roman"/>
        </w:rPr>
        <w:t>; or by post: 2 Marsham Street, Peel 5</w:t>
      </w:r>
      <w:r>
        <w:rPr>
          <w:rFonts w:cs="Times New Roman" w:ascii="Times New Roman" w:hAnsi="Times New Roman"/>
          <w:vertAlign w:val="superscript"/>
        </w:rPr>
        <w:t>th</w:t>
      </w:r>
      <w:r>
        <w:rPr>
          <w:rFonts w:cs="Times New Roman" w:ascii="Times New Roman" w:hAnsi="Times New Roman"/>
        </w:rPr>
        <w:t xml:space="preserve"> Floor, London SW1P 4DF.</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Liberation Sans">
    <w:altName w:val="Arial"/>
    <w:charset w:val="00"/>
    <w:family w:val="swiss"/>
    <w:pitch w:val="variable"/>
  </w:font>
  <w:font w:name="Garamond">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1080"/>
        </w:tabs>
        <w:ind w:left="1080" w:hanging="360"/>
      </w:pPr>
      <w:rPr>
        <w:rFonts w:ascii="Symbol" w:hAnsi="Symbol" w:cs="Symbol" w:hint="default"/>
      </w:rPr>
    </w:lvl>
  </w:abstractNum>
  <w:abstractNum w:abstractNumId="3">
    <w:lvl w:ilvl="0">
      <w:start w:val="1"/>
      <w:numFmt w:val="lowerRoman"/>
      <w:lvlText w:val="%1."/>
      <w:lvlJc w:val="right"/>
      <w:pPr>
        <w:tabs>
          <w:tab w:val="num" w:pos="0"/>
        </w:tabs>
        <w:ind w:left="360" w:hanging="360"/>
      </w:pPr>
      <w:rPr>
        <w:b w:val="false"/>
      </w:rPr>
    </w:lvl>
  </w:abstractNum>
  <w:abstractNum w:abstractNumId="4">
    <w:lvl w:ilvl="0">
      <w:start w:val="11"/>
      <w:numFmt w:val="decimal"/>
      <w:lvlText w:val="%1."/>
      <w:lvlJc w:val="left"/>
      <w:pPr>
        <w:tabs>
          <w:tab w:val="num" w:pos="720"/>
        </w:tabs>
        <w:ind w:left="720" w:hanging="720"/>
      </w:pPr>
      <w:rPr/>
    </w:lvl>
    <w:lvl w:ilvl="1">
      <w:start w:val="1"/>
      <w:isLgl/>
      <w:numFmt w:val="decimal"/>
      <w:lvlText w:val="%1.%2"/>
      <w:lvlJc w:val="left"/>
      <w:pPr>
        <w:tabs>
          <w:tab w:val="num" w:pos="0"/>
        </w:tabs>
        <w:ind w:left="1444" w:hanging="735"/>
      </w:pPr>
      <w:rPr/>
    </w:lvl>
    <w:lvl w:ilvl="2">
      <w:start w:val="1"/>
      <w:isLgl/>
      <w:numFmt w:val="decimal"/>
      <w:lvlText w:val="%1.%2.%3"/>
      <w:lvlJc w:val="left"/>
      <w:pPr>
        <w:tabs>
          <w:tab w:val="num" w:pos="0"/>
        </w:tabs>
        <w:ind w:left="2153" w:hanging="735"/>
      </w:pPr>
      <w:rPr/>
    </w:lvl>
    <w:lvl w:ilvl="3">
      <w:start w:val="1"/>
      <w:isLgl/>
      <w:numFmt w:val="decimal"/>
      <w:lvlText w:val="%1.%2.%3.%4"/>
      <w:lvlJc w:val="left"/>
      <w:pPr>
        <w:tabs>
          <w:tab w:val="num" w:pos="0"/>
        </w:tabs>
        <w:ind w:left="2862" w:hanging="735"/>
      </w:pPr>
      <w:rPr/>
    </w:lvl>
    <w:lvl w:ilvl="4">
      <w:start w:val="1"/>
      <w:isLgl/>
      <w:numFmt w:val="decimal"/>
      <w:lvlText w:val="%1.%2.%3.%4.%5"/>
      <w:lvlJc w:val="left"/>
      <w:pPr>
        <w:tabs>
          <w:tab w:val="num" w:pos="0"/>
        </w:tabs>
        <w:ind w:left="3916" w:hanging="1080"/>
      </w:pPr>
      <w:rPr/>
    </w:lvl>
    <w:lvl w:ilvl="5">
      <w:start w:val="1"/>
      <w:isLgl/>
      <w:numFmt w:val="decimal"/>
      <w:lvlText w:val="%1.%2.%3.%4.%5.%6"/>
      <w:lvlJc w:val="left"/>
      <w:pPr>
        <w:tabs>
          <w:tab w:val="num" w:pos="0"/>
        </w:tabs>
        <w:ind w:left="4625" w:hanging="1080"/>
      </w:pPr>
      <w:rPr/>
    </w:lvl>
    <w:lvl w:ilvl="6">
      <w:start w:val="1"/>
      <w:isLgl/>
      <w:numFmt w:val="decimal"/>
      <w:lvlText w:val="%1.%2.%3.%4.%5.%6.%7"/>
      <w:lvlJc w:val="left"/>
      <w:pPr>
        <w:tabs>
          <w:tab w:val="num" w:pos="0"/>
        </w:tabs>
        <w:ind w:left="5694" w:hanging="1440"/>
      </w:pPr>
      <w:rPr/>
    </w:lvl>
    <w:lvl w:ilvl="7">
      <w:start w:val="1"/>
      <w:isLgl/>
      <w:numFmt w:val="decimal"/>
      <w:lvlText w:val="%1.%2.%3.%4.%5.%6.%7.%8"/>
      <w:lvlJc w:val="left"/>
      <w:pPr>
        <w:tabs>
          <w:tab w:val="num" w:pos="0"/>
        </w:tabs>
        <w:ind w:left="6403" w:hanging="1440"/>
      </w:pPr>
      <w:rPr/>
    </w:lvl>
    <w:lvl w:ilvl="8">
      <w:start w:val="1"/>
      <w:isLgl/>
      <w:numFmt w:val="decimal"/>
      <w:lvlText w:val="%1.%2.%3.%4.%5.%6.%7.%8.%9"/>
      <w:lvlJc w:val="left"/>
      <w:pPr>
        <w:tabs>
          <w:tab w:val="num" w:pos="0"/>
        </w:tabs>
        <w:ind w:left="7472" w:hanging="1800"/>
      </w:pPr>
      <w:rPr/>
    </w:lvl>
  </w:abstractNum>
  <w:abstractNum w:abstractNumId="5">
    <w:lvl w:ilvl="0">
      <w:start w:val="1"/>
      <w:numFmt w:val="lowerRoman"/>
      <w:lvlText w:val="%1."/>
      <w:lvlJc w:val="right"/>
      <w:pPr>
        <w:tabs>
          <w:tab w:val="num" w:pos="0"/>
        </w:tabs>
        <w:ind w:left="654"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auto"/>
      <w:sz w:val="24"/>
      <w:szCs w:val="24"/>
      <w:lang w:val="en-US" w:bidi="ar-SA" w:eastAsia="zh-CN"/>
    </w:rPr>
  </w:style>
  <w:style w:type="paragraph" w:styleId="Heading7">
    <w:name w:val="heading 7"/>
    <w:basedOn w:val="Normal"/>
    <w:next w:val="Normal"/>
    <w:qFormat/>
    <w:pPr>
      <w:numPr>
        <w:ilvl w:val="6"/>
        <w:numId w:val="1"/>
      </w:numPr>
      <w:spacing w:before="0" w:after="0"/>
      <w:outlineLvl w:val="6"/>
    </w:pPr>
    <w:rPr>
      <w:rFonts w:ascii="Arial" w:hAnsi="Arial" w:eastAsia="Times New Roman" w:cs="Arial"/>
      <w:b/>
      <w:bCs/>
      <w:i/>
      <w:iCs/>
      <w:color w:val="5A5A5A"/>
      <w:sz w:val="20"/>
      <w:szCs w:val="20"/>
      <w:lang w:bidi="en-US"/>
    </w:rPr>
  </w:style>
  <w:style w:type="character" w:styleId="WW8Num1z0">
    <w:name w:val="WW8Num1z0"/>
    <w:qFormat/>
    <w:rPr>
      <w:rFonts w:ascii="Symbol" w:hAnsi="Symbol" w:cs="Symbol"/>
    </w:rPr>
  </w:style>
  <w:style w:type="character" w:styleId="WW8Num1z1">
    <w:name w:val="WW8Num1z1"/>
    <w:qFormat/>
    <w:rPr>
      <w:rFonts w:ascii="Times New Roman" w:hAnsi="Times New Roman" w:eastAsia="Times New Roman" w:cs="Times New Roman"/>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b w:val="false"/>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Heading7Char">
    <w:name w:val="Heading 7 Char"/>
    <w:basedOn w:val="DefaultParagraphFont"/>
    <w:qFormat/>
    <w:rPr>
      <w:rFonts w:ascii="Arial" w:hAnsi="Arial" w:eastAsia="Times New Roman" w:cs="Times New Roman"/>
      <w:b/>
      <w:bCs/>
      <w:i/>
      <w:iCs/>
      <w:color w:val="5A5A5A"/>
      <w:sz w:val="20"/>
      <w:szCs w:val="20"/>
      <w:lang w:bidi="en-US"/>
    </w:rPr>
  </w:style>
  <w:style w:type="character" w:styleId="Hyperlink">
    <w:name w:val="Hyperlink"/>
    <w:basedOn w:val="DefaultParagraphFont"/>
    <w:rPr>
      <w:color w:val="0000FF"/>
      <w:u w:val="single"/>
    </w:rPr>
  </w:style>
  <w:style w:type="character" w:styleId="BodyTextIndentChar">
    <w:name w:val="Body Text Indent Char"/>
    <w:basedOn w:val="DefaultParagraphFont"/>
    <w:qFormat/>
    <w:rPr>
      <w:rFonts w:ascii="Calibri" w:hAnsi="Calibri" w:eastAsia="Calibri" w:cs="Times New Roman"/>
      <w:sz w:val="24"/>
      <w:szCs w:val="24"/>
    </w:rPr>
  </w:style>
  <w:style w:type="character" w:styleId="CommentReference">
    <w:name w:val="Comment Reference"/>
    <w:basedOn w:val="DefaultParagraphFont"/>
    <w:qFormat/>
    <w:rPr>
      <w:sz w:val="16"/>
      <w:szCs w:val="16"/>
    </w:rPr>
  </w:style>
  <w:style w:type="character" w:styleId="CommentTextChar">
    <w:name w:val="Comment Text Char"/>
    <w:basedOn w:val="DefaultParagraphFont"/>
    <w:qFormat/>
    <w:rPr>
      <w:rFonts w:ascii="Calibri" w:hAnsi="Calibri" w:eastAsia="Calibri" w:cs="Calibri"/>
      <w:lang w:val="en-US"/>
    </w:rPr>
  </w:style>
  <w:style w:type="character" w:styleId="CommentSubjectChar">
    <w:name w:val="Comment Subject Char"/>
    <w:basedOn w:val="CommentTextChar"/>
    <w:qFormat/>
    <w:rPr>
      <w:b/>
      <w:bCs/>
    </w:rPr>
  </w:style>
  <w:style w:type="character" w:styleId="BalloonTextChar">
    <w:name w:val="Balloon Text Char"/>
    <w:basedOn w:val="DefaultParagraphFont"/>
    <w:qFormat/>
    <w:rPr>
      <w:rFonts w:ascii="Tahoma" w:hAnsi="Tahoma" w:eastAsia="Calibri" w:cs="Tahoma"/>
      <w:sz w:val="16"/>
      <w:szCs w:val="16"/>
      <w:lang w:val="en-U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nvelopeAddress">
    <w:name w:val="envelope address"/>
    <w:basedOn w:val="Normal"/>
    <w:pPr>
      <w:spacing w:lineRule="auto" w:line="240"/>
      <w:ind w:hanging="0" w:left="2880" w:right="0"/>
    </w:pPr>
    <w:rPr>
      <w:rFonts w:ascii="Arial" w:hAnsi="Arial" w:eastAsia="Times New Roman" w:cs="Arial"/>
    </w:rPr>
  </w:style>
  <w:style w:type="paragraph" w:styleId="ListParagraph">
    <w:name w:val="List Paragraph"/>
    <w:basedOn w:val="Normal"/>
    <w:qFormat/>
    <w:pPr>
      <w:spacing w:before="0" w:after="200"/>
      <w:ind w:hanging="0" w:left="720" w:right="0"/>
      <w:contextualSpacing/>
    </w:pPr>
    <w:rPr>
      <w:rFonts w:ascii="Times New Roman" w:hAnsi="Times New Roman" w:eastAsia="Times New Roman" w:cs="Times New Roman"/>
      <w:sz w:val="22"/>
      <w:szCs w:val="22"/>
      <w:lang w:val="en-GB"/>
    </w:rPr>
  </w:style>
  <w:style w:type="paragraph" w:styleId="Default">
    <w:name w:val="Default"/>
    <w:qFormat/>
    <w:pPr>
      <w:widowControl/>
      <w:autoSpaceDE w:val="false"/>
      <w:bidi w:val="0"/>
      <w:spacing w:lineRule="auto" w:line="276" w:before="0" w:after="200"/>
    </w:pPr>
    <w:rPr>
      <w:rFonts w:ascii="Garamond" w:hAnsi="Garamond" w:eastAsia="Times New Roman" w:cs="Garamond"/>
      <w:color w:val="000000"/>
      <w:sz w:val="24"/>
      <w:szCs w:val="24"/>
      <w:lang w:val="en-US" w:bidi="en-US" w:eastAsia="zh-CN"/>
    </w:rPr>
  </w:style>
  <w:style w:type="paragraph" w:styleId="BodyTextIndent">
    <w:name w:val="Body Text Indent"/>
    <w:basedOn w:val="Normal"/>
    <w:pPr>
      <w:spacing w:before="0" w:after="120"/>
      <w:ind w:hanging="0" w:left="283" w:right="0"/>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spacing w:lineRule="auto" w:line="240" w:before="0" w:after="0"/>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ailii.org/eu/cases/ECHR/2008/1581.html" TargetMode="External"/><Relationship Id="rId3" Type="http://schemas.openxmlformats.org/officeDocument/2006/relationships/hyperlink" Target="http://webarchive.nationalarchives.gov.uk/20100526084809/http://programmeforgovernment.hmg.gov.uk" TargetMode="External"/><Relationship Id="rId4" Type="http://schemas.openxmlformats.org/officeDocument/2006/relationships/hyperlink" Target="https://www.gov.uk/government/uploads/system/uploads/attachment_data/file/206086/consultation-response.pdf" TargetMode="External"/><Relationship Id="rId5" Type="http://schemas.openxmlformats.org/officeDocument/2006/relationships/hyperlink" Target="mailto:counterterrorismlegislation@homeoffice.x.gsi.gov.uk"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2014-02-03T14:12:00Z</dcterms:created>
  <dc:creator>antwibu</dc:creator>
  <dc:description/>
  <cp:keywords/>
  <dc:language>en-GB</dc:language>
  <cp:lastModifiedBy>Authorised User</cp:lastModifiedBy>
  <dcterms:modified xsi:type="dcterms:W3CDTF">2014-02-03T14:12:00Z</dcterms:modified>
  <cp:revision>2</cp:revision>
  <dc:subject/>
  <dc:title/>
</cp:coreProperties>
</file>