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118"/>
        <w:gridCol w:w="4098"/>
      </w:tblGrid>
      <w:tr w:rsidR="00B50649" w:rsidTr="003208C1">
        <w:trPr>
          <w:trHeight w:hRule="exact" w:val="2425"/>
        </w:trPr>
        <w:tc>
          <w:tcPr>
            <w:tcW w:w="6118" w:type="dxa"/>
            <w:tcBorders>
              <w:top w:val="single" w:sz="4" w:space="0" w:color="auto"/>
              <w:bottom w:val="single" w:sz="4" w:space="0" w:color="auto"/>
            </w:tcBorders>
            <w:shd w:val="clear" w:color="auto" w:fill="auto"/>
          </w:tcPr>
          <w:p w:rsidR="00463490" w:rsidRDefault="00495404" w:rsidP="007E190E">
            <w:pPr>
              <w:pStyle w:val="IAHeadLabel0"/>
              <w:spacing w:before="50"/>
              <w:ind w:left="113"/>
            </w:pPr>
            <w:r w:rsidRPr="003E0510">
              <w:t>Title</w:t>
            </w:r>
            <w:r w:rsidR="00463490">
              <w:t>:</w:t>
            </w:r>
          </w:p>
          <w:bookmarkStart w:id="0" w:name="IATitle"/>
          <w:p w:rsidR="007F0ED9" w:rsidRPr="00102870" w:rsidRDefault="004C1BBB" w:rsidP="005F32E7">
            <w:pPr>
              <w:pStyle w:val="IATitle"/>
            </w:pPr>
            <w:r w:rsidRPr="00102870">
              <w:fldChar w:fldCharType="begin">
                <w:ffData>
                  <w:name w:val="IATitle"/>
                  <w:enabled/>
                  <w:calcOnExit w:val="0"/>
                  <w:textInput>
                    <w:maxLength w:val="800"/>
                  </w:textInput>
                </w:ffData>
              </w:fldChar>
            </w:r>
            <w:r w:rsidRPr="005F32E7">
              <w:instrText xml:space="preserve"> FORMTEXT </w:instrText>
            </w:r>
            <w:r w:rsidRPr="00102870">
              <w:fldChar w:fldCharType="separate"/>
            </w:r>
            <w:r w:rsidR="008D6D38">
              <w:t xml:space="preserve">The </w:t>
            </w:r>
            <w:r w:rsidR="004C0392" w:rsidRPr="004C0392">
              <w:rPr>
                <w:rFonts w:eastAsia="Arial Unicode MS"/>
              </w:rPr>
              <w:t>C</w:t>
            </w:r>
            <w:r w:rsidR="0027723E">
              <w:rPr>
                <w:rFonts w:eastAsia="Arial Unicode MS"/>
              </w:rPr>
              <w:t xml:space="preserve">are </w:t>
            </w:r>
            <w:r w:rsidR="004C0392" w:rsidRPr="004C0392">
              <w:rPr>
                <w:rFonts w:eastAsia="Arial Unicode MS"/>
              </w:rPr>
              <w:t>Q</w:t>
            </w:r>
            <w:r w:rsidR="0027723E">
              <w:rPr>
                <w:rFonts w:eastAsia="Arial Unicode MS"/>
              </w:rPr>
              <w:t xml:space="preserve">uality </w:t>
            </w:r>
            <w:r w:rsidR="004C0392" w:rsidRPr="004C0392">
              <w:rPr>
                <w:rFonts w:eastAsia="Arial Unicode MS"/>
              </w:rPr>
              <w:t>C</w:t>
            </w:r>
            <w:r w:rsidR="0027723E">
              <w:rPr>
                <w:rFonts w:eastAsia="Arial Unicode MS"/>
              </w:rPr>
              <w:t>ommission</w:t>
            </w:r>
            <w:r w:rsidR="008D6D38">
              <w:rPr>
                <w:rFonts w:eastAsia="Arial Unicode MS"/>
              </w:rPr>
              <w:t>'s</w:t>
            </w:r>
            <w:r w:rsidR="004C0392" w:rsidRPr="004C0392">
              <w:rPr>
                <w:rFonts w:eastAsia="Arial Unicode MS"/>
              </w:rPr>
              <w:t xml:space="preserve"> Fee Raising Powers</w:t>
            </w:r>
            <w:r w:rsidRPr="00102870">
              <w:fldChar w:fldCharType="end"/>
            </w:r>
            <w:bookmarkEnd w:id="0"/>
          </w:p>
          <w:p w:rsidR="00E14792" w:rsidRPr="008031EC" w:rsidRDefault="00D50283" w:rsidP="007E190E">
            <w:pPr>
              <w:pStyle w:val="IAHeadTitle"/>
              <w:ind w:left="113"/>
              <w:rPr>
                <w:rStyle w:val="IANoChar"/>
              </w:rPr>
            </w:pPr>
            <w:r w:rsidRPr="007E190E">
              <w:rPr>
                <w:sz w:val="20"/>
                <w:szCs w:val="20"/>
              </w:rPr>
              <w:t xml:space="preserve">IA No: </w:t>
            </w:r>
            <w:bookmarkStart w:id="1" w:name="IANo"/>
            <w:r w:rsidR="00290335" w:rsidRPr="007E190E">
              <w:rPr>
                <w:rStyle w:val="IANoChar"/>
                <w:rFonts w:cs="Arial"/>
                <w:sz w:val="20"/>
                <w:szCs w:val="20"/>
              </w:rPr>
              <w:fldChar w:fldCharType="begin">
                <w:ffData>
                  <w:name w:val="IANo"/>
                  <w:enabled/>
                  <w:calcOnExit w:val="0"/>
                  <w:textInput>
                    <w:maxLength w:val="20"/>
                  </w:textInput>
                </w:ffData>
              </w:fldChar>
            </w:r>
            <w:r w:rsidR="00290335" w:rsidRPr="007E190E">
              <w:rPr>
                <w:rStyle w:val="IANoChar"/>
                <w:rFonts w:cs="Arial"/>
                <w:sz w:val="20"/>
                <w:szCs w:val="20"/>
              </w:rPr>
              <w:instrText xml:space="preserve"> FORMTEXT </w:instrText>
            </w:r>
            <w:r w:rsidR="00290335" w:rsidRPr="007E190E">
              <w:rPr>
                <w:rStyle w:val="IANoChar"/>
                <w:rFonts w:cs="Arial"/>
                <w:sz w:val="20"/>
                <w:szCs w:val="20"/>
              </w:rPr>
            </w:r>
            <w:r w:rsidR="00290335" w:rsidRPr="007E190E">
              <w:rPr>
                <w:rStyle w:val="IANoChar"/>
                <w:rFonts w:cs="Arial"/>
                <w:sz w:val="20"/>
                <w:szCs w:val="20"/>
              </w:rPr>
              <w:fldChar w:fldCharType="separate"/>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fldChar w:fldCharType="end"/>
            </w:r>
            <w:bookmarkEnd w:id="1"/>
          </w:p>
          <w:p w:rsidR="00495404" w:rsidRDefault="00495404" w:rsidP="007E190E">
            <w:pPr>
              <w:pStyle w:val="IAHeadLabel"/>
              <w:ind w:left="113"/>
            </w:pPr>
            <w:r w:rsidRPr="003E0510">
              <w:t>Lead department or agency</w:t>
            </w:r>
            <w:r>
              <w:t>:</w:t>
            </w:r>
          </w:p>
          <w:bookmarkStart w:id="2" w:name="IALeadDept"/>
          <w:p w:rsidR="001D5EC9" w:rsidRPr="005F32E7" w:rsidRDefault="00290335" w:rsidP="005F32E7">
            <w:pPr>
              <w:pStyle w:val="IALeadDept"/>
            </w:pPr>
            <w:r w:rsidRPr="005F32E7">
              <w:fldChar w:fldCharType="begin">
                <w:ffData>
                  <w:name w:val="IALeadDept"/>
                  <w:enabled/>
                  <w:calcOnExit w:val="0"/>
                  <w:textInput>
                    <w:maxLength w:val="100"/>
                  </w:textInput>
                </w:ffData>
              </w:fldChar>
            </w:r>
            <w:r w:rsidRPr="005F32E7">
              <w:instrText xml:space="preserve"> FORMTEXT </w:instrText>
            </w:r>
            <w:r w:rsidRPr="005F32E7">
              <w:fldChar w:fldCharType="separate"/>
            </w:r>
            <w:r w:rsidR="004C0392" w:rsidRPr="004C0392">
              <w:t>Department of Health</w:t>
            </w:r>
            <w:r w:rsidRPr="005F32E7">
              <w:fldChar w:fldCharType="end"/>
            </w:r>
            <w:bookmarkEnd w:id="2"/>
          </w:p>
          <w:p w:rsidR="00DF2F4B" w:rsidRDefault="00495404" w:rsidP="007E190E">
            <w:pPr>
              <w:pStyle w:val="IATableLabel"/>
              <w:spacing w:after="0"/>
            </w:pPr>
            <w:r w:rsidRPr="003E0510">
              <w:t>Other dep</w:t>
            </w:r>
            <w:r w:rsidRPr="00E217A2">
              <w:t>a</w:t>
            </w:r>
            <w:r w:rsidRPr="003E0510">
              <w:t>rtments or agencies:</w:t>
            </w:r>
            <w:r w:rsidR="00DF2F4B">
              <w:t xml:space="preserve"> </w:t>
            </w:r>
          </w:p>
          <w:bookmarkStart w:id="3" w:name="IAOtherDepts"/>
          <w:p w:rsidR="00B93466" w:rsidRDefault="000239A7" w:rsidP="0027723E">
            <w:pPr>
              <w:pStyle w:val="IAOtherDepts"/>
            </w:pPr>
            <w:r>
              <w:fldChar w:fldCharType="begin">
                <w:ffData>
                  <w:name w:val="IAOtherDepts"/>
                  <w:enabled/>
                  <w:calcOnExit w:val="0"/>
                  <w:textInput>
                    <w:maxLength w:val="200"/>
                  </w:textInput>
                </w:ffData>
              </w:fldChar>
            </w:r>
            <w:r>
              <w:instrText xml:space="preserve"> FORMTEXT </w:instrText>
            </w:r>
            <w:r>
              <w:fldChar w:fldCharType="separate"/>
            </w:r>
            <w:r w:rsidR="0027723E">
              <w:t xml:space="preserve">The </w:t>
            </w:r>
            <w:r w:rsidR="004C0392" w:rsidRPr="004C0392">
              <w:rPr>
                <w:noProof/>
              </w:rPr>
              <w:t>C</w:t>
            </w:r>
            <w:r w:rsidR="0027723E">
              <w:rPr>
                <w:noProof/>
              </w:rPr>
              <w:t xml:space="preserve">are </w:t>
            </w:r>
            <w:r w:rsidR="004C0392" w:rsidRPr="004C0392">
              <w:rPr>
                <w:noProof/>
              </w:rPr>
              <w:t>Q</w:t>
            </w:r>
            <w:r w:rsidR="0027723E">
              <w:rPr>
                <w:noProof/>
              </w:rPr>
              <w:t xml:space="preserve">uality </w:t>
            </w:r>
            <w:r w:rsidR="004C0392" w:rsidRPr="004C0392">
              <w:rPr>
                <w:noProof/>
              </w:rPr>
              <w:t>C</w:t>
            </w:r>
            <w:r w:rsidR="0027723E">
              <w:rPr>
                <w:noProof/>
              </w:rPr>
              <w:t>ommission</w:t>
            </w:r>
            <w:r>
              <w:fldChar w:fldCharType="end"/>
            </w:r>
            <w:bookmarkEnd w:id="3"/>
          </w:p>
        </w:tc>
        <w:tc>
          <w:tcPr>
            <w:tcW w:w="4098" w:type="dxa"/>
            <w:tcBorders>
              <w:top w:val="single" w:sz="4" w:space="0" w:color="auto"/>
              <w:bottom w:val="single" w:sz="4" w:space="0" w:color="auto"/>
            </w:tcBorders>
            <w:shd w:val="clear" w:color="auto" w:fill="auto"/>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088"/>
            </w:tblGrid>
            <w:tr w:rsidR="00B50649" w:rsidRPr="00383295" w:rsidTr="007E190E">
              <w:trPr>
                <w:trHeight w:hRule="exact" w:val="539"/>
              </w:trPr>
              <w:tc>
                <w:tcPr>
                  <w:tcW w:w="4088" w:type="dxa"/>
                  <w:shd w:val="clear" w:color="auto" w:fill="333333"/>
                  <w:vAlign w:val="center"/>
                </w:tcPr>
                <w:p w:rsidR="00B50649" w:rsidRPr="00383295" w:rsidRDefault="00B50649" w:rsidP="00E90731">
                  <w:pPr>
                    <w:pStyle w:val="Title"/>
                  </w:pPr>
                  <w:r w:rsidRPr="00383295">
                    <w:t>Impact Assessment (IA)</w:t>
                  </w:r>
                </w:p>
              </w:tc>
            </w:tr>
            <w:tr w:rsidR="00B50649" w:rsidRPr="00966271" w:rsidTr="007E190E">
              <w:tc>
                <w:tcPr>
                  <w:tcW w:w="4088" w:type="dxa"/>
                  <w:shd w:val="clear" w:color="auto" w:fill="auto"/>
                </w:tcPr>
                <w:p w:rsidR="001F69E9" w:rsidRPr="00631B4C" w:rsidRDefault="00B50649" w:rsidP="006B02A6">
                  <w:pPr>
                    <w:pStyle w:val="IATableLabel"/>
                  </w:pPr>
                  <w:r w:rsidRPr="00631B4C">
                    <w:t>Date:</w:t>
                  </w:r>
                  <w:r w:rsidR="0071686F">
                    <w:t xml:space="preserve"> </w:t>
                  </w:r>
                  <w:bookmarkStart w:id="4" w:name="IADate"/>
                  <w:r w:rsidR="001F5423" w:rsidRPr="007E190E">
                    <w:rPr>
                      <w:rStyle w:val="IADateChar"/>
                      <w:sz w:val="20"/>
                      <w:szCs w:val="20"/>
                    </w:rPr>
                    <w:fldChar w:fldCharType="begin">
                      <w:ffData>
                        <w:name w:val="IADate"/>
                        <w:enabled/>
                        <w:calcOnExit w:val="0"/>
                        <w:textInput>
                          <w:type w:val="date"/>
                          <w:default w:val="01/01/2011"/>
                          <w:format w:val="DD/MM/YYYY"/>
                        </w:textInput>
                      </w:ffData>
                    </w:fldChar>
                  </w:r>
                  <w:r w:rsidR="001F5423" w:rsidRPr="007E190E">
                    <w:rPr>
                      <w:rStyle w:val="IADateChar"/>
                      <w:sz w:val="20"/>
                      <w:szCs w:val="20"/>
                    </w:rPr>
                    <w:instrText xml:space="preserve"> FORMTEXT </w:instrText>
                  </w:r>
                  <w:r w:rsidR="001F5423" w:rsidRPr="007E190E">
                    <w:rPr>
                      <w:rStyle w:val="IADateChar"/>
                      <w:sz w:val="20"/>
                      <w:szCs w:val="20"/>
                    </w:rPr>
                  </w:r>
                  <w:r w:rsidR="001F5423" w:rsidRPr="007E190E">
                    <w:rPr>
                      <w:rStyle w:val="IADateChar"/>
                      <w:sz w:val="20"/>
                      <w:szCs w:val="20"/>
                    </w:rPr>
                    <w:fldChar w:fldCharType="separate"/>
                  </w:r>
                  <w:r w:rsidR="00ED1A5E">
                    <w:rPr>
                      <w:rStyle w:val="IADateChar"/>
                      <w:sz w:val="20"/>
                      <w:szCs w:val="20"/>
                    </w:rPr>
                    <w:t>2</w:t>
                  </w:r>
                  <w:r w:rsidR="006B02A6">
                    <w:rPr>
                      <w:rStyle w:val="IADateChar"/>
                      <w:sz w:val="20"/>
                      <w:szCs w:val="20"/>
                    </w:rPr>
                    <w:t>6</w:t>
                  </w:r>
                  <w:r w:rsidR="001F5423" w:rsidRPr="007E190E">
                    <w:rPr>
                      <w:rStyle w:val="IADateChar"/>
                      <w:sz w:val="20"/>
                      <w:szCs w:val="20"/>
                    </w:rPr>
                    <w:t>/</w:t>
                  </w:r>
                  <w:r w:rsidR="00ED1A5E">
                    <w:rPr>
                      <w:rStyle w:val="IADateChar"/>
                      <w:sz w:val="20"/>
                      <w:szCs w:val="20"/>
                    </w:rPr>
                    <w:t>0</w:t>
                  </w:r>
                  <w:r w:rsidR="004C0392">
                    <w:rPr>
                      <w:rStyle w:val="IADateChar"/>
                      <w:sz w:val="20"/>
                      <w:szCs w:val="20"/>
                    </w:rPr>
                    <w:t>2</w:t>
                  </w:r>
                  <w:r w:rsidR="001F5423" w:rsidRPr="007E190E">
                    <w:rPr>
                      <w:rStyle w:val="IADateChar"/>
                      <w:sz w:val="20"/>
                      <w:szCs w:val="20"/>
                    </w:rPr>
                    <w:t>/20</w:t>
                  </w:r>
                  <w:r w:rsidR="004C0392">
                    <w:rPr>
                      <w:rStyle w:val="IADateChar"/>
                      <w:sz w:val="20"/>
                      <w:szCs w:val="20"/>
                    </w:rPr>
                    <w:t>1</w:t>
                  </w:r>
                  <w:r w:rsidR="00ED1A5E">
                    <w:rPr>
                      <w:rStyle w:val="IADateChar"/>
                      <w:sz w:val="20"/>
                      <w:szCs w:val="20"/>
                    </w:rPr>
                    <w:t>6</w:t>
                  </w:r>
                  <w:r w:rsidR="001F5423" w:rsidRPr="007E190E">
                    <w:rPr>
                      <w:rStyle w:val="IADateChar"/>
                      <w:sz w:val="20"/>
                      <w:szCs w:val="20"/>
                    </w:rPr>
                    <w:fldChar w:fldCharType="end"/>
                  </w:r>
                  <w:bookmarkEnd w:id="4"/>
                  <w:r w:rsidR="00AA2D2A">
                    <w:rPr>
                      <w:rStyle w:val="IADateChar"/>
                      <w:sz w:val="20"/>
                      <w:szCs w:val="20"/>
                    </w:rPr>
                    <w:t xml:space="preserve"> </w:t>
                  </w:r>
                </w:p>
              </w:tc>
            </w:tr>
            <w:tr w:rsidR="00B50649" w:rsidRPr="00966271" w:rsidTr="007E190E">
              <w:tc>
                <w:tcPr>
                  <w:tcW w:w="4088" w:type="dxa"/>
                  <w:shd w:val="clear" w:color="auto" w:fill="auto"/>
                </w:tcPr>
                <w:p w:rsidR="00B50649" w:rsidRPr="007F0ED9" w:rsidRDefault="00941D69" w:rsidP="00E90731">
                  <w:pPr>
                    <w:pStyle w:val="IATableLabel"/>
                  </w:pPr>
                  <w:bookmarkStart w:id="5" w:name="Stage"/>
                  <w:r w:rsidRPr="007F0ED9">
                    <w:t xml:space="preserve">Stage: </w:t>
                  </w:r>
                  <w:r w:rsidRPr="007E190E">
                    <w:rPr>
                      <w:rStyle w:val="IAStageChar"/>
                      <w:sz w:val="20"/>
                    </w:rPr>
                    <w:fldChar w:fldCharType="begin"/>
                  </w:r>
                  <w:r w:rsidRPr="007E190E">
                    <w:rPr>
                      <w:rStyle w:val="IAStageChar"/>
                      <w:sz w:val="20"/>
                    </w:rPr>
                    <w:instrText xml:space="preserve"> DOCPROPERTY  Stage </w:instrText>
                  </w:r>
                  <w:r w:rsidRPr="007E190E">
                    <w:rPr>
                      <w:rStyle w:val="IAStageChar"/>
                      <w:sz w:val="20"/>
                    </w:rPr>
                    <w:fldChar w:fldCharType="separate"/>
                  </w:r>
                  <w:r w:rsidR="00947C54">
                    <w:rPr>
                      <w:rStyle w:val="IAStageChar"/>
                      <w:sz w:val="20"/>
                    </w:rPr>
                    <w:t>Final</w:t>
                  </w:r>
                  <w:r w:rsidRPr="007E190E">
                    <w:rPr>
                      <w:rStyle w:val="IAStageChar"/>
                      <w:sz w:val="20"/>
                    </w:rPr>
                    <w:fldChar w:fldCharType="end"/>
                  </w:r>
                  <w:bookmarkEnd w:id="5"/>
                </w:p>
              </w:tc>
            </w:tr>
            <w:tr w:rsidR="00B50649" w:rsidRPr="00966271" w:rsidTr="007E190E">
              <w:tc>
                <w:tcPr>
                  <w:tcW w:w="4088" w:type="dxa"/>
                  <w:shd w:val="clear" w:color="auto" w:fill="auto"/>
                </w:tcPr>
                <w:p w:rsidR="00B50649" w:rsidRPr="007F0ED9" w:rsidRDefault="0071686F" w:rsidP="00E90731">
                  <w:pPr>
                    <w:pStyle w:val="IATableLabel"/>
                  </w:pPr>
                  <w:r w:rsidRPr="007F0ED9">
                    <w:t xml:space="preserve">Source </w:t>
                  </w:r>
                  <w:r w:rsidR="006A56C1" w:rsidRPr="007F0ED9">
                    <w:t xml:space="preserve">of </w:t>
                  </w:r>
                  <w:r w:rsidRPr="007F0ED9">
                    <w:t>intervention:</w:t>
                  </w:r>
                  <w:r w:rsidR="00B50649" w:rsidRPr="007F0ED9">
                    <w:t xml:space="preserve"> </w:t>
                  </w:r>
                  <w:bookmarkStart w:id="6" w:name="IAInterSource"/>
                  <w:r w:rsidR="00290335" w:rsidRPr="007E190E">
                    <w:rPr>
                      <w:rStyle w:val="IASOIChar"/>
                      <w:sz w:val="20"/>
                    </w:rPr>
                    <w:fldChar w:fldCharType="begin">
                      <w:ffData>
                        <w:name w:val="IAInterSource"/>
                        <w:enabled/>
                        <w:calcOnExit w:val="0"/>
                        <w:ddList>
                          <w:listEntry w:val="Domestic"/>
                          <w:listEntry w:val="EU"/>
                          <w:listEntry w:val="International"/>
                        </w:ddList>
                      </w:ffData>
                    </w:fldChar>
                  </w:r>
                  <w:r w:rsidR="00290335" w:rsidRPr="007E190E">
                    <w:rPr>
                      <w:rStyle w:val="IASOIChar"/>
                      <w:sz w:val="20"/>
                    </w:rPr>
                    <w:instrText xml:space="preserve"> FORMDROPDOWN </w:instrText>
                  </w:r>
                  <w:r w:rsidR="00994590">
                    <w:rPr>
                      <w:rStyle w:val="IASOIChar"/>
                      <w:sz w:val="20"/>
                    </w:rPr>
                  </w:r>
                  <w:r w:rsidR="00994590">
                    <w:rPr>
                      <w:rStyle w:val="IASOIChar"/>
                      <w:sz w:val="20"/>
                    </w:rPr>
                    <w:fldChar w:fldCharType="separate"/>
                  </w:r>
                  <w:r w:rsidR="00290335" w:rsidRPr="007E190E">
                    <w:rPr>
                      <w:rStyle w:val="IASOIChar"/>
                      <w:sz w:val="20"/>
                    </w:rPr>
                    <w:fldChar w:fldCharType="end"/>
                  </w:r>
                  <w:bookmarkEnd w:id="6"/>
                </w:p>
              </w:tc>
            </w:tr>
            <w:tr w:rsidR="00052F44" w:rsidRPr="007E190E" w:rsidTr="007E190E">
              <w:tc>
                <w:tcPr>
                  <w:tcW w:w="4088" w:type="dxa"/>
                  <w:shd w:val="clear" w:color="auto" w:fill="auto"/>
                </w:tcPr>
                <w:p w:rsidR="00052F44" w:rsidRPr="007E190E" w:rsidRDefault="00052F44" w:rsidP="00E90731">
                  <w:pPr>
                    <w:pStyle w:val="IATableLabel"/>
                    <w:rPr>
                      <w:b w:val="0"/>
                    </w:rPr>
                  </w:pPr>
                  <w:r w:rsidRPr="007F0ED9">
                    <w:t xml:space="preserve">Type of measure: </w:t>
                  </w:r>
                  <w:bookmarkStart w:id="7" w:name="IAMeasureType"/>
                  <w:r w:rsidR="00290335" w:rsidRPr="007E190E">
                    <w:rPr>
                      <w:rStyle w:val="IATOMChar"/>
                      <w:sz w:val="20"/>
                    </w:rPr>
                    <w:fldChar w:fldCharType="begin">
                      <w:ffData>
                        <w:name w:val="IAMeasureType"/>
                        <w:enabled/>
                        <w:calcOnExit w:val="0"/>
                        <w:ddList>
                          <w:result w:val="1"/>
                          <w:listEntry w:val="Primary legislation"/>
                          <w:listEntry w:val="Secondary legislation"/>
                          <w:listEntry w:val="Other"/>
                        </w:ddList>
                      </w:ffData>
                    </w:fldChar>
                  </w:r>
                  <w:r w:rsidR="00290335" w:rsidRPr="007E190E">
                    <w:rPr>
                      <w:rStyle w:val="IATOMChar"/>
                      <w:sz w:val="20"/>
                    </w:rPr>
                    <w:instrText xml:space="preserve"> FORMDROPDOWN </w:instrText>
                  </w:r>
                  <w:r w:rsidR="00994590">
                    <w:rPr>
                      <w:rStyle w:val="IATOMChar"/>
                      <w:sz w:val="20"/>
                    </w:rPr>
                  </w:r>
                  <w:r w:rsidR="00994590">
                    <w:rPr>
                      <w:rStyle w:val="IATOMChar"/>
                      <w:sz w:val="20"/>
                    </w:rPr>
                    <w:fldChar w:fldCharType="separate"/>
                  </w:r>
                  <w:r w:rsidR="00290335" w:rsidRPr="007E190E">
                    <w:rPr>
                      <w:rStyle w:val="IATOMChar"/>
                      <w:sz w:val="20"/>
                    </w:rPr>
                    <w:fldChar w:fldCharType="end"/>
                  </w:r>
                  <w:bookmarkEnd w:id="7"/>
                </w:p>
              </w:tc>
            </w:tr>
            <w:tr w:rsidR="00B50649" w:rsidRPr="007E190E" w:rsidTr="007E190E">
              <w:trPr>
                <w:trHeight w:val="1115"/>
              </w:trPr>
              <w:tc>
                <w:tcPr>
                  <w:tcW w:w="4088" w:type="dxa"/>
                  <w:shd w:val="clear" w:color="auto" w:fill="auto"/>
                </w:tcPr>
                <w:p w:rsidR="00023080" w:rsidRPr="000F004E" w:rsidRDefault="00773719" w:rsidP="004C0392">
                  <w:pPr>
                    <w:ind w:left="113" w:right="113"/>
                  </w:pPr>
                  <w:r w:rsidRPr="007E190E">
                    <w:rPr>
                      <w:rStyle w:val="IATableLabelCharChar"/>
                      <w:sz w:val="20"/>
                      <w:szCs w:val="20"/>
                    </w:rPr>
                    <w:t>Contact for enquiries:</w:t>
                  </w:r>
                  <w:r w:rsidRPr="00D337D1">
                    <w:t xml:space="preserve"> </w:t>
                  </w:r>
                  <w:bookmarkStart w:id="8" w:name="IAEnquiryContacts"/>
                  <w:r w:rsidRPr="007E190E">
                    <w:rPr>
                      <w:rStyle w:val="IACOEChar"/>
                      <w:b w:val="0"/>
                      <w:sz w:val="20"/>
                    </w:rPr>
                    <w:fldChar w:fldCharType="begin">
                      <w:ffData>
                        <w:name w:val="IAEnquiryContacts"/>
                        <w:enabled/>
                        <w:calcOnExit w:val="0"/>
                        <w:textInput>
                          <w:maxLength w:val="200"/>
                        </w:textInput>
                      </w:ffData>
                    </w:fldChar>
                  </w:r>
                  <w:r w:rsidRPr="007E190E">
                    <w:rPr>
                      <w:rStyle w:val="IACOEChar"/>
                      <w:b w:val="0"/>
                      <w:sz w:val="20"/>
                    </w:rPr>
                    <w:instrText xml:space="preserve"> FORMTEXT </w:instrText>
                  </w:r>
                  <w:r w:rsidRPr="007E190E">
                    <w:rPr>
                      <w:rStyle w:val="IACOEChar"/>
                      <w:b w:val="0"/>
                      <w:sz w:val="20"/>
                    </w:rPr>
                  </w:r>
                  <w:r w:rsidRPr="007E190E">
                    <w:rPr>
                      <w:rStyle w:val="IACOEChar"/>
                      <w:b w:val="0"/>
                      <w:sz w:val="20"/>
                    </w:rPr>
                    <w:fldChar w:fldCharType="separate"/>
                  </w:r>
                  <w:r w:rsidR="004C0392" w:rsidRPr="004C0392">
                    <w:rPr>
                      <w:rStyle w:val="IACOEChar"/>
                      <w:b w:val="0"/>
                      <w:sz w:val="20"/>
                    </w:rPr>
                    <w:t xml:space="preserve">Alex Joiner </w:t>
                  </w:r>
                  <w:r w:rsidRPr="007E190E">
                    <w:rPr>
                      <w:rStyle w:val="IACOEChar"/>
                      <w:b w:val="0"/>
                      <w:sz w:val="20"/>
                    </w:rPr>
                    <w:fldChar w:fldCharType="end"/>
                  </w:r>
                  <w:bookmarkEnd w:id="8"/>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r w:rsidR="000C1D45" w:rsidRPr="007E190E" w:rsidTr="007E190E">
              <w:trPr>
                <w:trHeight w:val="1115"/>
              </w:trPr>
              <w:tc>
                <w:tcPr>
                  <w:tcW w:w="4088" w:type="dxa"/>
                  <w:shd w:val="clear" w:color="auto" w:fill="auto"/>
                </w:tcPr>
                <w:p w:rsidR="000C1D45" w:rsidRPr="007E190E" w:rsidRDefault="000C1D45" w:rsidP="00A32793">
                  <w:pPr>
                    <w:pStyle w:val="IATableLines"/>
                    <w:rPr>
                      <w:b/>
                      <w:color w:val="000000"/>
                      <w:sz w:val="20"/>
                    </w:rPr>
                  </w:pPr>
                </w:p>
              </w:tc>
            </w:tr>
          </w:tbl>
          <w:p w:rsidR="00B50649" w:rsidRPr="007E190E" w:rsidRDefault="00B50649">
            <w:pPr>
              <w:rPr>
                <w:rFonts w:eastAsia="SimSun"/>
              </w:rPr>
            </w:pPr>
          </w:p>
        </w:tc>
      </w:tr>
      <w:tr w:rsidR="000C1D45" w:rsidRPr="007E190E" w:rsidTr="007E190E">
        <w:trPr>
          <w:trHeight w:hRule="exact" w:val="410"/>
        </w:trPr>
        <w:tc>
          <w:tcPr>
            <w:tcW w:w="6118" w:type="dxa"/>
            <w:tcBorders>
              <w:top w:val="single" w:sz="4" w:space="0" w:color="auto"/>
              <w:left w:val="nil"/>
              <w:bottom w:val="single" w:sz="4" w:space="0" w:color="auto"/>
              <w:right w:val="single" w:sz="4" w:space="0" w:color="auto"/>
            </w:tcBorders>
            <w:shd w:val="clear" w:color="auto" w:fill="auto"/>
          </w:tcPr>
          <w:p w:rsidR="000C1D45" w:rsidRPr="007E190E" w:rsidRDefault="000C1D45" w:rsidP="007E190E">
            <w:pPr>
              <w:pStyle w:val="Heading1"/>
              <w:spacing w:before="60"/>
              <w:rPr>
                <w:rFonts w:eastAsia="SimSun" w:hint="eastAsia"/>
                <w:sz w:val="28"/>
                <w:szCs w:val="28"/>
              </w:rPr>
            </w:pPr>
            <w:r w:rsidRPr="007E190E">
              <w:rPr>
                <w:rFonts w:eastAsia="SimSun"/>
                <w:sz w:val="28"/>
                <w:szCs w:val="28"/>
              </w:rPr>
              <w:t xml:space="preserve">Summary: Intervention and Options </w:t>
            </w:r>
          </w:p>
          <w:p w:rsidR="000C1D45" w:rsidRPr="007E190E" w:rsidRDefault="000C1D45" w:rsidP="007E190E">
            <w:pPr>
              <w:pStyle w:val="IAHeadLabel0"/>
              <w:spacing w:before="50"/>
              <w:ind w:left="113"/>
              <w:rPr>
                <w:sz w:val="28"/>
                <w:szCs w:val="28"/>
              </w:rPr>
            </w:pPr>
          </w:p>
        </w:tc>
        <w:tc>
          <w:tcPr>
            <w:tcW w:w="4098" w:type="dxa"/>
            <w:tcBorders>
              <w:top w:val="single" w:sz="4" w:space="0" w:color="auto"/>
              <w:left w:val="single" w:sz="4" w:space="0" w:color="auto"/>
              <w:bottom w:val="single" w:sz="4" w:space="0" w:color="auto"/>
              <w:right w:val="single" w:sz="4" w:space="0" w:color="auto"/>
            </w:tcBorders>
            <w:shd w:val="clear" w:color="auto" w:fill="E0E0E0"/>
            <w:vAlign w:val="center"/>
          </w:tcPr>
          <w:p w:rsidR="000C1D45" w:rsidRPr="007E190E" w:rsidRDefault="000C1D45" w:rsidP="000C1D45">
            <w:pPr>
              <w:pStyle w:val="Title"/>
              <w:rPr>
                <w:rFonts w:eastAsia="SimSun"/>
                <w:b/>
                <w:color w:val="auto"/>
                <w:sz w:val="24"/>
                <w:szCs w:val="24"/>
              </w:rPr>
            </w:pPr>
            <w:r w:rsidRPr="007E190E">
              <w:rPr>
                <w:rFonts w:eastAsia="SimSun"/>
                <w:b/>
                <w:color w:val="auto"/>
                <w:sz w:val="24"/>
                <w:szCs w:val="24"/>
              </w:rPr>
              <w:t>RPC</w:t>
            </w:r>
            <w:r w:rsidR="00EC6B93" w:rsidRPr="007E190E">
              <w:rPr>
                <w:rFonts w:eastAsia="SimSun"/>
                <w:b/>
                <w:color w:val="auto"/>
                <w:sz w:val="24"/>
                <w:szCs w:val="24"/>
              </w:rPr>
              <w:t xml:space="preserve"> Opinion</w:t>
            </w:r>
            <w:r w:rsidRPr="007E190E">
              <w:rPr>
                <w:rFonts w:eastAsia="SimSun"/>
                <w:b/>
                <w:color w:val="auto"/>
                <w:sz w:val="24"/>
                <w:szCs w:val="24"/>
              </w:rPr>
              <w:t xml:space="preserve">: </w:t>
            </w:r>
            <w:bookmarkStart w:id="9" w:name="IARPC"/>
            <w:r w:rsidR="003228BF">
              <w:rPr>
                <w:rStyle w:val="IARPCChar"/>
              </w:rPr>
              <w:fldChar w:fldCharType="begin">
                <w:ffData>
                  <w:name w:val="IARPC"/>
                  <w:enabled/>
                  <w:calcOnExit w:val="0"/>
                  <w:ddList>
                    <w:result w:val="4"/>
                    <w:listEntry w:val="RPC Opinion Status"/>
                    <w:listEntry w:val="Awaiting Scrutiny"/>
                    <w:listEntry w:val="RED"/>
                    <w:listEntry w:val="AMBER"/>
                    <w:listEntry w:val="GREEN"/>
                    <w:listEntry w:val="EANCB Validated"/>
                    <w:listEntry w:val="Not Applicable"/>
                  </w:ddList>
                </w:ffData>
              </w:fldChar>
            </w:r>
            <w:r w:rsidR="003228BF">
              <w:rPr>
                <w:rStyle w:val="IARPCChar"/>
              </w:rPr>
              <w:instrText xml:space="preserve"> FORMDROPDOWN </w:instrText>
            </w:r>
            <w:r w:rsidR="00994590">
              <w:rPr>
                <w:rStyle w:val="IARPCChar"/>
              </w:rPr>
            </w:r>
            <w:r w:rsidR="00994590">
              <w:rPr>
                <w:rStyle w:val="IARPCChar"/>
              </w:rPr>
              <w:fldChar w:fldCharType="separate"/>
            </w:r>
            <w:r w:rsidR="003228BF">
              <w:rPr>
                <w:rStyle w:val="IARPCChar"/>
              </w:rPr>
              <w:fldChar w:fldCharType="end"/>
            </w:r>
            <w:bookmarkEnd w:id="9"/>
          </w:p>
        </w:tc>
      </w:tr>
      <w:tr w:rsidR="00372A69" w:rsidRPr="007E190E" w:rsidTr="007E190E">
        <w:trPr>
          <w:trHeight w:hRule="exact" w:val="90"/>
        </w:trPr>
        <w:tc>
          <w:tcPr>
            <w:tcW w:w="10216" w:type="dxa"/>
            <w:gridSpan w:val="2"/>
            <w:tcBorders>
              <w:top w:val="single" w:sz="4" w:space="0" w:color="auto"/>
              <w:left w:val="nil"/>
              <w:bottom w:val="nil"/>
              <w:right w:val="single" w:sz="4" w:space="0" w:color="auto"/>
            </w:tcBorders>
            <w:shd w:val="clear" w:color="auto" w:fill="auto"/>
          </w:tcPr>
          <w:p w:rsidR="00372A69" w:rsidRPr="007E190E" w:rsidRDefault="00372A69" w:rsidP="00372A69">
            <w:pPr>
              <w:rPr>
                <w:rFonts w:eastAsia="SimSun"/>
              </w:rPr>
            </w:pPr>
          </w:p>
        </w:tc>
      </w:tr>
    </w:tbl>
    <w:p w:rsidR="007E190E" w:rsidRPr="007E190E" w:rsidRDefault="007E190E" w:rsidP="007E190E">
      <w:pPr>
        <w:rPr>
          <w:vanish/>
        </w:rPr>
      </w:pPr>
      <w:bookmarkStart w:id="10" w:name="CostText"/>
    </w:p>
    <w:tbl>
      <w:tblPr>
        <w:tblW w:w="0" w:type="auto"/>
        <w:tblBorders>
          <w:top w:val="single" w:sz="4" w:space="0" w:color="auto"/>
          <w:left w:val="single" w:sz="4" w:space="0" w:color="auto"/>
          <w:bottom w:val="single" w:sz="4" w:space="0" w:color="auto"/>
          <w:right w:val="single" w:sz="4" w:space="0" w:color="auto"/>
        </w:tblBorders>
        <w:shd w:val="clear" w:color="auto" w:fill="E0E0E0"/>
        <w:tblLayout w:type="fixed"/>
        <w:tblCellMar>
          <w:left w:w="0" w:type="dxa"/>
          <w:right w:w="0" w:type="dxa"/>
        </w:tblCellMar>
        <w:tblLook w:val="01E0" w:firstRow="1" w:lastRow="1" w:firstColumn="1" w:lastColumn="1" w:noHBand="0" w:noVBand="0"/>
      </w:tblPr>
      <w:tblGrid>
        <w:gridCol w:w="1848"/>
        <w:gridCol w:w="1757"/>
        <w:gridCol w:w="2516"/>
        <w:gridCol w:w="1980"/>
        <w:gridCol w:w="2106"/>
      </w:tblGrid>
      <w:tr w:rsidR="00372A69" w:rsidRPr="000E02BE">
        <w:trPr>
          <w:trHeight w:hRule="exact" w:val="312"/>
        </w:trPr>
        <w:tc>
          <w:tcPr>
            <w:tcW w:w="10207" w:type="dxa"/>
            <w:gridSpan w:val="5"/>
            <w:tcBorders>
              <w:top w:val="single" w:sz="4" w:space="0" w:color="auto"/>
              <w:bottom w:val="nil"/>
              <w:right w:val="single" w:sz="4" w:space="0" w:color="auto"/>
            </w:tcBorders>
            <w:shd w:val="clear" w:color="auto" w:fill="E0E0E0"/>
          </w:tcPr>
          <w:p w:rsidR="00372A69" w:rsidRPr="000E02BE" w:rsidRDefault="00372A69" w:rsidP="006A0557">
            <w:pPr>
              <w:pStyle w:val="IATableLabel"/>
              <w:ind w:left="0"/>
              <w:jc w:val="center"/>
            </w:pPr>
            <w:r>
              <w:t>Cost of Preferred (or more likely) Option</w:t>
            </w:r>
            <w:bookmarkEnd w:id="10"/>
          </w:p>
        </w:tc>
      </w:tr>
      <w:tr w:rsidR="00372A69" w:rsidRPr="000E02BE" w:rsidTr="004C0392">
        <w:trPr>
          <w:trHeight w:hRule="exact" w:val="571"/>
        </w:trPr>
        <w:tc>
          <w:tcPr>
            <w:tcW w:w="1848" w:type="dxa"/>
            <w:tcBorders>
              <w:top w:val="single" w:sz="4" w:space="0" w:color="auto"/>
              <w:bottom w:val="nil"/>
              <w:right w:val="single" w:sz="4" w:space="0" w:color="auto"/>
            </w:tcBorders>
            <w:shd w:val="clear" w:color="auto" w:fill="E0E0E0"/>
            <w:vAlign w:val="center"/>
          </w:tcPr>
          <w:p w:rsidR="00372A69" w:rsidRPr="000E02BE" w:rsidRDefault="00372A69" w:rsidP="006A0557">
            <w:pPr>
              <w:pStyle w:val="IATableLabel"/>
              <w:spacing w:before="0" w:after="0"/>
            </w:pPr>
            <w:r>
              <w:t>Total Net Present Value</w:t>
            </w:r>
          </w:p>
        </w:tc>
        <w:tc>
          <w:tcPr>
            <w:tcW w:w="1757" w:type="dxa"/>
            <w:tcBorders>
              <w:top w:val="single" w:sz="4" w:space="0" w:color="auto"/>
              <w:bottom w:val="nil"/>
              <w:right w:val="single" w:sz="4" w:space="0" w:color="auto"/>
            </w:tcBorders>
            <w:shd w:val="clear" w:color="auto" w:fill="E0E0E0"/>
            <w:vAlign w:val="center"/>
          </w:tcPr>
          <w:p w:rsidR="00372A69" w:rsidRPr="000E02BE" w:rsidRDefault="00372A69" w:rsidP="006A0557">
            <w:pPr>
              <w:pStyle w:val="IATableLabel"/>
              <w:spacing w:before="0" w:after="0"/>
            </w:pPr>
            <w:r>
              <w:t>Business Net Present Value</w:t>
            </w:r>
          </w:p>
        </w:tc>
        <w:tc>
          <w:tcPr>
            <w:tcW w:w="2516" w:type="dxa"/>
            <w:tcBorders>
              <w:top w:val="single" w:sz="4" w:space="0" w:color="auto"/>
              <w:bottom w:val="nil"/>
              <w:right w:val="single" w:sz="4" w:space="0" w:color="auto"/>
            </w:tcBorders>
            <w:shd w:val="clear" w:color="auto" w:fill="E0E0E0"/>
            <w:vAlign w:val="center"/>
          </w:tcPr>
          <w:p w:rsidR="00372A69" w:rsidRPr="000E02BE" w:rsidRDefault="00372A69" w:rsidP="006A0557">
            <w:pPr>
              <w:pStyle w:val="IATableLabel"/>
              <w:spacing w:before="0" w:after="0"/>
            </w:pPr>
            <w:r>
              <w:t xml:space="preserve">Net cost </w:t>
            </w:r>
            <w:r w:rsidR="00332B05">
              <w:t xml:space="preserve">to business </w:t>
            </w:r>
            <w:r>
              <w:t>per year</w:t>
            </w:r>
            <w:r w:rsidR="006656EC">
              <w:t xml:space="preserve"> </w:t>
            </w:r>
            <w:r w:rsidR="006656EC" w:rsidRPr="006656EC">
              <w:rPr>
                <w:b w:val="0"/>
              </w:rPr>
              <w:t>(</w:t>
            </w:r>
            <w:r w:rsidR="00332B05" w:rsidRPr="00332B05">
              <w:rPr>
                <w:b w:val="0"/>
                <w:sz w:val="16"/>
                <w:szCs w:val="16"/>
              </w:rPr>
              <w:t>EANCB</w:t>
            </w:r>
            <w:r w:rsidR="00332B05">
              <w:rPr>
                <w:b w:val="0"/>
              </w:rPr>
              <w:t xml:space="preserve"> </w:t>
            </w:r>
            <w:r w:rsidR="006656EC" w:rsidRPr="006656EC">
              <w:rPr>
                <w:b w:val="0"/>
                <w:sz w:val="16"/>
                <w:szCs w:val="16"/>
              </w:rPr>
              <w:t xml:space="preserve">on 2009 </w:t>
            </w:r>
            <w:r w:rsidR="006656EC">
              <w:rPr>
                <w:b w:val="0"/>
                <w:sz w:val="16"/>
                <w:szCs w:val="16"/>
              </w:rPr>
              <w:t>prices</w:t>
            </w:r>
            <w:r w:rsidR="006656EC" w:rsidRPr="006656EC">
              <w:rPr>
                <w:b w:val="0"/>
                <w:sz w:val="16"/>
                <w:szCs w:val="16"/>
              </w:rPr>
              <w:t>)</w:t>
            </w:r>
          </w:p>
        </w:tc>
        <w:tc>
          <w:tcPr>
            <w:tcW w:w="1980" w:type="dxa"/>
            <w:tcBorders>
              <w:top w:val="single" w:sz="4" w:space="0" w:color="auto"/>
              <w:left w:val="single" w:sz="4" w:space="0" w:color="auto"/>
              <w:bottom w:val="nil"/>
              <w:right w:val="single" w:sz="4" w:space="0" w:color="auto"/>
            </w:tcBorders>
            <w:shd w:val="clear" w:color="auto" w:fill="E0E0E0"/>
            <w:vAlign w:val="center"/>
          </w:tcPr>
          <w:p w:rsidR="00372A69" w:rsidRPr="000E02BE" w:rsidRDefault="00372A69" w:rsidP="00ED1A5E">
            <w:pPr>
              <w:pStyle w:val="IATableLabel"/>
              <w:spacing w:before="0" w:after="0"/>
            </w:pPr>
            <w:r w:rsidRPr="000E02BE">
              <w:t xml:space="preserve">In scope of </w:t>
            </w:r>
            <w:r w:rsidR="00ED1A5E">
              <w:t>BIT</w:t>
            </w:r>
            <w:r w:rsidRPr="000E02BE">
              <w:t>?</w:t>
            </w:r>
          </w:p>
        </w:tc>
        <w:tc>
          <w:tcPr>
            <w:tcW w:w="2106" w:type="dxa"/>
            <w:tcBorders>
              <w:top w:val="single" w:sz="4" w:space="0" w:color="auto"/>
              <w:left w:val="single" w:sz="4" w:space="0" w:color="auto"/>
              <w:bottom w:val="nil"/>
              <w:right w:val="single" w:sz="4" w:space="0" w:color="auto"/>
            </w:tcBorders>
            <w:shd w:val="clear" w:color="auto" w:fill="E0E0E0"/>
            <w:vAlign w:val="center"/>
          </w:tcPr>
          <w:p w:rsidR="00372A69" w:rsidRDefault="00372A69" w:rsidP="006A0557">
            <w:pPr>
              <w:pStyle w:val="IATableLabel"/>
              <w:spacing w:before="0" w:after="0"/>
              <w:ind w:left="0"/>
            </w:pPr>
            <w:r w:rsidRPr="000E02BE">
              <w:t>Measure qualifies as</w:t>
            </w:r>
          </w:p>
          <w:p w:rsidR="00463490" w:rsidRPr="000E02BE" w:rsidRDefault="00463490" w:rsidP="006A0557">
            <w:pPr>
              <w:pStyle w:val="IATableLabel"/>
              <w:spacing w:before="0" w:after="0"/>
              <w:ind w:left="0"/>
            </w:pPr>
          </w:p>
        </w:tc>
      </w:tr>
      <w:bookmarkStart w:id="11" w:name="IATNPV"/>
      <w:tr w:rsidR="00372A69" w:rsidRPr="0061761A" w:rsidTr="004C0392">
        <w:trPr>
          <w:trHeight w:hRule="exact" w:val="548"/>
        </w:trPr>
        <w:tc>
          <w:tcPr>
            <w:tcW w:w="1848" w:type="dxa"/>
            <w:tcBorders>
              <w:top w:val="nil"/>
              <w:bottom w:val="single" w:sz="4" w:space="0" w:color="auto"/>
              <w:right w:val="single" w:sz="4" w:space="0" w:color="auto"/>
            </w:tcBorders>
            <w:shd w:val="clear" w:color="auto" w:fill="E0E0E0"/>
            <w:vAlign w:val="center"/>
          </w:tcPr>
          <w:p w:rsidR="00372A69" w:rsidRPr="000E02BE" w:rsidRDefault="005A0B86" w:rsidP="008369A3">
            <w:pPr>
              <w:pStyle w:val="IAIIOTNPV"/>
            </w:pPr>
            <w:r w:rsidRPr="003208C1">
              <w:rPr>
                <w:sz w:val="20"/>
              </w:rPr>
              <w:fldChar w:fldCharType="begin">
                <w:ffData>
                  <w:name w:val="IATNPV"/>
                  <w:enabled/>
                  <w:calcOnExit w:val="0"/>
                  <w:textInput>
                    <w:default w:val="£m"/>
                    <w:maxLength w:val="9"/>
                  </w:textInput>
                </w:ffData>
              </w:fldChar>
            </w:r>
            <w:r w:rsidRPr="003208C1">
              <w:rPr>
                <w:sz w:val="20"/>
              </w:rPr>
              <w:instrText xml:space="preserve"> FORMTEXT </w:instrText>
            </w:r>
            <w:r w:rsidRPr="003208C1">
              <w:rPr>
                <w:sz w:val="20"/>
              </w:rPr>
            </w:r>
            <w:r w:rsidRPr="003208C1">
              <w:rPr>
                <w:sz w:val="20"/>
              </w:rPr>
              <w:fldChar w:fldCharType="separate"/>
            </w:r>
            <w:r w:rsidRPr="003208C1">
              <w:rPr>
                <w:noProof/>
                <w:sz w:val="20"/>
              </w:rPr>
              <w:t>£</w:t>
            </w:r>
            <w:r w:rsidR="004C0392" w:rsidRPr="003208C1">
              <w:rPr>
                <w:noProof/>
                <w:sz w:val="20"/>
              </w:rPr>
              <w:t>0</w:t>
            </w:r>
            <w:r w:rsidRPr="003208C1">
              <w:rPr>
                <w:noProof/>
                <w:sz w:val="20"/>
              </w:rPr>
              <w:t>m</w:t>
            </w:r>
            <w:r w:rsidRPr="003208C1">
              <w:rPr>
                <w:sz w:val="20"/>
              </w:rPr>
              <w:fldChar w:fldCharType="end"/>
            </w:r>
            <w:bookmarkEnd w:id="11"/>
          </w:p>
        </w:tc>
        <w:bookmarkStart w:id="12" w:name="IABNPV"/>
        <w:tc>
          <w:tcPr>
            <w:tcW w:w="1757" w:type="dxa"/>
            <w:tcBorders>
              <w:top w:val="nil"/>
              <w:bottom w:val="single" w:sz="4" w:space="0" w:color="auto"/>
              <w:right w:val="single" w:sz="4" w:space="0" w:color="auto"/>
            </w:tcBorders>
            <w:shd w:val="clear" w:color="auto" w:fill="E0E0E0"/>
            <w:vAlign w:val="center"/>
          </w:tcPr>
          <w:p w:rsidR="004C0392" w:rsidRDefault="005A0B86" w:rsidP="004C0392">
            <w:pPr>
              <w:pStyle w:val="IAIOBNPV"/>
              <w:rPr>
                <w:noProof/>
                <w:sz w:val="20"/>
              </w:rPr>
            </w:pPr>
            <w:r w:rsidRPr="004C0392">
              <w:rPr>
                <w:sz w:val="20"/>
              </w:rPr>
              <w:fldChar w:fldCharType="begin">
                <w:ffData>
                  <w:name w:val="IABNPV"/>
                  <w:enabled/>
                  <w:calcOnExit w:val="0"/>
                  <w:textInput>
                    <w:default w:val="£m"/>
                    <w:maxLength w:val="9"/>
                  </w:textInput>
                </w:ffData>
              </w:fldChar>
            </w:r>
            <w:r w:rsidRPr="004C0392">
              <w:rPr>
                <w:sz w:val="20"/>
              </w:rPr>
              <w:instrText xml:space="preserve"> FORMTEXT </w:instrText>
            </w:r>
            <w:r w:rsidRPr="004C0392">
              <w:rPr>
                <w:sz w:val="20"/>
              </w:rPr>
            </w:r>
            <w:r w:rsidRPr="004C0392">
              <w:rPr>
                <w:sz w:val="20"/>
              </w:rPr>
              <w:fldChar w:fldCharType="separate"/>
            </w:r>
            <w:r w:rsidRPr="004C0392">
              <w:rPr>
                <w:noProof/>
                <w:sz w:val="20"/>
              </w:rPr>
              <w:t>£</w:t>
            </w:r>
            <w:r w:rsidR="004C0392" w:rsidRPr="004C0392">
              <w:rPr>
                <w:noProof/>
                <w:sz w:val="20"/>
              </w:rPr>
              <w:t>-</w:t>
            </w:r>
            <w:r w:rsidR="002305C1">
              <w:rPr>
                <w:noProof/>
                <w:sz w:val="20"/>
              </w:rPr>
              <w:t>319</w:t>
            </w:r>
            <w:r w:rsidRPr="004C0392">
              <w:rPr>
                <w:noProof/>
                <w:sz w:val="20"/>
              </w:rPr>
              <w:t>m</w:t>
            </w:r>
            <w:r w:rsidR="004C0392" w:rsidRPr="004C0392">
              <w:rPr>
                <w:noProof/>
                <w:sz w:val="20"/>
              </w:rPr>
              <w:t xml:space="preserve"> </w:t>
            </w:r>
          </w:p>
          <w:p w:rsidR="00372A69" w:rsidRPr="000E02BE" w:rsidRDefault="004C0392" w:rsidP="002305C1">
            <w:pPr>
              <w:pStyle w:val="IAIOBNPV"/>
            </w:pPr>
            <w:r w:rsidRPr="004C0392">
              <w:rPr>
                <w:noProof/>
                <w:sz w:val="20"/>
              </w:rPr>
              <w:t>(£</w:t>
            </w:r>
            <w:r w:rsidR="002305C1">
              <w:rPr>
                <w:noProof/>
                <w:sz w:val="20"/>
              </w:rPr>
              <w:t>27</w:t>
            </w:r>
            <w:r w:rsidRPr="004C0392">
              <w:rPr>
                <w:noProof/>
                <w:sz w:val="20"/>
              </w:rPr>
              <w:t>m in scope</w:t>
            </w:r>
            <w:r w:rsidR="005A0B86" w:rsidRPr="004C0392">
              <w:rPr>
                <w:sz w:val="20"/>
              </w:rPr>
              <w:fldChar w:fldCharType="end"/>
            </w:r>
            <w:bookmarkEnd w:id="12"/>
            <w:r w:rsidRPr="004C0392">
              <w:rPr>
                <w:sz w:val="20"/>
              </w:rPr>
              <w:t>)</w:t>
            </w:r>
          </w:p>
        </w:tc>
        <w:bookmarkStart w:id="13" w:name="IANCTBPY"/>
        <w:tc>
          <w:tcPr>
            <w:tcW w:w="2516" w:type="dxa"/>
            <w:tcBorders>
              <w:top w:val="nil"/>
              <w:bottom w:val="single" w:sz="4" w:space="0" w:color="auto"/>
              <w:right w:val="single" w:sz="4" w:space="0" w:color="auto"/>
            </w:tcBorders>
            <w:shd w:val="clear" w:color="auto" w:fill="E0E0E0"/>
            <w:vAlign w:val="center"/>
          </w:tcPr>
          <w:p w:rsidR="003208C1" w:rsidRDefault="005A0B86" w:rsidP="004C0392">
            <w:pPr>
              <w:pStyle w:val="IAIONCTBPY"/>
              <w:rPr>
                <w:noProof/>
                <w:sz w:val="20"/>
              </w:rPr>
            </w:pPr>
            <w:r w:rsidRPr="003208C1">
              <w:rPr>
                <w:sz w:val="20"/>
              </w:rPr>
              <w:fldChar w:fldCharType="begin">
                <w:ffData>
                  <w:name w:val="IANCTBPY"/>
                  <w:enabled/>
                  <w:calcOnExit w:val="0"/>
                  <w:textInput>
                    <w:default w:val="£m"/>
                    <w:maxLength w:val="9"/>
                  </w:textInput>
                </w:ffData>
              </w:fldChar>
            </w:r>
            <w:r w:rsidRPr="003208C1">
              <w:rPr>
                <w:sz w:val="20"/>
              </w:rPr>
              <w:instrText xml:space="preserve"> FORMTEXT </w:instrText>
            </w:r>
            <w:r w:rsidRPr="003208C1">
              <w:rPr>
                <w:sz w:val="20"/>
              </w:rPr>
            </w:r>
            <w:r w:rsidRPr="003208C1">
              <w:rPr>
                <w:sz w:val="20"/>
              </w:rPr>
              <w:fldChar w:fldCharType="separate"/>
            </w:r>
            <w:r w:rsidRPr="003208C1">
              <w:rPr>
                <w:noProof/>
                <w:sz w:val="20"/>
              </w:rPr>
              <w:t>£</w:t>
            </w:r>
            <w:r w:rsidR="002305C1">
              <w:rPr>
                <w:noProof/>
                <w:sz w:val="20"/>
              </w:rPr>
              <w:t>35</w:t>
            </w:r>
            <w:r w:rsidR="003208C1">
              <w:rPr>
                <w:noProof/>
                <w:sz w:val="20"/>
              </w:rPr>
              <w:t>.</w:t>
            </w:r>
            <w:r w:rsidR="002305C1">
              <w:rPr>
                <w:noProof/>
                <w:sz w:val="20"/>
              </w:rPr>
              <w:t>22</w:t>
            </w:r>
            <w:r w:rsidRPr="003208C1">
              <w:rPr>
                <w:noProof/>
                <w:sz w:val="20"/>
              </w:rPr>
              <w:t>m</w:t>
            </w:r>
            <w:r w:rsidR="004C0392" w:rsidRPr="003208C1">
              <w:rPr>
                <w:noProof/>
                <w:sz w:val="20"/>
              </w:rPr>
              <w:t xml:space="preserve"> </w:t>
            </w:r>
          </w:p>
          <w:p w:rsidR="00372A69" w:rsidRPr="000E02BE" w:rsidRDefault="002305C1" w:rsidP="003208C1">
            <w:pPr>
              <w:pStyle w:val="IAIONCTBPY"/>
            </w:pPr>
            <w:r>
              <w:rPr>
                <w:noProof/>
                <w:sz w:val="20"/>
              </w:rPr>
              <w:t>(£3.0</w:t>
            </w:r>
            <w:r w:rsidR="004C0392" w:rsidRPr="003208C1">
              <w:rPr>
                <w:noProof/>
                <w:sz w:val="20"/>
              </w:rPr>
              <w:t>m in scope)</w:t>
            </w:r>
            <w:r w:rsidR="005A0B86" w:rsidRPr="003208C1">
              <w:rPr>
                <w:sz w:val="20"/>
              </w:rPr>
              <w:fldChar w:fldCharType="end"/>
            </w:r>
            <w:bookmarkEnd w:id="13"/>
          </w:p>
        </w:tc>
        <w:tc>
          <w:tcPr>
            <w:tcW w:w="1980" w:type="dxa"/>
            <w:tcBorders>
              <w:top w:val="nil"/>
              <w:left w:val="single" w:sz="4" w:space="0" w:color="auto"/>
              <w:bottom w:val="single" w:sz="4" w:space="0" w:color="auto"/>
              <w:right w:val="single" w:sz="4" w:space="0" w:color="auto"/>
            </w:tcBorders>
            <w:shd w:val="clear" w:color="auto" w:fill="E0E0E0"/>
            <w:vAlign w:val="center"/>
          </w:tcPr>
          <w:p w:rsidR="00372A69" w:rsidRPr="000E02BE" w:rsidRDefault="004C0392" w:rsidP="004C0392">
            <w:pPr>
              <w:pStyle w:val="IAIOInScopeInOut"/>
            </w:pPr>
            <w:r w:rsidRPr="003208C1">
              <w:rPr>
                <w:sz w:val="20"/>
              </w:rPr>
              <w:t>In Scope and Out of Scope</w:t>
            </w:r>
          </w:p>
        </w:tc>
        <w:tc>
          <w:tcPr>
            <w:tcW w:w="2106" w:type="dxa"/>
            <w:tcBorders>
              <w:top w:val="nil"/>
              <w:left w:val="single" w:sz="4" w:space="0" w:color="auto"/>
              <w:bottom w:val="single" w:sz="4" w:space="0" w:color="auto"/>
              <w:right w:val="single" w:sz="4" w:space="0" w:color="auto"/>
            </w:tcBorders>
            <w:shd w:val="clear" w:color="auto" w:fill="E0E0E0"/>
            <w:vAlign w:val="center"/>
          </w:tcPr>
          <w:p w:rsidR="00372A69" w:rsidRPr="000E02BE" w:rsidRDefault="004C0392" w:rsidP="008369A3">
            <w:pPr>
              <w:pStyle w:val="IAIOPrefMQ"/>
            </w:pPr>
            <w:r w:rsidRPr="003208C1">
              <w:rPr>
                <w:sz w:val="20"/>
              </w:rPr>
              <w:t>Both IN and Out of Scope</w:t>
            </w:r>
          </w:p>
        </w:tc>
      </w:tr>
      <w:tr w:rsidR="007208D9" w:rsidRPr="00826F71" w:rsidTr="003208C1">
        <w:tblPrEx>
          <w:shd w:val="clear" w:color="auto" w:fill="auto"/>
        </w:tblPrEx>
        <w:trPr>
          <w:trHeight w:hRule="exact" w:val="2446"/>
        </w:trPr>
        <w:tc>
          <w:tcPr>
            <w:tcW w:w="10207" w:type="dxa"/>
            <w:gridSpan w:val="5"/>
            <w:tcBorders>
              <w:top w:val="single" w:sz="4" w:space="0" w:color="auto"/>
              <w:left w:val="single" w:sz="4" w:space="0" w:color="auto"/>
              <w:bottom w:val="single" w:sz="4" w:space="0" w:color="auto"/>
              <w:right w:val="single" w:sz="4" w:space="0" w:color="auto"/>
            </w:tcBorders>
          </w:tcPr>
          <w:p w:rsidR="007208D9" w:rsidRPr="00EA0B74" w:rsidRDefault="00472054" w:rsidP="008369A3">
            <w:pPr>
              <w:pStyle w:val="IAIOQ1"/>
            </w:pPr>
            <w:bookmarkStart w:id="14" w:name="Summary1"/>
            <w:r>
              <w:t>What is the problem under consideration? Why is government intervention necessary?</w:t>
            </w:r>
            <w:bookmarkEnd w:id="14"/>
          </w:p>
          <w:bookmarkStart w:id="15" w:name="IAIOA1"/>
          <w:p w:rsidR="00E75380" w:rsidRPr="00C120C0" w:rsidRDefault="008369A3" w:rsidP="004C0392">
            <w:pPr>
              <w:pStyle w:val="IATableLines"/>
            </w:pPr>
            <w:r>
              <w:fldChar w:fldCharType="begin">
                <w:ffData>
                  <w:name w:val="IAIOA1"/>
                  <w:enabled/>
                  <w:calcOnExit w:val="0"/>
                  <w:textInput>
                    <w:default w:val="Maximum of 7 lines"/>
                    <w:maxLength w:val="800"/>
                  </w:textInput>
                </w:ffData>
              </w:fldChar>
            </w:r>
            <w:r>
              <w:instrText xml:space="preserve"> FORMTEXT </w:instrText>
            </w:r>
            <w:r>
              <w:fldChar w:fldCharType="separate"/>
            </w:r>
            <w:r w:rsidR="004C0392" w:rsidRPr="004C0392">
              <w:t>The Care Quality Commission (CQC) is required to comply with the principles outlined in HM Treasury guidance Managing Public Money, which states that public sector bodies are expected to achieve full cost recovery against fees charged for the provision of services. However, the Department has received legal advice that</w:t>
            </w:r>
            <w:r w:rsidR="0027723E">
              <w:t xml:space="preserve"> the</w:t>
            </w:r>
            <w:r w:rsidR="004C0392" w:rsidRPr="004C0392">
              <w:t xml:space="preserve"> CQC's current fee raising powers under Section 85 of the Health and Social Care Act 2008 may not cover all aspects of</w:t>
            </w:r>
            <w:r w:rsidR="0027723E">
              <w:t xml:space="preserve"> the</w:t>
            </w:r>
            <w:r w:rsidR="004C0392" w:rsidRPr="004C0392">
              <w:t xml:space="preserve"> CQC's new comprehensive inspection and rating regime. It would not be practical for</w:t>
            </w:r>
            <w:r w:rsidR="0027723E">
              <w:t xml:space="preserve"> the</w:t>
            </w:r>
            <w:r w:rsidR="004C0392" w:rsidRPr="004C0392">
              <w:t xml:space="preserve"> CQC to try to separate out inspection costs into those they have power to charge for, and those they do not. Government intervention is required to amend the regulations to grant</w:t>
            </w:r>
            <w:r w:rsidR="0027723E">
              <w:t xml:space="preserve"> the</w:t>
            </w:r>
            <w:r w:rsidR="004C0392" w:rsidRPr="004C0392">
              <w:t xml:space="preserve"> CQC fee raising powers over the aspects of its inspection process that are not currently covered. </w:t>
            </w:r>
            <w:r>
              <w:fldChar w:fldCharType="end"/>
            </w:r>
            <w:bookmarkEnd w:id="15"/>
          </w:p>
        </w:tc>
      </w:tr>
    </w:tbl>
    <w:p w:rsidR="007208D9" w:rsidRDefault="007208D9" w:rsidP="007208D9">
      <w:pPr>
        <w:pStyle w:val="IASpace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215"/>
      </w:tblGrid>
      <w:tr w:rsidR="007208D9" w:rsidRPr="00826F71">
        <w:trPr>
          <w:trHeight w:hRule="exact" w:val="2182"/>
        </w:trPr>
        <w:tc>
          <w:tcPr>
            <w:tcW w:w="10214" w:type="dxa"/>
          </w:tcPr>
          <w:p w:rsidR="007208D9" w:rsidRPr="00EA0B74" w:rsidRDefault="00472054" w:rsidP="008369A3">
            <w:pPr>
              <w:pStyle w:val="IAIOQ2"/>
            </w:pPr>
            <w:bookmarkStart w:id="16" w:name="Summary2"/>
            <w:r>
              <w:t>What are the policy objectives and the intended effects?</w:t>
            </w:r>
            <w:bookmarkEnd w:id="16"/>
          </w:p>
          <w:bookmarkStart w:id="17" w:name="IAIOA2"/>
          <w:p w:rsidR="003208C1" w:rsidRDefault="008369A3" w:rsidP="003208C1">
            <w:pPr>
              <w:pStyle w:val="IATableLines"/>
              <w:rPr>
                <w:noProof/>
              </w:rPr>
            </w:pPr>
            <w:r>
              <w:fldChar w:fldCharType="begin">
                <w:ffData>
                  <w:name w:val="IAIOA2"/>
                  <w:enabled/>
                  <w:calcOnExit w:val="0"/>
                  <w:textInput>
                    <w:default w:val="Maximum of 7 lines"/>
                    <w:maxLength w:val="800"/>
                  </w:textInput>
                </w:ffData>
              </w:fldChar>
            </w:r>
            <w:r>
              <w:instrText xml:space="preserve"> FORMTEXT </w:instrText>
            </w:r>
            <w:r>
              <w:fldChar w:fldCharType="separate"/>
            </w:r>
            <w:r w:rsidR="003208C1">
              <w:rPr>
                <w:noProof/>
              </w:rPr>
              <w:t xml:space="preserve">The policy objective is not about extending the remit of </w:t>
            </w:r>
            <w:r w:rsidR="0027723E">
              <w:rPr>
                <w:noProof/>
              </w:rPr>
              <w:t xml:space="preserve">the </w:t>
            </w:r>
            <w:r w:rsidR="003208C1">
              <w:rPr>
                <w:noProof/>
              </w:rPr>
              <w:t xml:space="preserve">CQC's activity or about extending the scope of reviews of performance assessments. It is about giving </w:t>
            </w:r>
            <w:r w:rsidR="0027723E">
              <w:rPr>
                <w:noProof/>
              </w:rPr>
              <w:t xml:space="preserve">the </w:t>
            </w:r>
            <w:r w:rsidR="003208C1">
              <w:rPr>
                <w:noProof/>
              </w:rPr>
              <w:t xml:space="preserve">CQC a power to charge a fee in respect of all aspects of such reviews and assessments. The objective is to clarify that the CQC is able to charge a fee for these activities. This will allow the CQC to move to a position of full cost recovery through its fees in accordance with the principles outlined in the Managing Public Money guidance. </w:t>
            </w:r>
          </w:p>
          <w:p w:rsidR="00E75380" w:rsidRPr="00C120C0" w:rsidRDefault="003208C1" w:rsidP="003208C1">
            <w:pPr>
              <w:pStyle w:val="IATableLines"/>
            </w:pPr>
            <w:r>
              <w:rPr>
                <w:noProof/>
              </w:rPr>
              <w:t>Ultimately, this will ensure that</w:t>
            </w:r>
            <w:r w:rsidR="0027723E">
              <w:rPr>
                <w:noProof/>
              </w:rPr>
              <w:t xml:space="preserve"> the</w:t>
            </w:r>
            <w:r>
              <w:rPr>
                <w:noProof/>
              </w:rPr>
              <w:t xml:space="preserve"> CQC fees reflect the full cost of regulating quality in the health and social care sectors. </w:t>
            </w:r>
            <w:r w:rsidR="008369A3">
              <w:fldChar w:fldCharType="end"/>
            </w:r>
            <w:bookmarkEnd w:id="17"/>
          </w:p>
        </w:tc>
      </w:tr>
    </w:tbl>
    <w:p w:rsidR="007208D9" w:rsidRPr="00826F71" w:rsidRDefault="007208D9" w:rsidP="007208D9">
      <w:pPr>
        <w:pStyle w:val="IASpace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215"/>
      </w:tblGrid>
      <w:tr w:rsidR="00686F5E" w:rsidRPr="00826F71">
        <w:trPr>
          <w:trHeight w:hRule="exact" w:val="3179"/>
        </w:trPr>
        <w:tc>
          <w:tcPr>
            <w:tcW w:w="9648" w:type="dxa"/>
          </w:tcPr>
          <w:p w:rsidR="00686F5E" w:rsidRPr="00826F71" w:rsidRDefault="00686F5E" w:rsidP="008369A3">
            <w:pPr>
              <w:pStyle w:val="IAIOQ3"/>
            </w:pPr>
            <w:bookmarkStart w:id="18" w:name="IAIOQ3"/>
            <w:bookmarkStart w:id="19" w:name="Summary3"/>
            <w:r>
              <w:t>What policy options have been considered</w:t>
            </w:r>
            <w:r w:rsidR="005D6EA8">
              <w:t>, including any alternatives to regulation</w:t>
            </w:r>
            <w:r>
              <w:t>? Please justify preferred option (further details in Evidence Base)</w:t>
            </w:r>
            <w:bookmarkEnd w:id="18"/>
          </w:p>
          <w:bookmarkStart w:id="20" w:name="IAIOA3"/>
          <w:p w:rsidR="003208C1" w:rsidRDefault="008369A3" w:rsidP="003208C1">
            <w:pPr>
              <w:pStyle w:val="IATableLines"/>
              <w:rPr>
                <w:noProof/>
              </w:rPr>
            </w:pPr>
            <w:r>
              <w:fldChar w:fldCharType="begin">
                <w:ffData>
                  <w:name w:val="IAIOA3"/>
                  <w:enabled/>
                  <w:calcOnExit w:val="0"/>
                  <w:textInput>
                    <w:default w:val="Maximum of 10 lines"/>
                    <w:maxLength w:val="1100"/>
                  </w:textInput>
                </w:ffData>
              </w:fldChar>
            </w:r>
            <w:r>
              <w:instrText xml:space="preserve"> FORMTEXT </w:instrText>
            </w:r>
            <w:r>
              <w:fldChar w:fldCharType="separate"/>
            </w:r>
            <w:r w:rsidR="003208C1">
              <w:rPr>
                <w:noProof/>
              </w:rPr>
              <w:t xml:space="preserve">Option 1 - do nothing. Under this option </w:t>
            </w:r>
            <w:r w:rsidR="0027723E">
              <w:rPr>
                <w:noProof/>
              </w:rPr>
              <w:t xml:space="preserve">the </w:t>
            </w:r>
            <w:r w:rsidR="003208C1">
              <w:rPr>
                <w:noProof/>
              </w:rPr>
              <w:t xml:space="preserve">CQC's fee raising powers would only cover inspection costs directly related to assessing compliance with the registration requirements. However, </w:t>
            </w:r>
            <w:r w:rsidR="0027723E">
              <w:rPr>
                <w:noProof/>
              </w:rPr>
              <w:t xml:space="preserve">the </w:t>
            </w:r>
            <w:r w:rsidR="003208C1">
              <w:rPr>
                <w:noProof/>
              </w:rPr>
              <w:t>CQC's new inspection methodology goes further than this to provide an in depth judgement about the overall quality of the service and to provide a rating for the organisation. It would be very difficult practically for</w:t>
            </w:r>
            <w:r w:rsidR="0027723E">
              <w:rPr>
                <w:noProof/>
              </w:rPr>
              <w:t xml:space="preserve"> the</w:t>
            </w:r>
            <w:r w:rsidR="003208C1">
              <w:rPr>
                <w:noProof/>
              </w:rPr>
              <w:t xml:space="preserve"> CQC to be able to separate out the costs of these two elements of their inspection, and this would result in increasing legal risk for</w:t>
            </w:r>
            <w:r w:rsidR="0027723E">
              <w:rPr>
                <w:noProof/>
              </w:rPr>
              <w:t xml:space="preserve"> the</w:t>
            </w:r>
            <w:r w:rsidR="003208C1">
              <w:rPr>
                <w:noProof/>
              </w:rPr>
              <w:t xml:space="preserve"> CQC as they move towards full cost recovery through fees. Ultimately, this would hinder </w:t>
            </w:r>
            <w:r w:rsidR="0027723E">
              <w:rPr>
                <w:noProof/>
              </w:rPr>
              <w:t xml:space="preserve">the </w:t>
            </w:r>
            <w:r w:rsidR="003208C1">
              <w:rPr>
                <w:noProof/>
              </w:rPr>
              <w:t>CQC's ability to meet their obligations under the Managing Public Money guidance.</w:t>
            </w:r>
          </w:p>
          <w:p w:rsidR="00D50283" w:rsidRPr="00C120C0" w:rsidRDefault="003208C1" w:rsidP="003208C1">
            <w:pPr>
              <w:pStyle w:val="IATableLines"/>
            </w:pPr>
            <w:r>
              <w:rPr>
                <w:noProof/>
              </w:rPr>
              <w:t>Option 2 - amend the regulations to give</w:t>
            </w:r>
            <w:r w:rsidR="0027723E">
              <w:rPr>
                <w:noProof/>
              </w:rPr>
              <w:t xml:space="preserve"> the</w:t>
            </w:r>
            <w:r>
              <w:rPr>
                <w:noProof/>
              </w:rPr>
              <w:t xml:space="preserve"> CQC the power to charge fees for the element of its comprehensive inspections that look beyond compliance with registration requirements. This will allow the CQC to move to a position of full cost recovery through its fees.</w:t>
            </w:r>
            <w:r w:rsidR="008369A3">
              <w:fldChar w:fldCharType="end"/>
            </w:r>
            <w:bookmarkEnd w:id="20"/>
          </w:p>
        </w:tc>
      </w:tr>
    </w:tbl>
    <w:p w:rsidR="00686F5E" w:rsidRDefault="00686F5E">
      <w:pPr>
        <w:pStyle w:val="IASpacer2"/>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215"/>
      </w:tblGrid>
      <w:tr w:rsidR="00720FFE" w:rsidTr="007E190E">
        <w:tc>
          <w:tcPr>
            <w:tcW w:w="5000" w:type="pct"/>
            <w:shd w:val="clear" w:color="auto" w:fill="auto"/>
          </w:tcPr>
          <w:p w:rsidR="00720FFE" w:rsidRPr="007E190E" w:rsidRDefault="00720FFE" w:rsidP="00E17F49">
            <w:pPr>
              <w:pStyle w:val="IATableLabel"/>
              <w:rPr>
                <w:b w:val="0"/>
                <w:sz w:val="22"/>
                <w:szCs w:val="22"/>
              </w:rPr>
            </w:pPr>
            <w:r w:rsidRPr="00D02C89">
              <w:t xml:space="preserve">Will the policy be reviewed?  </w:t>
            </w:r>
            <w:r w:rsidRPr="007E190E">
              <w:rPr>
                <w:b w:val="0"/>
                <w:sz w:val="22"/>
                <w:szCs w:val="22"/>
              </w:rPr>
              <w:t xml:space="preserve">It </w:t>
            </w:r>
            <w:bookmarkStart w:id="21" w:name="IAPolicyReview"/>
            <w:r w:rsidR="00BB249D" w:rsidRPr="007E190E">
              <w:rPr>
                <w:rStyle w:val="IAIOPolicyReviewChar"/>
              </w:rPr>
              <w:fldChar w:fldCharType="begin">
                <w:ffData>
                  <w:name w:val="IAPolicyReview"/>
                  <w:enabled/>
                  <w:calcOnExit w:val="0"/>
                  <w:ddList>
                    <w:result w:val="2"/>
                    <w:listEntry w:val="will/will not"/>
                    <w:listEntry w:val="will"/>
                    <w:listEntry w:val="will not"/>
                  </w:ddList>
                </w:ffData>
              </w:fldChar>
            </w:r>
            <w:r w:rsidR="00BB249D" w:rsidRPr="007E190E">
              <w:rPr>
                <w:rStyle w:val="IAIOPolicyReviewChar"/>
              </w:rPr>
              <w:instrText xml:space="preserve"> FORMDROPDOWN </w:instrText>
            </w:r>
            <w:r w:rsidR="00994590">
              <w:rPr>
                <w:rStyle w:val="IAIOPolicyReviewChar"/>
              </w:rPr>
            </w:r>
            <w:r w:rsidR="00994590">
              <w:rPr>
                <w:rStyle w:val="IAIOPolicyReviewChar"/>
              </w:rPr>
              <w:fldChar w:fldCharType="separate"/>
            </w:r>
            <w:r w:rsidR="00BB249D" w:rsidRPr="007E190E">
              <w:rPr>
                <w:rStyle w:val="IAIOPolicyReviewChar"/>
              </w:rPr>
              <w:fldChar w:fldCharType="end"/>
            </w:r>
            <w:bookmarkEnd w:id="21"/>
            <w:r w:rsidRPr="007E190E">
              <w:rPr>
                <w:b w:val="0"/>
                <w:sz w:val="22"/>
                <w:szCs w:val="22"/>
              </w:rPr>
              <w:t xml:space="preserve"> be reviewed.</w:t>
            </w:r>
            <w:r w:rsidRPr="007E190E">
              <w:rPr>
                <w:sz w:val="22"/>
                <w:szCs w:val="22"/>
              </w:rPr>
              <w:t xml:space="preserve"> </w:t>
            </w:r>
            <w:r w:rsidRPr="00D02C89">
              <w:t xml:space="preserve"> If applicable, set review date:  </w:t>
            </w:r>
            <w:bookmarkStart w:id="22" w:name="IAReviewMonth"/>
            <w:r w:rsidR="00BB249D" w:rsidRPr="007E190E">
              <w:rPr>
                <w:rStyle w:val="IAIOReviewMonthChar"/>
              </w:rPr>
              <w:fldChar w:fldCharType="begin">
                <w:ffData>
                  <w:name w:val="IAReviewMonth"/>
                  <w:enabled/>
                  <w:calcOnExit w:val="0"/>
                  <w:ddList>
                    <w:listEntry w:val="Month"/>
                    <w:listEntry w:val="01"/>
                    <w:listEntry w:val="02"/>
                    <w:listEntry w:val="03"/>
                    <w:listEntry w:val="04"/>
                    <w:listEntry w:val="05"/>
                    <w:listEntry w:val="06"/>
                    <w:listEntry w:val="07"/>
                    <w:listEntry w:val="08"/>
                    <w:listEntry w:val="09"/>
                    <w:listEntry w:val="10"/>
                    <w:listEntry w:val="11"/>
                    <w:listEntry w:val="12"/>
                  </w:ddList>
                </w:ffData>
              </w:fldChar>
            </w:r>
            <w:r w:rsidR="00BB249D" w:rsidRPr="007E190E">
              <w:rPr>
                <w:rStyle w:val="IAIOReviewMonthChar"/>
              </w:rPr>
              <w:instrText xml:space="preserve"> FORMDROPDOWN </w:instrText>
            </w:r>
            <w:r w:rsidR="00994590">
              <w:rPr>
                <w:rStyle w:val="IAIOReviewMonthChar"/>
              </w:rPr>
            </w:r>
            <w:r w:rsidR="00994590">
              <w:rPr>
                <w:rStyle w:val="IAIOReviewMonthChar"/>
              </w:rPr>
              <w:fldChar w:fldCharType="separate"/>
            </w:r>
            <w:r w:rsidR="00BB249D" w:rsidRPr="007E190E">
              <w:rPr>
                <w:rStyle w:val="IAIOReviewMonthChar"/>
              </w:rPr>
              <w:fldChar w:fldCharType="end"/>
            </w:r>
            <w:bookmarkEnd w:id="22"/>
            <w:r w:rsidRPr="007E190E">
              <w:rPr>
                <w:b w:val="0"/>
                <w:sz w:val="22"/>
                <w:szCs w:val="22"/>
              </w:rPr>
              <w:t>/</w:t>
            </w:r>
            <w:bookmarkStart w:id="23" w:name="IAReviewYear"/>
            <w:r w:rsidR="00BB249D" w:rsidRPr="007E190E">
              <w:rPr>
                <w:rStyle w:val="IAIOReviewYearChar"/>
              </w:rPr>
              <w:fldChar w:fldCharType="begin">
                <w:ffData>
                  <w:name w:val="IAReviewYear"/>
                  <w:enabled/>
                  <w:calcOnExit w:val="0"/>
                  <w:ddList>
                    <w:listEntry w:val="Year"/>
                    <w:listEntry w:val="2010"/>
                    <w:listEntry w:val="2011"/>
                    <w:listEntry w:val="2012"/>
                    <w:listEntry w:val="2013"/>
                    <w:listEntry w:val="2014"/>
                    <w:listEntry w:val="2015"/>
                    <w:listEntry w:val="2016"/>
                    <w:listEntry w:val="2017"/>
                    <w:listEntry w:val="2018"/>
                    <w:listEntry w:val="2019"/>
                    <w:listEntry w:val="2020"/>
                    <w:listEntry w:val="2021"/>
                    <w:listEntry w:val="2022"/>
                    <w:listEntry w:val="2023"/>
                    <w:listEntry w:val="2024"/>
                    <w:listEntry w:val="2025"/>
                  </w:ddList>
                </w:ffData>
              </w:fldChar>
            </w:r>
            <w:r w:rsidR="00BB249D" w:rsidRPr="007E190E">
              <w:rPr>
                <w:rStyle w:val="IAIOReviewYearChar"/>
              </w:rPr>
              <w:instrText xml:space="preserve"> FORMDROPDOWN </w:instrText>
            </w:r>
            <w:r w:rsidR="00994590">
              <w:rPr>
                <w:rStyle w:val="IAIOReviewYearChar"/>
              </w:rPr>
            </w:r>
            <w:r w:rsidR="00994590">
              <w:rPr>
                <w:rStyle w:val="IAIOReviewYearChar"/>
              </w:rPr>
              <w:fldChar w:fldCharType="separate"/>
            </w:r>
            <w:r w:rsidR="00BB249D" w:rsidRPr="007E190E">
              <w:rPr>
                <w:rStyle w:val="IAIOReviewYearChar"/>
              </w:rPr>
              <w:fldChar w:fldCharType="end"/>
            </w:r>
            <w:bookmarkEnd w:id="23"/>
          </w:p>
        </w:tc>
      </w:tr>
    </w:tbl>
    <w:p w:rsidR="007E190E" w:rsidRPr="007E190E" w:rsidRDefault="007E190E" w:rsidP="007E190E">
      <w:pPr>
        <w:rPr>
          <w:vanish/>
        </w:rPr>
      </w:pPr>
      <w:bookmarkStart w:id="24" w:name="Summary4"/>
      <w:bookmarkEnd w:id="19"/>
    </w:p>
    <w:tbl>
      <w:tblPr>
        <w:tblW w:w="499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ayout w:type="fixed"/>
        <w:tblCellMar>
          <w:left w:w="0" w:type="dxa"/>
          <w:right w:w="0" w:type="dxa"/>
        </w:tblCellMar>
        <w:tblLook w:val="01E0" w:firstRow="1" w:lastRow="1" w:firstColumn="1" w:lastColumn="1" w:noHBand="0" w:noVBand="0"/>
      </w:tblPr>
      <w:tblGrid>
        <w:gridCol w:w="5286"/>
        <w:gridCol w:w="983"/>
        <w:gridCol w:w="983"/>
        <w:gridCol w:w="983"/>
        <w:gridCol w:w="348"/>
        <w:gridCol w:w="635"/>
        <w:gridCol w:w="983"/>
      </w:tblGrid>
      <w:tr w:rsidR="006656EC" w:rsidRPr="00D50283">
        <w:trPr>
          <w:trHeight w:hRule="exact" w:val="340"/>
        </w:trPr>
        <w:tc>
          <w:tcPr>
            <w:tcW w:w="7252" w:type="dxa"/>
            <w:gridSpan w:val="3"/>
            <w:shd w:val="clear" w:color="auto" w:fill="E0E0E0"/>
            <w:vAlign w:val="center"/>
          </w:tcPr>
          <w:p w:rsidR="006656EC" w:rsidRPr="00D50283" w:rsidRDefault="006656EC" w:rsidP="006A0557">
            <w:pPr>
              <w:pStyle w:val="IATableText"/>
              <w:spacing w:before="0" w:after="0"/>
              <w:rPr>
                <w:sz w:val="20"/>
              </w:rPr>
            </w:pPr>
            <w:r w:rsidRPr="00D50283">
              <w:rPr>
                <w:iCs/>
                <w:sz w:val="20"/>
              </w:rPr>
              <w:t>Does implementation go beyond minimum EU requirements?</w:t>
            </w:r>
          </w:p>
        </w:tc>
        <w:bookmarkStart w:id="25" w:name="IACheckEU"/>
        <w:tc>
          <w:tcPr>
            <w:tcW w:w="2949" w:type="dxa"/>
            <w:gridSpan w:val="4"/>
            <w:tcBorders>
              <w:bottom w:val="single" w:sz="4" w:space="0" w:color="auto"/>
            </w:tcBorders>
            <w:shd w:val="clear" w:color="auto" w:fill="E0E0E0"/>
            <w:vAlign w:val="center"/>
          </w:tcPr>
          <w:p w:rsidR="006656EC" w:rsidRPr="00D50283" w:rsidRDefault="00BB249D" w:rsidP="00F91F5A">
            <w:pPr>
              <w:pStyle w:val="IAIOCheckEU"/>
            </w:pPr>
            <w:r>
              <w:fldChar w:fldCharType="begin">
                <w:ffData>
                  <w:name w:val="IACheckEU"/>
                  <w:enabled/>
                  <w:calcOnExit w:val="0"/>
                  <w:ddList>
                    <w:result w:val="3"/>
                    <w:listEntry w:val="Yes / No / N/A"/>
                    <w:listEntry w:val="Yes"/>
                    <w:listEntry w:val="No"/>
                    <w:listEntry w:val="N/A"/>
                  </w:ddList>
                </w:ffData>
              </w:fldChar>
            </w:r>
            <w:r>
              <w:instrText xml:space="preserve"> FORMDROPDOWN </w:instrText>
            </w:r>
            <w:r w:rsidR="00994590">
              <w:fldChar w:fldCharType="separate"/>
            </w:r>
            <w:r>
              <w:fldChar w:fldCharType="end"/>
            </w:r>
            <w:bookmarkEnd w:id="25"/>
          </w:p>
        </w:tc>
      </w:tr>
      <w:tr w:rsidR="006656EC" w:rsidRPr="00D50283">
        <w:trPr>
          <w:trHeight w:val="460"/>
        </w:trPr>
        <w:tc>
          <w:tcPr>
            <w:tcW w:w="5286" w:type="dxa"/>
            <w:shd w:val="clear" w:color="auto" w:fill="E0E0E0"/>
            <w:vAlign w:val="center"/>
          </w:tcPr>
          <w:p w:rsidR="006656EC" w:rsidRPr="00D50283" w:rsidRDefault="006656EC" w:rsidP="006A0557">
            <w:pPr>
              <w:pStyle w:val="IATableText"/>
              <w:spacing w:before="0" w:after="0"/>
              <w:rPr>
                <w:sz w:val="20"/>
              </w:rPr>
            </w:pPr>
            <w:r w:rsidRPr="00D50283">
              <w:rPr>
                <w:rFonts w:cs="Arial"/>
                <w:sz w:val="20"/>
              </w:rPr>
              <w:t>Are a</w:t>
            </w:r>
            <w:r>
              <w:rPr>
                <w:rFonts w:cs="Arial"/>
                <w:sz w:val="20"/>
              </w:rPr>
              <w:t>ny of these organisations in scope</w:t>
            </w:r>
            <w:r w:rsidRPr="00D50283">
              <w:rPr>
                <w:rFonts w:cs="Arial"/>
                <w:sz w:val="20"/>
              </w:rPr>
              <w:t>?</w:t>
            </w:r>
            <w:r>
              <w:rPr>
                <w:rFonts w:cs="Arial"/>
                <w:sz w:val="20"/>
              </w:rPr>
              <w:t xml:space="preserve"> If Micros not exempted set out reason in Evidence Base.</w:t>
            </w:r>
          </w:p>
        </w:tc>
        <w:tc>
          <w:tcPr>
            <w:tcW w:w="983" w:type="dxa"/>
            <w:shd w:val="clear" w:color="auto" w:fill="E0E0E0"/>
            <w:vAlign w:val="center"/>
          </w:tcPr>
          <w:p w:rsidR="006656EC" w:rsidRPr="00720FFE" w:rsidRDefault="006656EC" w:rsidP="006A0557">
            <w:pPr>
              <w:pStyle w:val="IATableLines"/>
              <w:rPr>
                <w:b/>
                <w:color w:val="000000"/>
                <w:sz w:val="20"/>
              </w:rPr>
            </w:pPr>
            <w:r w:rsidRPr="00720FFE">
              <w:rPr>
                <w:b/>
                <w:color w:val="000000"/>
                <w:sz w:val="20"/>
              </w:rPr>
              <w:t>Micro</w:t>
            </w:r>
            <w:bookmarkStart w:id="26" w:name="IACheckMicro"/>
            <w:r w:rsidR="00586D82" w:rsidRPr="00817638">
              <w:rPr>
                <w:rStyle w:val="IAIOCheckMicroChar"/>
                <w:b w:val="0"/>
                <w:sz w:val="20"/>
              </w:rPr>
              <w:fldChar w:fldCharType="begin">
                <w:ffData>
                  <w:name w:val="IACheckMicro"/>
                  <w:enabled/>
                  <w:calcOnExit w:val="0"/>
                  <w:ddList>
                    <w:result w:val="1"/>
                    <w:listEntry w:val="Yes/No"/>
                    <w:listEntry w:val="Yes"/>
                    <w:listEntry w:val="No"/>
                  </w:ddList>
                </w:ffData>
              </w:fldChar>
            </w:r>
            <w:r w:rsidR="00586D82" w:rsidRPr="00817638">
              <w:rPr>
                <w:rStyle w:val="IAIOCheckMicroChar"/>
                <w:b w:val="0"/>
                <w:sz w:val="20"/>
              </w:rPr>
              <w:instrText xml:space="preserve"> FORMDROPDOWN </w:instrText>
            </w:r>
            <w:r w:rsidR="00994590">
              <w:rPr>
                <w:rStyle w:val="IAIOCheckMicroChar"/>
                <w:b w:val="0"/>
                <w:sz w:val="20"/>
              </w:rPr>
            </w:r>
            <w:r w:rsidR="00994590">
              <w:rPr>
                <w:rStyle w:val="IAIOCheckMicroChar"/>
                <w:b w:val="0"/>
                <w:sz w:val="20"/>
              </w:rPr>
              <w:fldChar w:fldCharType="separate"/>
            </w:r>
            <w:r w:rsidR="00586D82" w:rsidRPr="00817638">
              <w:rPr>
                <w:rStyle w:val="IAIOCheckMicroChar"/>
                <w:b w:val="0"/>
                <w:sz w:val="20"/>
              </w:rPr>
              <w:fldChar w:fldCharType="end"/>
            </w:r>
            <w:bookmarkEnd w:id="26"/>
          </w:p>
        </w:tc>
        <w:tc>
          <w:tcPr>
            <w:tcW w:w="983" w:type="dxa"/>
            <w:shd w:val="clear" w:color="auto" w:fill="E0E0E0"/>
            <w:vAlign w:val="center"/>
          </w:tcPr>
          <w:p w:rsidR="00586D82" w:rsidRDefault="006656EC" w:rsidP="006A0557">
            <w:pPr>
              <w:pStyle w:val="IATableLines"/>
              <w:rPr>
                <w:b/>
                <w:color w:val="000000"/>
                <w:sz w:val="20"/>
              </w:rPr>
            </w:pPr>
            <w:r w:rsidRPr="00720FFE">
              <w:rPr>
                <w:b/>
                <w:color w:val="000000"/>
                <w:sz w:val="20"/>
              </w:rPr>
              <w:t>&lt; 20</w:t>
            </w:r>
          </w:p>
          <w:p w:rsidR="006656EC" w:rsidRPr="00720FFE" w:rsidRDefault="00BB249D" w:rsidP="00D478C9">
            <w:pPr>
              <w:pStyle w:val="IAIOCheck20"/>
              <w:rPr>
                <w:b/>
                <w:color w:val="000000"/>
              </w:rPr>
            </w:pPr>
            <w:r>
              <w:rPr>
                <w:b/>
                <w:color w:val="000000"/>
              </w:rPr>
              <w:t xml:space="preserve"> </w:t>
            </w:r>
            <w:bookmarkStart w:id="27" w:name="IACheck20"/>
            <w:r w:rsidR="00072272">
              <w:fldChar w:fldCharType="begin">
                <w:ffData>
                  <w:name w:val="IACheck20"/>
                  <w:enabled/>
                  <w:calcOnExit w:val="0"/>
                  <w:ddList>
                    <w:result w:val="1"/>
                    <w:listEntry w:val="Yes/No"/>
                    <w:listEntry w:val="Yes"/>
                    <w:listEntry w:val="No"/>
                  </w:ddList>
                </w:ffData>
              </w:fldChar>
            </w:r>
            <w:r w:rsidR="00072272">
              <w:instrText xml:space="preserve"> FORMDROPDOWN </w:instrText>
            </w:r>
            <w:r w:rsidR="00994590">
              <w:fldChar w:fldCharType="separate"/>
            </w:r>
            <w:r w:rsidR="00072272">
              <w:fldChar w:fldCharType="end"/>
            </w:r>
            <w:bookmarkEnd w:id="27"/>
          </w:p>
        </w:tc>
        <w:tc>
          <w:tcPr>
            <w:tcW w:w="983" w:type="dxa"/>
            <w:shd w:val="clear" w:color="auto" w:fill="E0E0E0"/>
            <w:vAlign w:val="center"/>
          </w:tcPr>
          <w:p w:rsidR="006656EC" w:rsidRPr="00720FFE" w:rsidRDefault="006656EC" w:rsidP="006A0557">
            <w:pPr>
              <w:pStyle w:val="IATableLines"/>
              <w:rPr>
                <w:b/>
                <w:color w:val="000000"/>
                <w:sz w:val="20"/>
              </w:rPr>
            </w:pPr>
            <w:r w:rsidRPr="00720FFE">
              <w:rPr>
                <w:b/>
                <w:color w:val="000000"/>
                <w:sz w:val="20"/>
              </w:rPr>
              <w:t>Small</w:t>
            </w:r>
            <w:bookmarkStart w:id="28" w:name="IACheckSmall"/>
            <w:r w:rsidR="00072272" w:rsidRPr="00817638">
              <w:rPr>
                <w:rStyle w:val="IAIOCheckSmallChar"/>
                <w:b w:val="0"/>
                <w:sz w:val="20"/>
              </w:rPr>
              <w:fldChar w:fldCharType="begin">
                <w:ffData>
                  <w:name w:val="IACheckSmall"/>
                  <w:enabled/>
                  <w:calcOnExit w:val="0"/>
                  <w:ddList>
                    <w:result w:val="1"/>
                    <w:listEntry w:val="Yes/No"/>
                    <w:listEntry w:val="Yes"/>
                    <w:listEntry w:val="No"/>
                  </w:ddList>
                </w:ffData>
              </w:fldChar>
            </w:r>
            <w:r w:rsidR="00072272" w:rsidRPr="00817638">
              <w:rPr>
                <w:rStyle w:val="IAIOCheckSmallChar"/>
                <w:b w:val="0"/>
                <w:sz w:val="20"/>
              </w:rPr>
              <w:instrText xml:space="preserve"> FORMDROPDOWN </w:instrText>
            </w:r>
            <w:r w:rsidR="00994590">
              <w:rPr>
                <w:rStyle w:val="IAIOCheckSmallChar"/>
                <w:b w:val="0"/>
                <w:sz w:val="20"/>
              </w:rPr>
            </w:r>
            <w:r w:rsidR="00994590">
              <w:rPr>
                <w:rStyle w:val="IAIOCheckSmallChar"/>
                <w:b w:val="0"/>
                <w:sz w:val="20"/>
              </w:rPr>
              <w:fldChar w:fldCharType="separate"/>
            </w:r>
            <w:r w:rsidR="00072272" w:rsidRPr="00817638">
              <w:rPr>
                <w:rStyle w:val="IAIOCheckSmallChar"/>
                <w:b w:val="0"/>
                <w:sz w:val="20"/>
              </w:rPr>
              <w:fldChar w:fldCharType="end"/>
            </w:r>
            <w:bookmarkEnd w:id="28"/>
          </w:p>
        </w:tc>
        <w:tc>
          <w:tcPr>
            <w:tcW w:w="983" w:type="dxa"/>
            <w:gridSpan w:val="2"/>
            <w:shd w:val="clear" w:color="auto" w:fill="E0E0E0"/>
            <w:vAlign w:val="center"/>
          </w:tcPr>
          <w:p w:rsidR="006656EC" w:rsidRPr="00720FFE" w:rsidRDefault="006656EC" w:rsidP="006A0557">
            <w:pPr>
              <w:pStyle w:val="IATableLines"/>
              <w:rPr>
                <w:b/>
                <w:color w:val="000000"/>
                <w:sz w:val="20"/>
              </w:rPr>
            </w:pPr>
            <w:r w:rsidRPr="00720FFE">
              <w:rPr>
                <w:b/>
                <w:color w:val="000000"/>
                <w:sz w:val="20"/>
              </w:rPr>
              <w:t>Medium</w:t>
            </w:r>
            <w:bookmarkStart w:id="29" w:name="IACheckMedium"/>
            <w:r w:rsidR="00072272" w:rsidRPr="00817638">
              <w:rPr>
                <w:rStyle w:val="IAIOCheckMediumChar"/>
                <w:b w:val="0"/>
                <w:sz w:val="20"/>
              </w:rPr>
              <w:fldChar w:fldCharType="begin">
                <w:ffData>
                  <w:name w:val="IACheckMedium"/>
                  <w:enabled/>
                  <w:calcOnExit w:val="0"/>
                  <w:ddList>
                    <w:result w:val="1"/>
                    <w:listEntry w:val="Yes/No"/>
                    <w:listEntry w:val="Yes"/>
                    <w:listEntry w:val="No"/>
                  </w:ddList>
                </w:ffData>
              </w:fldChar>
            </w:r>
            <w:r w:rsidR="00072272" w:rsidRPr="00817638">
              <w:rPr>
                <w:rStyle w:val="IAIOCheckMediumChar"/>
                <w:b w:val="0"/>
                <w:sz w:val="20"/>
              </w:rPr>
              <w:instrText xml:space="preserve"> FORMDROPDOWN </w:instrText>
            </w:r>
            <w:r w:rsidR="00994590">
              <w:rPr>
                <w:rStyle w:val="IAIOCheckMediumChar"/>
                <w:b w:val="0"/>
                <w:sz w:val="20"/>
              </w:rPr>
            </w:r>
            <w:r w:rsidR="00994590">
              <w:rPr>
                <w:rStyle w:val="IAIOCheckMediumChar"/>
                <w:b w:val="0"/>
                <w:sz w:val="20"/>
              </w:rPr>
              <w:fldChar w:fldCharType="separate"/>
            </w:r>
            <w:r w:rsidR="00072272" w:rsidRPr="00817638">
              <w:rPr>
                <w:rStyle w:val="IAIOCheckMediumChar"/>
                <w:b w:val="0"/>
                <w:sz w:val="20"/>
              </w:rPr>
              <w:fldChar w:fldCharType="end"/>
            </w:r>
            <w:bookmarkEnd w:id="29"/>
          </w:p>
        </w:tc>
        <w:tc>
          <w:tcPr>
            <w:tcW w:w="983" w:type="dxa"/>
            <w:shd w:val="clear" w:color="auto" w:fill="E0E0E0"/>
            <w:vAlign w:val="center"/>
          </w:tcPr>
          <w:p w:rsidR="006656EC" w:rsidRPr="00720FFE" w:rsidRDefault="006656EC" w:rsidP="006A0557">
            <w:pPr>
              <w:pStyle w:val="IATableLines"/>
              <w:rPr>
                <w:b/>
                <w:color w:val="000000"/>
                <w:sz w:val="20"/>
              </w:rPr>
            </w:pPr>
            <w:r w:rsidRPr="00720FFE">
              <w:rPr>
                <w:b/>
                <w:color w:val="000000"/>
                <w:sz w:val="20"/>
              </w:rPr>
              <w:t>Large</w:t>
            </w:r>
            <w:bookmarkStart w:id="30" w:name="IACheckLarge"/>
            <w:r w:rsidR="00072272" w:rsidRPr="00817638">
              <w:rPr>
                <w:rStyle w:val="IAIOCheckLargeChar"/>
                <w:b w:val="0"/>
                <w:sz w:val="20"/>
              </w:rPr>
              <w:fldChar w:fldCharType="begin">
                <w:ffData>
                  <w:name w:val="IACheckLarge"/>
                  <w:enabled/>
                  <w:calcOnExit w:val="0"/>
                  <w:ddList>
                    <w:result w:val="1"/>
                    <w:listEntry w:val="Yes/No"/>
                    <w:listEntry w:val="Yes"/>
                    <w:listEntry w:val="No"/>
                  </w:ddList>
                </w:ffData>
              </w:fldChar>
            </w:r>
            <w:r w:rsidR="00072272" w:rsidRPr="00817638">
              <w:rPr>
                <w:rStyle w:val="IAIOCheckLargeChar"/>
                <w:b w:val="0"/>
                <w:sz w:val="20"/>
              </w:rPr>
              <w:instrText xml:space="preserve"> FORMDROPDOWN </w:instrText>
            </w:r>
            <w:r w:rsidR="00994590">
              <w:rPr>
                <w:rStyle w:val="IAIOCheckLargeChar"/>
                <w:b w:val="0"/>
                <w:sz w:val="20"/>
              </w:rPr>
            </w:r>
            <w:r w:rsidR="00994590">
              <w:rPr>
                <w:rStyle w:val="IAIOCheckLargeChar"/>
                <w:b w:val="0"/>
                <w:sz w:val="20"/>
              </w:rPr>
              <w:fldChar w:fldCharType="separate"/>
            </w:r>
            <w:r w:rsidR="00072272" w:rsidRPr="00817638">
              <w:rPr>
                <w:rStyle w:val="IAIOCheckLargeChar"/>
                <w:b w:val="0"/>
                <w:sz w:val="20"/>
              </w:rPr>
              <w:fldChar w:fldCharType="end"/>
            </w:r>
            <w:bookmarkEnd w:id="30"/>
          </w:p>
        </w:tc>
      </w:tr>
      <w:tr w:rsidR="00817638">
        <w:tblPrEx>
          <w:shd w:val="clear" w:color="auto" w:fill="auto"/>
        </w:tblPrEx>
        <w:trPr>
          <w:trHeight w:hRule="exact" w:val="567"/>
        </w:trPr>
        <w:tc>
          <w:tcPr>
            <w:tcW w:w="725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817638" w:rsidRDefault="00817638" w:rsidP="006A0557">
            <w:pPr>
              <w:pStyle w:val="IATableText"/>
              <w:spacing w:before="0" w:after="0"/>
              <w:rPr>
                <w:rFonts w:eastAsia="Times New Roman"/>
                <w:sz w:val="16"/>
                <w:szCs w:val="16"/>
              </w:rPr>
            </w:pPr>
            <w:r>
              <w:rPr>
                <w:rFonts w:cs="Arial"/>
                <w:sz w:val="20"/>
              </w:rPr>
              <w:t>What is the CO</w:t>
            </w:r>
            <w:r w:rsidRPr="00FC07D5">
              <w:rPr>
                <w:rFonts w:cs="Arial"/>
                <w:sz w:val="20"/>
                <w:vertAlign w:val="subscript"/>
              </w:rPr>
              <w:t>2</w:t>
            </w:r>
            <w:r>
              <w:rPr>
                <w:rFonts w:cs="Arial"/>
                <w:sz w:val="20"/>
              </w:rPr>
              <w:t xml:space="preserve"> equivalent change in greenhouse gas emissions? </w:t>
            </w:r>
            <w:r>
              <w:rPr>
                <w:rFonts w:cs="Arial"/>
                <w:sz w:val="20"/>
              </w:rPr>
              <w:br/>
              <w:t xml:space="preserve">(Million tonnes </w:t>
            </w:r>
            <w:r w:rsidR="00FC07D5">
              <w:rPr>
                <w:rFonts w:cs="Arial"/>
                <w:sz w:val="20"/>
              </w:rPr>
              <w:t>CO</w:t>
            </w:r>
            <w:r w:rsidR="00FC07D5" w:rsidRPr="00FC07D5">
              <w:rPr>
                <w:rFonts w:cs="Arial"/>
                <w:sz w:val="20"/>
                <w:vertAlign w:val="subscript"/>
              </w:rPr>
              <w:t>2</w:t>
            </w:r>
            <w:r>
              <w:rPr>
                <w:rFonts w:cs="Arial"/>
                <w:sz w:val="20"/>
              </w:rPr>
              <w:t xml:space="preserve"> equivalent)</w:t>
            </w:r>
            <w:r>
              <w:rPr>
                <w:spacing w:val="0"/>
                <w:sz w:val="18"/>
              </w:rPr>
              <w:t xml:space="preserve">  </w:t>
            </w:r>
          </w:p>
        </w:tc>
        <w:tc>
          <w:tcPr>
            <w:tcW w:w="1331" w:type="dxa"/>
            <w:gridSpan w:val="2"/>
            <w:tcBorders>
              <w:top w:val="single" w:sz="4" w:space="0" w:color="auto"/>
              <w:left w:val="single" w:sz="4" w:space="0" w:color="auto"/>
              <w:bottom w:val="single" w:sz="4" w:space="0" w:color="auto"/>
              <w:right w:val="single" w:sz="4" w:space="0" w:color="auto"/>
            </w:tcBorders>
            <w:shd w:val="clear" w:color="auto" w:fill="E0E0E0"/>
          </w:tcPr>
          <w:p w:rsidR="00817638" w:rsidRDefault="00817638" w:rsidP="003208C1">
            <w:pPr>
              <w:pStyle w:val="IATableLabel"/>
            </w:pPr>
            <w:r>
              <w:t xml:space="preserve">Traded:   </w:t>
            </w:r>
            <w:r>
              <w:br/>
            </w:r>
            <w:bookmarkStart w:id="31" w:name="IACO2Traded"/>
            <w:r w:rsidRPr="00335C9A">
              <w:rPr>
                <w:rStyle w:val="IAIOCO2TradedChar"/>
                <w:sz w:val="20"/>
              </w:rPr>
              <w:fldChar w:fldCharType="begin">
                <w:ffData>
                  <w:name w:val="IACO2Traded"/>
                  <w:enabled/>
                  <w:calcOnExit w:val="0"/>
                  <w:textInput>
                    <w:maxLength w:val="8"/>
                  </w:textInput>
                </w:ffData>
              </w:fldChar>
            </w:r>
            <w:r w:rsidRPr="00335C9A">
              <w:rPr>
                <w:rStyle w:val="IAIOCO2TradedChar"/>
                <w:sz w:val="20"/>
              </w:rPr>
              <w:instrText xml:space="preserve"> FORMTEXT </w:instrText>
            </w:r>
            <w:r w:rsidRPr="00335C9A">
              <w:rPr>
                <w:rStyle w:val="IAIOCO2TradedChar"/>
                <w:sz w:val="20"/>
              </w:rPr>
            </w:r>
            <w:r w:rsidRPr="00335C9A">
              <w:rPr>
                <w:rStyle w:val="IAIOCO2TradedChar"/>
                <w:sz w:val="20"/>
              </w:rPr>
              <w:fldChar w:fldCharType="separate"/>
            </w:r>
            <w:r w:rsidR="003208C1">
              <w:rPr>
                <w:rStyle w:val="IAIOCO2TradedChar"/>
                <w:sz w:val="20"/>
              </w:rPr>
              <w:t>NA</w:t>
            </w:r>
            <w:r w:rsidRPr="00335C9A">
              <w:rPr>
                <w:rStyle w:val="IAIOCO2TradedChar"/>
                <w:sz w:val="20"/>
              </w:rPr>
              <w:fldChar w:fldCharType="end"/>
            </w:r>
            <w:bookmarkEnd w:id="31"/>
          </w:p>
        </w:tc>
        <w:tc>
          <w:tcPr>
            <w:tcW w:w="1618" w:type="dxa"/>
            <w:gridSpan w:val="2"/>
            <w:tcBorders>
              <w:top w:val="single" w:sz="4" w:space="0" w:color="auto"/>
              <w:left w:val="single" w:sz="4" w:space="0" w:color="auto"/>
              <w:bottom w:val="single" w:sz="4" w:space="0" w:color="auto"/>
              <w:right w:val="single" w:sz="4" w:space="0" w:color="auto"/>
            </w:tcBorders>
            <w:shd w:val="clear" w:color="auto" w:fill="E0E0E0"/>
          </w:tcPr>
          <w:p w:rsidR="00817638" w:rsidRDefault="00817638" w:rsidP="003208C1">
            <w:pPr>
              <w:pStyle w:val="IATableLabel"/>
            </w:pPr>
            <w:r>
              <w:t xml:space="preserve">Non-traded:   </w:t>
            </w:r>
            <w:r>
              <w:br/>
            </w:r>
            <w:bookmarkStart w:id="32" w:name="IACO2NonTraded"/>
            <w:r w:rsidR="008155E3">
              <w:rPr>
                <w:rStyle w:val="IAIOCO2TradedChar"/>
                <w:sz w:val="20"/>
              </w:rPr>
              <w:fldChar w:fldCharType="begin">
                <w:ffData>
                  <w:name w:val="IACO2NonTraded"/>
                  <w:enabled/>
                  <w:calcOnExit w:val="0"/>
                  <w:textInput>
                    <w:maxLength w:val="8"/>
                  </w:textInput>
                </w:ffData>
              </w:fldChar>
            </w:r>
            <w:r w:rsidR="008155E3">
              <w:rPr>
                <w:rStyle w:val="IAIOCO2TradedChar"/>
                <w:sz w:val="20"/>
              </w:rPr>
              <w:instrText xml:space="preserve"> FORMTEXT </w:instrText>
            </w:r>
            <w:r w:rsidR="008155E3">
              <w:rPr>
                <w:rStyle w:val="IAIOCO2TradedChar"/>
                <w:sz w:val="20"/>
              </w:rPr>
            </w:r>
            <w:r w:rsidR="008155E3">
              <w:rPr>
                <w:rStyle w:val="IAIOCO2TradedChar"/>
                <w:sz w:val="20"/>
              </w:rPr>
              <w:fldChar w:fldCharType="separate"/>
            </w:r>
            <w:r w:rsidR="003208C1">
              <w:rPr>
                <w:rStyle w:val="IAIOCO2TradedChar"/>
                <w:noProof/>
                <w:sz w:val="20"/>
              </w:rPr>
              <w:t>NA</w:t>
            </w:r>
            <w:r w:rsidR="008155E3">
              <w:rPr>
                <w:rStyle w:val="IAIOCO2TradedChar"/>
                <w:sz w:val="20"/>
              </w:rPr>
              <w:fldChar w:fldCharType="end"/>
            </w:r>
            <w:bookmarkEnd w:id="32"/>
          </w:p>
        </w:tc>
      </w:tr>
    </w:tbl>
    <w:p w:rsidR="00947C54" w:rsidRPr="00452B35" w:rsidRDefault="00947C54">
      <w:pPr>
        <w:pStyle w:val="IASign-off"/>
        <w:rPr>
          <w:sz w:val="20"/>
        </w:rPr>
      </w:pPr>
      <w:bookmarkStart w:id="33" w:name="SignOfftext"/>
      <w:bookmarkEnd w:id="24"/>
      <w:r w:rsidRPr="00452B35">
        <w:rPr>
          <w:rFonts w:cs="Arial"/>
          <w:iCs/>
          <w:color w:val="000000"/>
          <w:sz w:val="20"/>
        </w:rPr>
        <w:t>I have read the Impact Assessment and I am satisfied that (a) it represents a fair and reasonable view of the expected costs, benefits and impact of the policy, and (b) that the benefits justify the costs.</w:t>
      </w:r>
    </w:p>
    <w:tbl>
      <w:tblPr>
        <w:tblW w:w="4814" w:type="pct"/>
        <w:tblLayout w:type="fixed"/>
        <w:tblCellMar>
          <w:left w:w="0" w:type="dxa"/>
          <w:right w:w="0" w:type="dxa"/>
        </w:tblCellMar>
        <w:tblLook w:val="0000" w:firstRow="0" w:lastRow="0" w:firstColumn="0" w:lastColumn="0" w:noHBand="0" w:noVBand="0"/>
      </w:tblPr>
      <w:tblGrid>
        <w:gridCol w:w="4252"/>
        <w:gridCol w:w="2702"/>
        <w:gridCol w:w="849"/>
        <w:gridCol w:w="2022"/>
      </w:tblGrid>
      <w:tr w:rsidR="00947C54" w:rsidRPr="008C17FA" w:rsidTr="006B02A6">
        <w:trPr>
          <w:cantSplit/>
          <w:trHeight w:hRule="exact" w:val="767"/>
        </w:trPr>
        <w:tc>
          <w:tcPr>
            <w:tcW w:w="2164" w:type="pct"/>
            <w:vAlign w:val="bottom"/>
          </w:tcPr>
          <w:p w:rsidR="00947C54" w:rsidRPr="003E1D10" w:rsidRDefault="00947C54" w:rsidP="00947C54">
            <w:pPr>
              <w:pStyle w:val="IASignature"/>
              <w:tabs>
                <w:tab w:val="clear" w:pos="6804"/>
                <w:tab w:val="clear" w:pos="10206"/>
                <w:tab w:val="left" w:leader="dot" w:pos="7380"/>
              </w:tabs>
              <w:ind w:right="284"/>
            </w:pPr>
            <w:r w:rsidRPr="003E1D10">
              <w:t xml:space="preserve">Signed by the responsible </w:t>
            </w:r>
            <w:bookmarkStart w:id="34" w:name="IASignedBy"/>
            <w:r w:rsidRPr="003E1D10">
              <w:fldChar w:fldCharType="begin">
                <w:ffData>
                  <w:name w:val="IASignedBy"/>
                  <w:enabled/>
                  <w:calcOnExit w:val="0"/>
                  <w:ddList>
                    <w:result w:val="3"/>
                    <w:listEntry w:val="SELECT SIGNATORY"/>
                    <w:listEntry w:val="Chair"/>
                    <w:listEntry w:val="Chief Executive"/>
                    <w:listEntry w:val="Minister"/>
                  </w:ddList>
                </w:ffData>
              </w:fldChar>
            </w:r>
            <w:r w:rsidRPr="003E1D10">
              <w:instrText xml:space="preserve"> FORMDROPDOWN </w:instrText>
            </w:r>
            <w:r w:rsidR="00994590">
              <w:fldChar w:fldCharType="separate"/>
            </w:r>
            <w:r w:rsidRPr="003E1D10">
              <w:fldChar w:fldCharType="end"/>
            </w:r>
            <w:bookmarkEnd w:id="34"/>
            <w:r w:rsidRPr="003E1D10">
              <w:t>:</w:t>
            </w:r>
          </w:p>
        </w:tc>
        <w:tc>
          <w:tcPr>
            <w:tcW w:w="1375" w:type="pct"/>
            <w:tcBorders>
              <w:bottom w:val="dashSmallGap" w:sz="4" w:space="0" w:color="auto"/>
            </w:tcBorders>
            <w:vAlign w:val="bottom"/>
          </w:tcPr>
          <w:p w:rsidR="00947C54" w:rsidRPr="008C17FA" w:rsidRDefault="006B02A6" w:rsidP="00947C54">
            <w:pPr>
              <w:pStyle w:val="IAIOtextSign"/>
              <w:ind w:left="113" w:right="113"/>
              <w:jc w:val="left"/>
              <w:rPr>
                <w:rFonts w:eastAsia="SimSun"/>
                <w:spacing w:val="-5"/>
                <w:sz w:val="22"/>
                <w:szCs w:val="20"/>
                <w:lang w:eastAsia="zh-CN"/>
              </w:rPr>
            </w:pPr>
            <w:r>
              <w:rPr>
                <w:rFonts w:eastAsia="SimSun"/>
                <w:noProof/>
                <w:spacing w:val="-5"/>
                <w:sz w:val="22"/>
                <w:szCs w:val="20"/>
                <w:lang w:eastAsia="en-GB"/>
              </w:rPr>
              <w:drawing>
                <wp:inline distT="0" distB="0" distL="0" distR="0" wp14:anchorId="1F713718" wp14:editId="555B6949">
                  <wp:extent cx="1752600" cy="485775"/>
                  <wp:effectExtent l="0" t="0" r="0" b="9525"/>
                  <wp:docPr id="1" name="Picture 1" descr="\\ims.gov.uk\data\Users\GBEXPVD\EXPHOME2\tqian\Data\Desktop\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s.gov.uk\data\Users\GBEXPVD\EXPHOME2\tqian\Data\Desktop\signa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485775"/>
                          </a:xfrm>
                          <a:prstGeom prst="rect">
                            <a:avLst/>
                          </a:prstGeom>
                          <a:noFill/>
                          <a:ln>
                            <a:noFill/>
                          </a:ln>
                        </pic:spPr>
                      </pic:pic>
                    </a:graphicData>
                  </a:graphic>
                </wp:inline>
              </w:drawing>
            </w:r>
          </w:p>
        </w:tc>
        <w:tc>
          <w:tcPr>
            <w:tcW w:w="432" w:type="pct"/>
            <w:vAlign w:val="bottom"/>
          </w:tcPr>
          <w:p w:rsidR="00947C54" w:rsidRPr="003E1D10" w:rsidRDefault="00947C54" w:rsidP="00947C54">
            <w:pPr>
              <w:pStyle w:val="IASignature"/>
              <w:tabs>
                <w:tab w:val="clear" w:pos="6804"/>
                <w:tab w:val="clear" w:pos="10206"/>
                <w:tab w:val="left" w:leader="dot" w:pos="7380"/>
              </w:tabs>
              <w:ind w:right="284"/>
            </w:pPr>
            <w:r w:rsidRPr="003E1D10">
              <w:t> Date:</w:t>
            </w:r>
          </w:p>
        </w:tc>
        <w:bookmarkStart w:id="35" w:name="SigDate"/>
        <w:tc>
          <w:tcPr>
            <w:tcW w:w="1030" w:type="pct"/>
            <w:tcBorders>
              <w:bottom w:val="dashSmallGap" w:sz="4" w:space="0" w:color="auto"/>
            </w:tcBorders>
            <w:vAlign w:val="bottom"/>
          </w:tcPr>
          <w:p w:rsidR="00947C54" w:rsidRPr="008C17FA" w:rsidRDefault="00947C54" w:rsidP="00994590">
            <w:pPr>
              <w:pStyle w:val="IAIOSigDate"/>
              <w:ind w:left="113" w:right="113"/>
              <w:jc w:val="left"/>
              <w:rPr>
                <w:rFonts w:eastAsia="SimSun"/>
                <w:spacing w:val="-5"/>
                <w:szCs w:val="20"/>
                <w:lang w:eastAsia="zh-CN"/>
              </w:rPr>
            </w:pPr>
            <w:r w:rsidRPr="008C17FA">
              <w:rPr>
                <w:rFonts w:eastAsia="SimSun"/>
                <w:spacing w:val="-5"/>
                <w:szCs w:val="20"/>
                <w:lang w:eastAsia="zh-CN"/>
              </w:rPr>
              <w:fldChar w:fldCharType="begin">
                <w:ffData>
                  <w:name w:val="SigDate"/>
                  <w:enabled/>
                  <w:calcOnExit w:val="0"/>
                  <w:textInput/>
                </w:ffData>
              </w:fldChar>
            </w:r>
            <w:r w:rsidRPr="008C17FA">
              <w:rPr>
                <w:rFonts w:eastAsia="SimSun"/>
                <w:spacing w:val="-5"/>
                <w:szCs w:val="20"/>
                <w:lang w:eastAsia="zh-CN"/>
              </w:rPr>
              <w:instrText xml:space="preserve"> FORMTEXT </w:instrText>
            </w:r>
            <w:r w:rsidRPr="008C17FA">
              <w:rPr>
                <w:rFonts w:eastAsia="SimSun"/>
                <w:spacing w:val="-5"/>
                <w:szCs w:val="20"/>
                <w:lang w:eastAsia="zh-CN"/>
              </w:rPr>
            </w:r>
            <w:r w:rsidRPr="008C17FA">
              <w:rPr>
                <w:rFonts w:eastAsia="SimSun"/>
                <w:spacing w:val="-5"/>
                <w:szCs w:val="20"/>
                <w:lang w:eastAsia="zh-CN"/>
              </w:rPr>
              <w:fldChar w:fldCharType="separate"/>
            </w:r>
            <w:r w:rsidR="006B02A6">
              <w:rPr>
                <w:rFonts w:eastAsia="SimSun"/>
                <w:spacing w:val="-5"/>
                <w:szCs w:val="20"/>
                <w:lang w:eastAsia="zh-CN"/>
              </w:rPr>
              <w:t>2</w:t>
            </w:r>
            <w:r w:rsidR="00994590">
              <w:rPr>
                <w:rFonts w:eastAsia="SimSun"/>
                <w:spacing w:val="-5"/>
                <w:szCs w:val="20"/>
                <w:lang w:eastAsia="zh-CN"/>
              </w:rPr>
              <w:t>5</w:t>
            </w:r>
            <w:bookmarkStart w:id="36" w:name="_GoBack"/>
            <w:bookmarkEnd w:id="36"/>
            <w:r w:rsidR="006B02A6">
              <w:rPr>
                <w:rFonts w:eastAsia="SimSun"/>
                <w:spacing w:val="-5"/>
                <w:szCs w:val="20"/>
                <w:lang w:eastAsia="zh-CN"/>
              </w:rPr>
              <w:t xml:space="preserve"> February 2016</w:t>
            </w:r>
            <w:r w:rsidRPr="008C17FA">
              <w:rPr>
                <w:rFonts w:eastAsia="SimSun"/>
                <w:spacing w:val="-5"/>
                <w:szCs w:val="20"/>
                <w:lang w:eastAsia="zh-CN"/>
              </w:rPr>
              <w:fldChar w:fldCharType="end"/>
            </w:r>
            <w:bookmarkEnd w:id="35"/>
          </w:p>
        </w:tc>
      </w:tr>
      <w:bookmarkEnd w:id="33"/>
    </w:tbl>
    <w:p w:rsidR="00F1328C" w:rsidRDefault="00F1328C" w:rsidP="005A3880">
      <w:pPr>
        <w:pStyle w:val="Heading1"/>
        <w:spacing w:before="0"/>
        <w:sectPr w:rsidR="00F1328C" w:rsidSect="005A3880">
          <w:headerReference w:type="default" r:id="rId10"/>
          <w:footerReference w:type="default" r:id="rId11"/>
          <w:footnotePr>
            <w:numRestart w:val="eachSect"/>
          </w:footnotePr>
          <w:type w:val="continuous"/>
          <w:pgSz w:w="11907" w:h="16840" w:code="9"/>
          <w:pgMar w:top="680" w:right="851" w:bottom="680" w:left="851" w:header="284" w:footer="284" w:gutter="0"/>
          <w:cols w:space="708"/>
          <w:docGrid w:linePitch="360"/>
        </w:sectPr>
      </w:pPr>
    </w:p>
    <w:p w:rsidR="001844B6" w:rsidRDefault="001844B6" w:rsidP="005A3880">
      <w:pPr>
        <w:pStyle w:val="Heading1"/>
        <w:spacing w:before="0"/>
      </w:pPr>
      <w:r>
        <w:lastRenderedPageBreak/>
        <w:t>Summary: Analysis &amp; Evidence</w:t>
      </w:r>
      <w:r>
        <w:tab/>
      </w:r>
      <w:r w:rsidRPr="00E3545D">
        <w:rPr>
          <w:rFonts w:ascii="Arial" w:hAnsi="Arial"/>
          <w:b w:val="0"/>
          <w:bCs w:val="0"/>
        </w:rPr>
        <w:t xml:space="preserve">Policy Option </w:t>
      </w:r>
      <w:r>
        <w:rPr>
          <w:rFonts w:ascii="Arial" w:hAnsi="Arial"/>
          <w:b w:val="0"/>
          <w:bCs w:val="0"/>
        </w:rPr>
        <w:fldChar w:fldCharType="begin"/>
      </w:r>
      <w:r>
        <w:rPr>
          <w:rFonts w:ascii="Arial" w:hAnsi="Arial"/>
          <w:b w:val="0"/>
          <w:bCs w:val="0"/>
        </w:rPr>
        <w:instrText xml:space="preserve"> SEQ Policy </w:instrText>
      </w:r>
      <w:r>
        <w:rPr>
          <w:rFonts w:ascii="Arial" w:hAnsi="Arial"/>
          <w:b w:val="0"/>
          <w:bCs w:val="0"/>
        </w:rPr>
        <w:fldChar w:fldCharType="separate"/>
      </w:r>
      <w:r w:rsidR="00884F46">
        <w:rPr>
          <w:rFonts w:ascii="Arial" w:hAnsi="Arial"/>
          <w:b w:val="0"/>
          <w:bCs w:val="0"/>
          <w:noProof/>
        </w:rPr>
        <w:t>1</w:t>
      </w:r>
      <w:r>
        <w:rPr>
          <w:rFonts w:ascii="Arial" w:hAnsi="Arial"/>
          <w:b w:val="0"/>
          <w:bCs w:val="0"/>
        </w:rPr>
        <w:fldChar w:fldCharType="end"/>
      </w:r>
    </w:p>
    <w:p w:rsidR="001844B6" w:rsidRDefault="001844B6" w:rsidP="005A3880">
      <w:pPr>
        <w:pStyle w:val="IAHeadLabel"/>
        <w:spacing w:before="50"/>
      </w:pPr>
      <w:r w:rsidRPr="00892576">
        <w:t xml:space="preserve">Description: </w:t>
      </w:r>
      <w:r w:rsidRPr="006B70AF">
        <w:t xml:space="preserve"> </w:t>
      </w:r>
      <w:bookmarkStart w:id="37" w:name="Text70"/>
      <w:r w:rsidR="0071468E">
        <w:rPr>
          <w:rStyle w:val="IAPODescriptionCharChar"/>
        </w:rPr>
        <w:fldChar w:fldCharType="begin">
          <w:ffData>
            <w:name w:val="Text70"/>
            <w:enabled/>
            <w:calcOnExit w:val="0"/>
            <w:textInput>
              <w:maxLength w:val="230"/>
            </w:textInput>
          </w:ffData>
        </w:fldChar>
      </w:r>
      <w:r w:rsidR="0071468E">
        <w:rPr>
          <w:rStyle w:val="IAPODescriptionCharChar"/>
        </w:rPr>
        <w:instrText xml:space="preserve"> FORMTEXT </w:instrText>
      </w:r>
      <w:r w:rsidR="0071468E">
        <w:rPr>
          <w:rStyle w:val="IAPODescriptionCharChar"/>
        </w:rPr>
      </w:r>
      <w:r w:rsidR="0071468E">
        <w:rPr>
          <w:rStyle w:val="IAPODescriptionCharChar"/>
        </w:rPr>
        <w:fldChar w:fldCharType="separate"/>
      </w:r>
      <w:r w:rsidR="004A1F2F">
        <w:rPr>
          <w:rStyle w:val="IAPODescriptionCharChar"/>
          <w:noProof/>
        </w:rPr>
        <w:t>Do Nothing</w:t>
      </w:r>
      <w:r w:rsidR="0071468E">
        <w:rPr>
          <w:rStyle w:val="IAPODescriptionCharChar"/>
        </w:rPr>
        <w:fldChar w:fldCharType="end"/>
      </w:r>
      <w:bookmarkEnd w:id="37"/>
    </w:p>
    <w:p w:rsidR="001844B6" w:rsidRDefault="001844B6" w:rsidP="005A3880">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5"/>
        <w:gridCol w:w="1260"/>
        <w:gridCol w:w="1440"/>
        <w:gridCol w:w="1800"/>
        <w:gridCol w:w="1827"/>
        <w:gridCol w:w="2633"/>
      </w:tblGrid>
      <w:tr w:rsidR="001844B6" w:rsidRPr="007E190E" w:rsidTr="007E190E">
        <w:trPr>
          <w:trHeight w:hRule="exact" w:val="312"/>
        </w:trPr>
        <w:tc>
          <w:tcPr>
            <w:tcW w:w="1265" w:type="dxa"/>
            <w:vMerge w:val="restart"/>
            <w:shd w:val="clear" w:color="auto" w:fill="auto"/>
          </w:tcPr>
          <w:p w:rsidR="001844B6" w:rsidRPr="00826F71" w:rsidRDefault="001844B6" w:rsidP="003208C1">
            <w:pPr>
              <w:pStyle w:val="POPBY"/>
            </w:pPr>
            <w:r w:rsidRPr="00826F71">
              <w:t>Price Base Year</w:t>
            </w:r>
            <w:r>
              <w:t xml:space="preserve">  </w:t>
            </w:r>
            <w:r w:rsidRPr="007E190E">
              <w:rPr>
                <w:b w:val="0"/>
              </w:rPr>
              <w:fldChar w:fldCharType="begin">
                <w:ffData>
                  <w:name w:val="Text55"/>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003208C1">
              <w:rPr>
                <w:b w:val="0"/>
                <w:noProof/>
              </w:rPr>
              <w:t>NA</w:t>
            </w:r>
            <w:r w:rsidRPr="007E190E">
              <w:rPr>
                <w:b w:val="0"/>
              </w:rPr>
              <w:fldChar w:fldCharType="end"/>
            </w:r>
          </w:p>
        </w:tc>
        <w:tc>
          <w:tcPr>
            <w:tcW w:w="1260" w:type="dxa"/>
            <w:vMerge w:val="restart"/>
            <w:shd w:val="clear" w:color="auto" w:fill="auto"/>
          </w:tcPr>
          <w:p w:rsidR="001844B6" w:rsidRPr="00826F71" w:rsidRDefault="001844B6" w:rsidP="003208C1">
            <w:pPr>
              <w:pStyle w:val="POPVBY"/>
            </w:pPr>
            <w:r w:rsidRPr="00826F71">
              <w:t>PV Base Year</w:t>
            </w:r>
            <w:r>
              <w:t xml:space="preserve">  </w:t>
            </w:r>
            <w:r w:rsidRPr="007E190E">
              <w:rPr>
                <w:b w:val="0"/>
              </w:rPr>
              <w:fldChar w:fldCharType="begin">
                <w:ffData>
                  <w:name w:val="Text56"/>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003208C1">
              <w:rPr>
                <w:b w:val="0"/>
                <w:noProof/>
              </w:rPr>
              <w:t>NA</w:t>
            </w:r>
            <w:r w:rsidRPr="007E190E">
              <w:rPr>
                <w:b w:val="0"/>
              </w:rPr>
              <w:fldChar w:fldCharType="end"/>
            </w:r>
          </w:p>
        </w:tc>
        <w:tc>
          <w:tcPr>
            <w:tcW w:w="1440" w:type="dxa"/>
            <w:vMerge w:val="restart"/>
            <w:tcBorders>
              <w:right w:val="single" w:sz="12" w:space="0" w:color="auto"/>
            </w:tcBorders>
            <w:shd w:val="clear" w:color="auto" w:fill="auto"/>
          </w:tcPr>
          <w:p w:rsidR="001844B6" w:rsidRPr="00826F71" w:rsidRDefault="001844B6" w:rsidP="003208C1">
            <w:pPr>
              <w:pStyle w:val="POTPY"/>
            </w:pPr>
            <w:r w:rsidRPr="00826F71">
              <w:t>Time Period Years</w:t>
            </w:r>
            <w:r>
              <w:t xml:space="preserve">  </w:t>
            </w:r>
            <w:r w:rsidRPr="007E190E">
              <w:rPr>
                <w:b w:val="0"/>
              </w:rPr>
              <w:fldChar w:fldCharType="begin">
                <w:ffData>
                  <w:name w:val="Text57"/>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003208C1">
              <w:rPr>
                <w:b w:val="0"/>
                <w:noProof/>
              </w:rPr>
              <w:t>NA</w:t>
            </w:r>
            <w:r w:rsidRPr="007E190E">
              <w:rPr>
                <w:b w:val="0"/>
              </w:rPr>
              <w:fldChar w:fldCharType="end"/>
            </w: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cPr>
          <w:p w:rsidR="001844B6" w:rsidRPr="00826F71" w:rsidRDefault="001844B6" w:rsidP="007E190E">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1844B6" w:rsidRPr="007E190E" w:rsidTr="007E190E">
        <w:trPr>
          <w:trHeight w:hRule="exact" w:val="340"/>
        </w:trPr>
        <w:tc>
          <w:tcPr>
            <w:tcW w:w="1265" w:type="dxa"/>
            <w:vMerge/>
            <w:shd w:val="clear" w:color="auto" w:fill="auto"/>
          </w:tcPr>
          <w:p w:rsidR="001844B6" w:rsidRPr="007E190E" w:rsidRDefault="001844B6" w:rsidP="007E190E">
            <w:pPr>
              <w:pStyle w:val="IATableNotes"/>
              <w:ind w:left="0"/>
              <w:rPr>
                <w:b/>
                <w:sz w:val="20"/>
              </w:rPr>
            </w:pPr>
          </w:p>
        </w:tc>
        <w:tc>
          <w:tcPr>
            <w:tcW w:w="1260" w:type="dxa"/>
            <w:vMerge/>
            <w:shd w:val="clear" w:color="auto" w:fill="auto"/>
          </w:tcPr>
          <w:p w:rsidR="001844B6" w:rsidRPr="007E190E" w:rsidRDefault="001844B6" w:rsidP="007E190E">
            <w:pPr>
              <w:pStyle w:val="IATableNotes"/>
              <w:ind w:left="0"/>
              <w:rPr>
                <w:b/>
                <w:sz w:val="20"/>
              </w:rPr>
            </w:pPr>
          </w:p>
        </w:tc>
        <w:tc>
          <w:tcPr>
            <w:tcW w:w="1440" w:type="dxa"/>
            <w:vMerge/>
            <w:tcBorders>
              <w:right w:val="single" w:sz="12" w:space="0" w:color="auto"/>
            </w:tcBorders>
            <w:shd w:val="clear" w:color="auto" w:fill="auto"/>
          </w:tcPr>
          <w:p w:rsidR="001844B6" w:rsidRPr="007E190E" w:rsidRDefault="001844B6" w:rsidP="007E190E">
            <w:pPr>
              <w:pStyle w:val="IATableNotes"/>
              <w:ind w:left="0"/>
              <w:rPr>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rsidR="001844B6" w:rsidRPr="007E190E" w:rsidRDefault="001844B6" w:rsidP="005A3880">
            <w:pPr>
              <w:pStyle w:val="IATableLabel"/>
              <w:rPr>
                <w:bCs/>
              </w:rPr>
            </w:pPr>
            <w:r w:rsidRPr="00304C1D">
              <w:t>Low:</w:t>
            </w:r>
            <w:r w:rsidRPr="00826F71">
              <w:t xml:space="preserve"> </w:t>
            </w:r>
            <w:r w:rsidRPr="007E190E">
              <w:rPr>
                <w:rStyle w:val="PONBLowCharChar"/>
              </w:rPr>
              <w:fldChar w:fldCharType="begin">
                <w:ffData>
                  <w:name w:val="Text58"/>
                  <w:enabled/>
                  <w:calcOnExit w:val="0"/>
                  <w:textInput>
                    <w:default w:val="Optional"/>
                    <w:maxLength w:val="8"/>
                  </w:textInput>
                </w:ffData>
              </w:fldChar>
            </w:r>
            <w:r w:rsidRPr="007E190E">
              <w:rPr>
                <w:rStyle w:val="PONBLowCharChar"/>
              </w:rPr>
              <w:instrText xml:space="preserve"> FORMTEXT </w:instrText>
            </w:r>
            <w:r w:rsidRPr="007E190E">
              <w:rPr>
                <w:rStyle w:val="PONBLowCharChar"/>
              </w:rPr>
            </w:r>
            <w:r w:rsidRPr="007E190E">
              <w:rPr>
                <w:rStyle w:val="PONBLowCharChar"/>
              </w:rPr>
              <w:fldChar w:fldCharType="separate"/>
            </w:r>
            <w:r w:rsidRPr="007E190E">
              <w:rPr>
                <w:rStyle w:val="PONBLowCharChar"/>
                <w:noProof/>
              </w:rPr>
              <w:t>Optional</w:t>
            </w:r>
            <w:r w:rsidRPr="007E190E">
              <w:rPr>
                <w:rStyle w:val="PONBLowCharChar"/>
              </w:rPr>
              <w:fldChar w:fldCharType="end"/>
            </w:r>
          </w:p>
        </w:tc>
        <w:tc>
          <w:tcPr>
            <w:tcW w:w="1827" w:type="dxa"/>
            <w:tcBorders>
              <w:top w:val="single" w:sz="4" w:space="0" w:color="auto"/>
              <w:left w:val="single" w:sz="4" w:space="0" w:color="auto"/>
              <w:bottom w:val="single" w:sz="12" w:space="0" w:color="auto"/>
              <w:right w:val="single" w:sz="12" w:space="0" w:color="auto"/>
            </w:tcBorders>
            <w:shd w:val="clear" w:color="auto" w:fill="auto"/>
          </w:tcPr>
          <w:p w:rsidR="001844B6" w:rsidRPr="007E190E" w:rsidRDefault="001844B6" w:rsidP="005A3880">
            <w:pPr>
              <w:pStyle w:val="IATableLabel"/>
              <w:rPr>
                <w:rFonts w:cs="Arial"/>
                <w:bCs/>
                <w:szCs w:val="18"/>
              </w:rPr>
            </w:pPr>
            <w:r w:rsidRPr="00304C1D">
              <w:t>High:</w:t>
            </w:r>
            <w:r w:rsidRPr="00826F71">
              <w:t xml:space="preserve"> </w:t>
            </w:r>
            <w:r w:rsidRPr="007E190E">
              <w:rPr>
                <w:rStyle w:val="PONBHighChar"/>
              </w:rPr>
              <w:fldChar w:fldCharType="begin">
                <w:ffData>
                  <w:name w:val="Text59"/>
                  <w:enabled/>
                  <w:calcOnExit w:val="0"/>
                  <w:textInput>
                    <w:default w:val="Optional"/>
                    <w:maxLength w:val="8"/>
                  </w:textInput>
                </w:ffData>
              </w:fldChar>
            </w:r>
            <w:r w:rsidRPr="007E190E">
              <w:rPr>
                <w:rStyle w:val="PONBHighChar"/>
              </w:rPr>
              <w:instrText xml:space="preserve"> FORMTEXT </w:instrText>
            </w:r>
            <w:r w:rsidRPr="007E190E">
              <w:rPr>
                <w:rStyle w:val="PONBHighChar"/>
              </w:rPr>
            </w:r>
            <w:r w:rsidRPr="007E190E">
              <w:rPr>
                <w:rStyle w:val="PONBHighChar"/>
              </w:rPr>
              <w:fldChar w:fldCharType="separate"/>
            </w:r>
            <w:r w:rsidRPr="007E190E">
              <w:rPr>
                <w:rStyle w:val="PONBHighChar"/>
                <w:noProof/>
              </w:rPr>
              <w:t>Optional</w:t>
            </w:r>
            <w:r w:rsidRPr="007E190E">
              <w:rPr>
                <w:rStyle w:val="PONBHighChar"/>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1844B6" w:rsidRPr="007E190E" w:rsidRDefault="001844B6" w:rsidP="003208C1">
            <w:pPr>
              <w:pStyle w:val="IATableLabel"/>
              <w:rPr>
                <w:szCs w:val="18"/>
              </w:rPr>
            </w:pPr>
            <w:r w:rsidRPr="00304C1D">
              <w:t xml:space="preserve">Best </w:t>
            </w:r>
            <w:r>
              <w:t>E</w:t>
            </w:r>
            <w:r w:rsidRPr="00304C1D">
              <w:t>stimate:</w:t>
            </w:r>
            <w:r w:rsidRPr="00826F71">
              <w:t xml:space="preserve"> </w:t>
            </w:r>
            <w:r w:rsidRPr="007E190E">
              <w:rPr>
                <w:rStyle w:val="PONBBestEstChar"/>
              </w:rPr>
              <w:fldChar w:fldCharType="begin">
                <w:ffData>
                  <w:name w:val="Text60"/>
                  <w:enabled/>
                  <w:calcOnExit w:val="0"/>
                  <w:textInput>
                    <w:maxLength w:val="8"/>
                  </w:textInput>
                </w:ffData>
              </w:fldChar>
            </w:r>
            <w:r w:rsidRPr="007E190E">
              <w:rPr>
                <w:rStyle w:val="PONBBestEstChar"/>
              </w:rPr>
              <w:instrText xml:space="preserve"> FORMTEXT </w:instrText>
            </w:r>
            <w:r w:rsidRPr="007E190E">
              <w:rPr>
                <w:rStyle w:val="PONBBestEstChar"/>
              </w:rPr>
            </w:r>
            <w:r w:rsidRPr="007E190E">
              <w:rPr>
                <w:rStyle w:val="PONBBestEstChar"/>
              </w:rPr>
              <w:fldChar w:fldCharType="separate"/>
            </w:r>
            <w:r w:rsidR="003208C1">
              <w:rPr>
                <w:rStyle w:val="PONBBestEstChar"/>
                <w:noProof/>
              </w:rPr>
              <w:t>0</w:t>
            </w:r>
            <w:r w:rsidRPr="007E190E">
              <w:rPr>
                <w:rStyle w:val="PONBBestEstChar"/>
              </w:rPr>
              <w:fldChar w:fldCharType="end"/>
            </w:r>
          </w:p>
        </w:tc>
      </w:tr>
    </w:tbl>
    <w:p w:rsidR="001844B6" w:rsidRDefault="001844B6" w:rsidP="005A3880">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95"/>
        <w:gridCol w:w="1949"/>
        <w:gridCol w:w="790"/>
        <w:gridCol w:w="2865"/>
        <w:gridCol w:w="1776"/>
        <w:gridCol w:w="860"/>
      </w:tblGrid>
      <w:tr w:rsidR="001844B6" w:rsidRPr="007E190E" w:rsidTr="007E190E">
        <w:trPr>
          <w:trHeight w:hRule="exact" w:val="567"/>
        </w:trPr>
        <w:tc>
          <w:tcPr>
            <w:tcW w:w="1995" w:type="dxa"/>
            <w:shd w:val="clear" w:color="auto" w:fill="FFFFFF"/>
          </w:tcPr>
          <w:p w:rsidR="001844B6" w:rsidRPr="007E190E" w:rsidRDefault="001844B6" w:rsidP="005A3880">
            <w:pPr>
              <w:pStyle w:val="IATableLabel"/>
              <w:rPr>
                <w:sz w:val="24"/>
                <w:szCs w:val="24"/>
              </w:rPr>
            </w:pPr>
            <w:r w:rsidRPr="007E190E">
              <w:rPr>
                <w:sz w:val="24"/>
                <w:szCs w:val="24"/>
              </w:rPr>
              <w:t>COSTS (£m)</w:t>
            </w:r>
          </w:p>
        </w:tc>
        <w:tc>
          <w:tcPr>
            <w:tcW w:w="2739" w:type="dxa"/>
            <w:gridSpan w:val="2"/>
            <w:tcBorders>
              <w:top w:val="single" w:sz="12" w:space="0" w:color="auto"/>
              <w:bottom w:val="single" w:sz="6" w:space="0" w:color="auto"/>
            </w:tcBorders>
            <w:shd w:val="clear" w:color="auto" w:fill="auto"/>
          </w:tcPr>
          <w:p w:rsidR="001844B6" w:rsidRPr="00826F71" w:rsidRDefault="001844B6" w:rsidP="007E190E">
            <w:pPr>
              <w:pStyle w:val="IATableLabel"/>
              <w:tabs>
                <w:tab w:val="right" w:pos="1800"/>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rsidR="001844B6" w:rsidRPr="00826F71" w:rsidRDefault="001844B6" w:rsidP="007E190E">
            <w:pPr>
              <w:pStyle w:val="IATableLabel"/>
              <w:jc w:val="right"/>
            </w:pPr>
            <w:r>
              <w:br/>
            </w:r>
          </w:p>
        </w:tc>
        <w:tc>
          <w:tcPr>
            <w:tcW w:w="2865" w:type="dxa"/>
            <w:tcBorders>
              <w:bottom w:val="single" w:sz="6" w:space="0" w:color="auto"/>
              <w:right w:val="single" w:sz="12" w:space="0" w:color="auto"/>
            </w:tcBorders>
            <w:shd w:val="clear" w:color="auto" w:fill="auto"/>
          </w:tcPr>
          <w:p w:rsidR="001844B6" w:rsidRPr="007E190E" w:rsidRDefault="001844B6" w:rsidP="007E190E">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1844B6" w:rsidRPr="00826F71" w:rsidRDefault="001844B6" w:rsidP="007E190E">
            <w:pPr>
              <w:pStyle w:val="IATableLabel"/>
              <w:jc w:val="right"/>
            </w:pPr>
            <w:r w:rsidRPr="00826F71">
              <w:t>Total Cost</w:t>
            </w:r>
            <w:r w:rsidRPr="007E190E">
              <w:rPr>
                <w:b w:val="0"/>
                <w:sz w:val="18"/>
                <w:szCs w:val="18"/>
              </w:rPr>
              <w:t xml:space="preserve"> </w:t>
            </w:r>
            <w:r w:rsidRPr="007E190E">
              <w:rPr>
                <w:b w:val="0"/>
                <w:sz w:val="18"/>
                <w:szCs w:val="18"/>
              </w:rPr>
              <w:br/>
              <w:t>(Present Value)</w:t>
            </w:r>
          </w:p>
        </w:tc>
      </w:tr>
      <w:tr w:rsidR="001844B6" w:rsidRPr="007E190E" w:rsidTr="007E190E">
        <w:trPr>
          <w:trHeight w:hRule="exact" w:val="348"/>
        </w:trPr>
        <w:tc>
          <w:tcPr>
            <w:tcW w:w="1995" w:type="dxa"/>
            <w:tcBorders>
              <w:top w:val="single" w:sz="6" w:space="0" w:color="auto"/>
              <w:bottom w:val="single" w:sz="6" w:space="0" w:color="auto"/>
            </w:tcBorders>
            <w:shd w:val="clear" w:color="auto" w:fill="auto"/>
            <w:vAlign w:val="center"/>
          </w:tcPr>
          <w:p w:rsidR="001844B6" w:rsidRPr="00F63895" w:rsidRDefault="001844B6" w:rsidP="005A3880">
            <w:pPr>
              <w:pStyle w:val="IATableLabel"/>
            </w:pPr>
            <w:r w:rsidRPr="00F63895">
              <w:t xml:space="preserve">Low </w:t>
            </w:r>
          </w:p>
        </w:tc>
        <w:tc>
          <w:tcPr>
            <w:tcW w:w="1949" w:type="dxa"/>
            <w:tcBorders>
              <w:top w:val="single" w:sz="6" w:space="0" w:color="auto"/>
              <w:bottom w:val="single" w:sz="6" w:space="0" w:color="auto"/>
            </w:tcBorders>
            <w:shd w:val="clear" w:color="auto" w:fill="auto"/>
            <w:vAlign w:val="center"/>
          </w:tcPr>
          <w:p w:rsidR="001844B6" w:rsidRPr="007E190E" w:rsidRDefault="001844B6" w:rsidP="003208C1">
            <w:pPr>
              <w:pStyle w:val="POTTCostsLow"/>
              <w:rPr>
                <w:sz w:val="20"/>
              </w:rPr>
            </w:pPr>
            <w:r w:rsidRPr="007E190E">
              <w:rPr>
                <w:sz w:val="20"/>
              </w:rPr>
              <w:fldChar w:fldCharType="begin">
                <w:ffData>
                  <w:name w:val="Text45"/>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val="restart"/>
            <w:tcBorders>
              <w:top w:val="single" w:sz="6" w:space="0" w:color="auto"/>
            </w:tcBorders>
            <w:shd w:val="clear" w:color="auto" w:fill="auto"/>
            <w:vAlign w:val="center"/>
          </w:tcPr>
          <w:p w:rsidR="001844B6" w:rsidRPr="007E190E" w:rsidRDefault="001844B6" w:rsidP="005A3880">
            <w:pPr>
              <w:pStyle w:val="POTTCostsYear"/>
              <w:rPr>
                <w:sz w:val="20"/>
                <w:szCs w:val="20"/>
              </w:rPr>
            </w:pPr>
            <w:r w:rsidRPr="007E190E">
              <w:rPr>
                <w:sz w:val="20"/>
                <w:szCs w:val="20"/>
              </w:rPr>
              <w:fldChar w:fldCharType="begin">
                <w:ffData>
                  <w:name w:val="Text48"/>
                  <w:enabled/>
                  <w:calcOnExit w:val="0"/>
                  <w:textInput>
                    <w:maxLength w:val="3"/>
                  </w:textInput>
                </w:ffData>
              </w:fldChar>
            </w:r>
            <w:r w:rsidRPr="007E190E">
              <w:rPr>
                <w:sz w:val="20"/>
                <w:szCs w:val="20"/>
              </w:rPr>
              <w:instrText xml:space="preserve"> FORMTEXT </w:instrText>
            </w:r>
            <w:r w:rsidRPr="007E190E">
              <w:rPr>
                <w:sz w:val="20"/>
                <w:szCs w:val="20"/>
              </w:rPr>
            </w:r>
            <w:r w:rsidRPr="007E190E">
              <w:rPr>
                <w:sz w:val="20"/>
                <w:szCs w:val="20"/>
              </w:rPr>
              <w:fldChar w:fldCharType="separate"/>
            </w:r>
            <w:r w:rsidRPr="007E190E">
              <w:rPr>
                <w:noProof/>
                <w:sz w:val="20"/>
                <w:szCs w:val="20"/>
              </w:rPr>
              <w:t> </w:t>
            </w:r>
            <w:r w:rsidRPr="007E190E">
              <w:rPr>
                <w:noProof/>
                <w:sz w:val="20"/>
                <w:szCs w:val="20"/>
              </w:rPr>
              <w:t> </w:t>
            </w:r>
            <w:r w:rsidRPr="007E190E">
              <w:rPr>
                <w:noProof/>
                <w:sz w:val="20"/>
                <w:szCs w:val="20"/>
              </w:rPr>
              <w:t> </w:t>
            </w:r>
            <w:r w:rsidRPr="007E190E">
              <w:rPr>
                <w:sz w:val="20"/>
                <w:szCs w:val="20"/>
              </w:rPr>
              <w:fldChar w:fldCharType="end"/>
            </w:r>
          </w:p>
        </w:tc>
        <w:tc>
          <w:tcPr>
            <w:tcW w:w="2865" w:type="dxa"/>
            <w:tcBorders>
              <w:top w:val="single" w:sz="6" w:space="0" w:color="auto"/>
              <w:bottom w:val="single" w:sz="6" w:space="0" w:color="auto"/>
              <w:right w:val="single" w:sz="12" w:space="0" w:color="auto"/>
            </w:tcBorders>
            <w:shd w:val="clear" w:color="auto" w:fill="auto"/>
            <w:vAlign w:val="center"/>
          </w:tcPr>
          <w:p w:rsidR="001844B6" w:rsidRPr="007E190E" w:rsidRDefault="001844B6" w:rsidP="005A3880">
            <w:pPr>
              <w:pStyle w:val="POAACostsLow"/>
              <w:rPr>
                <w:sz w:val="20"/>
              </w:rPr>
            </w:pPr>
            <w:r w:rsidRPr="007E190E">
              <w:rPr>
                <w:sz w:val="20"/>
              </w:rPr>
              <w:fldChar w:fldCharType="begin">
                <w:ffData>
                  <w:name w:val="Text49"/>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636" w:type="dxa"/>
            <w:gridSpan w:val="2"/>
            <w:tcBorders>
              <w:top w:val="single" w:sz="6" w:space="0" w:color="auto"/>
              <w:left w:val="single" w:sz="12" w:space="0" w:color="auto"/>
              <w:bottom w:val="single" w:sz="6" w:space="0" w:color="auto"/>
            </w:tcBorders>
            <w:shd w:val="clear" w:color="auto" w:fill="auto"/>
            <w:vAlign w:val="center"/>
          </w:tcPr>
          <w:p w:rsidR="001844B6" w:rsidRPr="007E190E" w:rsidRDefault="001844B6" w:rsidP="005A3880">
            <w:pPr>
              <w:pStyle w:val="POTCCostsLow"/>
              <w:rPr>
                <w:sz w:val="20"/>
              </w:rPr>
            </w:pPr>
            <w:r w:rsidRPr="007E190E">
              <w:rPr>
                <w:sz w:val="20"/>
              </w:rPr>
              <w:fldChar w:fldCharType="begin">
                <w:ffData>
                  <w:name w:val="Text52"/>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1844B6" w:rsidRPr="007E190E" w:rsidTr="007E190E">
        <w:trPr>
          <w:trHeight w:hRule="exact" w:val="348"/>
        </w:trPr>
        <w:tc>
          <w:tcPr>
            <w:tcW w:w="1995" w:type="dxa"/>
            <w:tcBorders>
              <w:top w:val="single" w:sz="6" w:space="0" w:color="auto"/>
              <w:bottom w:val="single" w:sz="12" w:space="0" w:color="auto"/>
            </w:tcBorders>
            <w:shd w:val="clear" w:color="auto" w:fill="auto"/>
            <w:vAlign w:val="center"/>
          </w:tcPr>
          <w:p w:rsidR="001844B6" w:rsidRPr="00F63895" w:rsidRDefault="001844B6" w:rsidP="005A3880">
            <w:pPr>
              <w:pStyle w:val="IATableLabel"/>
            </w:pPr>
            <w:r w:rsidRPr="00F63895">
              <w:t xml:space="preserve">High </w:t>
            </w:r>
          </w:p>
        </w:tc>
        <w:tc>
          <w:tcPr>
            <w:tcW w:w="1949" w:type="dxa"/>
            <w:tcBorders>
              <w:top w:val="single" w:sz="6" w:space="0" w:color="auto"/>
              <w:bottom w:val="single" w:sz="12" w:space="0" w:color="auto"/>
            </w:tcBorders>
            <w:shd w:val="clear" w:color="auto" w:fill="auto"/>
            <w:vAlign w:val="center"/>
          </w:tcPr>
          <w:p w:rsidR="001844B6" w:rsidRPr="007E190E" w:rsidRDefault="001844B6" w:rsidP="005A3880">
            <w:pPr>
              <w:pStyle w:val="POTTCostsHigh"/>
              <w:rPr>
                <w:sz w:val="20"/>
              </w:rPr>
            </w:pPr>
            <w:r w:rsidRPr="007E190E">
              <w:rPr>
                <w:sz w:val="20"/>
              </w:rPr>
              <w:fldChar w:fldCharType="begin">
                <w:ffData>
                  <w:name w:val="Text46"/>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shd w:val="clear" w:color="auto" w:fill="FFFFFF"/>
            <w:vAlign w:val="center"/>
          </w:tcPr>
          <w:p w:rsidR="001844B6" w:rsidRPr="007E190E" w:rsidRDefault="001844B6" w:rsidP="007E190E">
            <w:pPr>
              <w:pStyle w:val="IATableText"/>
              <w:jc w:val="right"/>
              <w:rPr>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1844B6" w:rsidRPr="007E190E" w:rsidRDefault="001844B6" w:rsidP="005A3880">
            <w:pPr>
              <w:pStyle w:val="POAACostsHigh"/>
              <w:rPr>
                <w:sz w:val="20"/>
              </w:rPr>
            </w:pPr>
            <w:r w:rsidRPr="007E190E">
              <w:rPr>
                <w:sz w:val="20"/>
              </w:rPr>
              <w:fldChar w:fldCharType="begin">
                <w:ffData>
                  <w:name w:val="Text50"/>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636" w:type="dxa"/>
            <w:gridSpan w:val="2"/>
            <w:tcBorders>
              <w:top w:val="single" w:sz="6" w:space="0" w:color="auto"/>
              <w:left w:val="single" w:sz="12" w:space="0" w:color="auto"/>
              <w:bottom w:val="single" w:sz="12" w:space="0" w:color="auto"/>
            </w:tcBorders>
            <w:shd w:val="clear" w:color="auto" w:fill="auto"/>
            <w:vAlign w:val="center"/>
          </w:tcPr>
          <w:p w:rsidR="001844B6" w:rsidRPr="007E190E" w:rsidRDefault="001844B6" w:rsidP="005A3880">
            <w:pPr>
              <w:pStyle w:val="POTCCostsHigh"/>
              <w:rPr>
                <w:sz w:val="20"/>
              </w:rPr>
            </w:pPr>
            <w:r w:rsidRPr="007E190E">
              <w:rPr>
                <w:sz w:val="20"/>
              </w:rPr>
              <w:fldChar w:fldCharType="begin">
                <w:ffData>
                  <w:name w:val="Text53"/>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1844B6" w:rsidRPr="007E190E" w:rsidTr="007E190E">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1844B6" w:rsidRPr="00F63895" w:rsidRDefault="001844B6" w:rsidP="005A3880">
            <w:pPr>
              <w:pStyle w:val="IATableLabel"/>
            </w:pPr>
            <w:r w:rsidRPr="00F63895">
              <w:t>Best Estimate</w:t>
            </w:r>
          </w:p>
          <w:p w:rsidR="001844B6" w:rsidRPr="007E190E" w:rsidRDefault="001844B6" w:rsidP="007E190E">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7E190E" w:rsidRDefault="001844B6" w:rsidP="003208C1">
            <w:pPr>
              <w:pStyle w:val="POTTCostsBest"/>
              <w:rPr>
                <w:sz w:val="20"/>
              </w:rPr>
            </w:pPr>
            <w:r w:rsidRPr="007E190E">
              <w:rPr>
                <w:sz w:val="20"/>
              </w:rPr>
              <w:fldChar w:fldCharType="begin">
                <w:ffData>
                  <w:name w:val="Text51"/>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3208C1">
              <w:rPr>
                <w:noProof/>
                <w:sz w:val="20"/>
              </w:rPr>
              <w:t>0</w:t>
            </w:r>
            <w:r w:rsidRPr="007E190E">
              <w:rPr>
                <w:sz w:val="20"/>
              </w:rPr>
              <w:fldChar w:fldCharType="end"/>
            </w:r>
          </w:p>
        </w:tc>
        <w:tc>
          <w:tcPr>
            <w:tcW w:w="790" w:type="dxa"/>
            <w:vMerge/>
            <w:tcBorders>
              <w:left w:val="single" w:sz="12" w:space="0" w:color="auto"/>
              <w:right w:val="single" w:sz="12" w:space="0" w:color="auto"/>
            </w:tcBorders>
            <w:shd w:val="clear" w:color="auto" w:fill="FFFFFF"/>
            <w:vAlign w:val="center"/>
          </w:tcPr>
          <w:p w:rsidR="001844B6" w:rsidRPr="007E190E" w:rsidRDefault="001844B6" w:rsidP="007E190E">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7E190E" w:rsidRDefault="001844B6" w:rsidP="003208C1">
            <w:pPr>
              <w:pStyle w:val="POAACostsBest"/>
              <w:rPr>
                <w:sz w:val="20"/>
              </w:rPr>
            </w:pPr>
            <w:r w:rsidRPr="007E190E">
              <w:rPr>
                <w:sz w:val="20"/>
              </w:rPr>
              <w:fldChar w:fldCharType="begin">
                <w:ffData>
                  <w:name w:val="Text51"/>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3208C1">
              <w:rPr>
                <w:noProof/>
                <w:sz w:val="20"/>
              </w:rPr>
              <w:t>0</w:t>
            </w:r>
            <w:r w:rsidRPr="007E190E">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1844B6" w:rsidRPr="007E190E" w:rsidRDefault="001844B6" w:rsidP="003208C1">
            <w:pPr>
              <w:pStyle w:val="POTCCostsBest"/>
              <w:rPr>
                <w:sz w:val="20"/>
              </w:rPr>
            </w:pPr>
            <w:r w:rsidRPr="007E190E">
              <w:rPr>
                <w:sz w:val="20"/>
              </w:rPr>
              <w:fldChar w:fldCharType="begin">
                <w:ffData>
                  <w:name w:val="Text54"/>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3208C1">
              <w:rPr>
                <w:noProof/>
                <w:sz w:val="20"/>
              </w:rPr>
              <w:t>0</w:t>
            </w:r>
            <w:r w:rsidRPr="007E190E">
              <w:rPr>
                <w:sz w:val="20"/>
              </w:rPr>
              <w:fldChar w:fldCharType="end"/>
            </w:r>
          </w:p>
        </w:tc>
      </w:tr>
      <w:tr w:rsidR="001844B6" w:rsidRPr="00826F71" w:rsidTr="007E190E">
        <w:trPr>
          <w:trHeight w:hRule="exact" w:val="1701"/>
        </w:trPr>
        <w:tc>
          <w:tcPr>
            <w:tcW w:w="10235" w:type="dxa"/>
            <w:gridSpan w:val="6"/>
            <w:tcBorders>
              <w:bottom w:val="single" w:sz="6" w:space="0" w:color="auto"/>
            </w:tcBorders>
            <w:shd w:val="clear" w:color="auto" w:fill="auto"/>
          </w:tcPr>
          <w:p w:rsidR="001844B6" w:rsidRPr="007E190E" w:rsidRDefault="001844B6" w:rsidP="005A3880">
            <w:pPr>
              <w:pStyle w:val="IAPOQ1"/>
              <w:rPr>
                <w:szCs w:val="22"/>
              </w:rPr>
            </w:pPr>
            <w:r w:rsidRPr="00544292">
              <w:t xml:space="preserve">Description and scale of </w:t>
            </w:r>
            <w:r w:rsidRPr="00826F71">
              <w:t>key monetised costs</w:t>
            </w:r>
            <w:r w:rsidRPr="00544292">
              <w:t xml:space="preserve"> by ‘main affected groups’ </w:t>
            </w:r>
          </w:p>
          <w:p w:rsidR="001844B6" w:rsidRPr="00826F71" w:rsidRDefault="001844B6" w:rsidP="003208C1">
            <w:pPr>
              <w:pStyle w:val="IAPOA1"/>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rsidR="003208C1" w:rsidRPr="003208C1">
              <w:rPr>
                <w:noProof/>
              </w:rPr>
              <w:t>In line with impact assessment guidance the do nothing option has zero costs or benefits as impacts are assessed as marginal changes against the do nothing baseline</w:t>
            </w:r>
            <w:r w:rsidRPr="00D337D1">
              <w:fldChar w:fldCharType="end"/>
            </w:r>
          </w:p>
        </w:tc>
      </w:tr>
      <w:tr w:rsidR="001844B6" w:rsidRPr="00826F71" w:rsidTr="007E190E">
        <w:trPr>
          <w:trHeight w:hRule="exact" w:val="1701"/>
        </w:trPr>
        <w:tc>
          <w:tcPr>
            <w:tcW w:w="10235" w:type="dxa"/>
            <w:gridSpan w:val="6"/>
            <w:tcBorders>
              <w:top w:val="single" w:sz="6" w:space="0" w:color="auto"/>
              <w:bottom w:val="single" w:sz="12" w:space="0" w:color="auto"/>
            </w:tcBorders>
            <w:shd w:val="clear" w:color="auto" w:fill="auto"/>
          </w:tcPr>
          <w:p w:rsidR="001844B6" w:rsidRPr="007E190E" w:rsidRDefault="001844B6" w:rsidP="005A3880">
            <w:pPr>
              <w:pStyle w:val="IAPOQ2"/>
              <w:rPr>
                <w:szCs w:val="22"/>
              </w:rPr>
            </w:pPr>
            <w:r w:rsidRPr="00544292">
              <w:t>Other</w:t>
            </w:r>
            <w:r w:rsidRPr="00826F71">
              <w:t xml:space="preserve"> key non-monetised costs</w:t>
            </w:r>
            <w:r w:rsidRPr="00544292">
              <w:t xml:space="preserve"> by ‘main affected groups’ </w:t>
            </w:r>
          </w:p>
          <w:p w:rsidR="001844B6" w:rsidRPr="007E190E" w:rsidRDefault="001844B6" w:rsidP="003208C1">
            <w:pPr>
              <w:pStyle w:val="IAPOA2"/>
              <w:rPr>
                <w:szCs w:val="22"/>
              </w:rPr>
            </w:pPr>
            <w:r w:rsidRPr="007E190E">
              <w:rPr>
                <w:szCs w:val="22"/>
              </w:rPr>
              <w:fldChar w:fldCharType="begin">
                <w:ffData>
                  <w:name w:val="Text62"/>
                  <w:enabled/>
                  <w:calcOnExit w:val="0"/>
                  <w:textInput>
                    <w:default w:val="Maximum of 5 lines"/>
                    <w:maxLength w:val="500"/>
                  </w:textInput>
                </w:ffData>
              </w:fldChar>
            </w:r>
            <w:r w:rsidRPr="007E190E">
              <w:rPr>
                <w:szCs w:val="22"/>
              </w:rPr>
              <w:instrText xml:space="preserve"> FORMTEXT </w:instrText>
            </w:r>
            <w:r w:rsidRPr="007E190E">
              <w:rPr>
                <w:szCs w:val="22"/>
              </w:rPr>
            </w:r>
            <w:r w:rsidRPr="007E190E">
              <w:rPr>
                <w:szCs w:val="22"/>
              </w:rPr>
              <w:fldChar w:fldCharType="separate"/>
            </w:r>
            <w:r w:rsidR="003208C1" w:rsidRPr="003208C1">
              <w:rPr>
                <w:noProof/>
                <w:szCs w:val="22"/>
              </w:rPr>
              <w:t>In line with impact assessment guidance the do nothing option has zero costs or benefits as impacts are assessed as marginal changes against the do nothing baseline</w:t>
            </w:r>
            <w:r w:rsidRPr="007E190E">
              <w:rPr>
                <w:szCs w:val="22"/>
              </w:rPr>
              <w:fldChar w:fldCharType="end"/>
            </w:r>
          </w:p>
        </w:tc>
      </w:tr>
      <w:tr w:rsidR="001844B6" w:rsidRPr="007E190E" w:rsidTr="007E190E">
        <w:trPr>
          <w:trHeight w:hRule="exact" w:val="567"/>
        </w:trPr>
        <w:tc>
          <w:tcPr>
            <w:tcW w:w="1995" w:type="dxa"/>
            <w:shd w:val="clear" w:color="auto" w:fill="FFFFFF"/>
          </w:tcPr>
          <w:p w:rsidR="001844B6" w:rsidRPr="007E190E" w:rsidRDefault="001844B6" w:rsidP="005A3880">
            <w:pPr>
              <w:pStyle w:val="IATableLabel"/>
              <w:rPr>
                <w:sz w:val="24"/>
                <w:szCs w:val="24"/>
              </w:rPr>
            </w:pPr>
            <w:r w:rsidRPr="007E190E">
              <w:rPr>
                <w:sz w:val="24"/>
                <w:szCs w:val="24"/>
              </w:rPr>
              <w:t>BENEFITS (£m)</w:t>
            </w:r>
          </w:p>
        </w:tc>
        <w:tc>
          <w:tcPr>
            <w:tcW w:w="2739" w:type="dxa"/>
            <w:gridSpan w:val="2"/>
            <w:tcBorders>
              <w:top w:val="single" w:sz="12" w:space="0" w:color="auto"/>
              <w:bottom w:val="single" w:sz="6" w:space="0" w:color="auto"/>
            </w:tcBorders>
            <w:shd w:val="clear" w:color="auto" w:fill="auto"/>
          </w:tcPr>
          <w:p w:rsidR="001844B6" w:rsidRPr="00826F71" w:rsidRDefault="001844B6" w:rsidP="007E190E">
            <w:pPr>
              <w:pStyle w:val="IATableLabel"/>
              <w:tabs>
                <w:tab w:val="right" w:pos="1797"/>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rsidR="001844B6" w:rsidRPr="00826F71" w:rsidRDefault="001844B6" w:rsidP="007E190E">
            <w:pPr>
              <w:pStyle w:val="IATableLabel"/>
              <w:jc w:val="right"/>
            </w:pPr>
            <w:r>
              <w:br/>
            </w:r>
          </w:p>
        </w:tc>
        <w:tc>
          <w:tcPr>
            <w:tcW w:w="2865" w:type="dxa"/>
            <w:tcBorders>
              <w:bottom w:val="single" w:sz="6" w:space="0" w:color="auto"/>
              <w:right w:val="single" w:sz="12" w:space="0" w:color="auto"/>
            </w:tcBorders>
            <w:shd w:val="clear" w:color="auto" w:fill="auto"/>
          </w:tcPr>
          <w:p w:rsidR="001844B6" w:rsidRPr="007E190E" w:rsidRDefault="001844B6" w:rsidP="007E190E">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1844B6" w:rsidRPr="00826F71" w:rsidRDefault="001844B6" w:rsidP="007E190E">
            <w:pPr>
              <w:pStyle w:val="IATableLabel"/>
              <w:jc w:val="right"/>
            </w:pPr>
            <w:r w:rsidRPr="00826F71">
              <w:t xml:space="preserve">Total </w:t>
            </w:r>
            <w:r>
              <w:t>Benefit</w:t>
            </w:r>
            <w:r w:rsidRPr="007E190E">
              <w:rPr>
                <w:b w:val="0"/>
                <w:sz w:val="18"/>
                <w:szCs w:val="18"/>
              </w:rPr>
              <w:t xml:space="preserve"> </w:t>
            </w:r>
            <w:r w:rsidRPr="007E190E">
              <w:rPr>
                <w:b w:val="0"/>
                <w:sz w:val="18"/>
                <w:szCs w:val="18"/>
              </w:rPr>
              <w:br/>
              <w:t>(Present Value)</w:t>
            </w:r>
          </w:p>
        </w:tc>
      </w:tr>
      <w:tr w:rsidR="001844B6" w:rsidRPr="007E190E" w:rsidTr="007E190E">
        <w:trPr>
          <w:trHeight w:hRule="exact" w:val="348"/>
        </w:trPr>
        <w:tc>
          <w:tcPr>
            <w:tcW w:w="1995" w:type="dxa"/>
            <w:tcBorders>
              <w:top w:val="single" w:sz="6" w:space="0" w:color="auto"/>
              <w:bottom w:val="single" w:sz="6" w:space="0" w:color="auto"/>
            </w:tcBorders>
            <w:shd w:val="clear" w:color="auto" w:fill="auto"/>
            <w:vAlign w:val="center"/>
          </w:tcPr>
          <w:p w:rsidR="001844B6" w:rsidRPr="00826F71" w:rsidRDefault="001844B6" w:rsidP="005A3880">
            <w:pPr>
              <w:pStyle w:val="IATableLabel"/>
            </w:pPr>
            <w:r w:rsidRPr="00826F71">
              <w:t xml:space="preserve">Low </w:t>
            </w:r>
          </w:p>
        </w:tc>
        <w:tc>
          <w:tcPr>
            <w:tcW w:w="1949" w:type="dxa"/>
            <w:tcBorders>
              <w:top w:val="single" w:sz="6" w:space="0" w:color="auto"/>
              <w:bottom w:val="single" w:sz="6" w:space="0" w:color="auto"/>
            </w:tcBorders>
            <w:shd w:val="clear" w:color="auto" w:fill="auto"/>
            <w:vAlign w:val="center"/>
          </w:tcPr>
          <w:p w:rsidR="001844B6" w:rsidRPr="007E190E" w:rsidRDefault="001844B6" w:rsidP="005A3880">
            <w:pPr>
              <w:pStyle w:val="POTT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val="restart"/>
            <w:tcBorders>
              <w:top w:val="single" w:sz="6" w:space="0" w:color="auto"/>
            </w:tcBorders>
            <w:shd w:val="clear" w:color="auto" w:fill="auto"/>
            <w:vAlign w:val="center"/>
          </w:tcPr>
          <w:p w:rsidR="001844B6" w:rsidRPr="007E190E" w:rsidRDefault="001844B6" w:rsidP="007E190E">
            <w:pPr>
              <w:pStyle w:val="IATableText"/>
              <w:jc w:val="center"/>
              <w:rPr>
                <w:sz w:val="20"/>
              </w:rPr>
            </w:pPr>
            <w:r w:rsidRPr="007E190E">
              <w:rPr>
                <w:sz w:val="20"/>
              </w:rPr>
              <w:fldChar w:fldCharType="begin">
                <w:ffData>
                  <w:name w:val="Text48"/>
                  <w:enabled/>
                  <w:calcOnExit w:val="0"/>
                  <w:textInput>
                    <w:maxLength w:val="3"/>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sz w:val="20"/>
              </w:rPr>
              <w:fldChar w:fldCharType="end"/>
            </w:r>
          </w:p>
        </w:tc>
        <w:tc>
          <w:tcPr>
            <w:tcW w:w="2865" w:type="dxa"/>
            <w:tcBorders>
              <w:top w:val="single" w:sz="6" w:space="0" w:color="auto"/>
              <w:bottom w:val="single" w:sz="6" w:space="0" w:color="auto"/>
              <w:right w:val="single" w:sz="12" w:space="0" w:color="auto"/>
            </w:tcBorders>
            <w:shd w:val="clear" w:color="auto" w:fill="auto"/>
            <w:vAlign w:val="center"/>
          </w:tcPr>
          <w:p w:rsidR="001844B6" w:rsidRPr="007E190E" w:rsidRDefault="001844B6" w:rsidP="005A3880">
            <w:pPr>
              <w:pStyle w:val="POAA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636" w:type="dxa"/>
            <w:gridSpan w:val="2"/>
            <w:tcBorders>
              <w:top w:val="single" w:sz="6" w:space="0" w:color="auto"/>
              <w:left w:val="single" w:sz="12" w:space="0" w:color="auto"/>
              <w:bottom w:val="single" w:sz="6" w:space="0" w:color="auto"/>
            </w:tcBorders>
            <w:shd w:val="clear" w:color="auto" w:fill="auto"/>
            <w:vAlign w:val="center"/>
          </w:tcPr>
          <w:p w:rsidR="001844B6" w:rsidRPr="007E190E" w:rsidRDefault="001844B6" w:rsidP="005A3880">
            <w:pPr>
              <w:pStyle w:val="POTB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1844B6" w:rsidRPr="007E190E" w:rsidTr="007E190E">
        <w:trPr>
          <w:trHeight w:hRule="exact" w:val="348"/>
        </w:trPr>
        <w:tc>
          <w:tcPr>
            <w:tcW w:w="1995" w:type="dxa"/>
            <w:tcBorders>
              <w:top w:val="single" w:sz="6" w:space="0" w:color="auto"/>
              <w:bottom w:val="single" w:sz="12" w:space="0" w:color="auto"/>
            </w:tcBorders>
            <w:shd w:val="clear" w:color="auto" w:fill="auto"/>
            <w:vAlign w:val="center"/>
          </w:tcPr>
          <w:p w:rsidR="001844B6" w:rsidRPr="00826F71" w:rsidRDefault="001844B6" w:rsidP="005A3880">
            <w:pPr>
              <w:pStyle w:val="IATableLabel"/>
            </w:pPr>
            <w:r w:rsidRPr="00826F71">
              <w:t xml:space="preserve">High </w:t>
            </w:r>
          </w:p>
        </w:tc>
        <w:tc>
          <w:tcPr>
            <w:tcW w:w="1949" w:type="dxa"/>
            <w:tcBorders>
              <w:top w:val="single" w:sz="6" w:space="0" w:color="auto"/>
              <w:bottom w:val="single" w:sz="12" w:space="0" w:color="auto"/>
            </w:tcBorders>
            <w:shd w:val="clear" w:color="auto" w:fill="auto"/>
            <w:vAlign w:val="center"/>
          </w:tcPr>
          <w:p w:rsidR="001844B6" w:rsidRPr="007E190E" w:rsidRDefault="001844B6" w:rsidP="005A3880">
            <w:pPr>
              <w:pStyle w:val="POTT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shd w:val="clear" w:color="auto" w:fill="FFFFFF"/>
            <w:vAlign w:val="center"/>
          </w:tcPr>
          <w:p w:rsidR="001844B6" w:rsidRPr="007E190E" w:rsidRDefault="001844B6" w:rsidP="007E190E">
            <w:pPr>
              <w:pStyle w:val="IATableText"/>
              <w:jc w:val="right"/>
              <w:rPr>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1844B6" w:rsidRPr="007E190E" w:rsidRDefault="001844B6" w:rsidP="005A3880">
            <w:pPr>
              <w:pStyle w:val="POAA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636" w:type="dxa"/>
            <w:gridSpan w:val="2"/>
            <w:tcBorders>
              <w:top w:val="single" w:sz="6" w:space="0" w:color="auto"/>
              <w:left w:val="single" w:sz="12" w:space="0" w:color="auto"/>
              <w:bottom w:val="single" w:sz="12" w:space="0" w:color="auto"/>
            </w:tcBorders>
            <w:shd w:val="clear" w:color="auto" w:fill="auto"/>
            <w:vAlign w:val="center"/>
          </w:tcPr>
          <w:p w:rsidR="001844B6" w:rsidRPr="007E190E" w:rsidRDefault="001844B6" w:rsidP="005A3880">
            <w:pPr>
              <w:pStyle w:val="POTB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1844B6" w:rsidRPr="007E190E" w:rsidTr="007E190E">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1844B6" w:rsidRPr="00826F71" w:rsidRDefault="001844B6" w:rsidP="005A3880">
            <w:pPr>
              <w:pStyle w:val="IATableLabel"/>
            </w:pPr>
            <w:r w:rsidRPr="00826F71">
              <w:t xml:space="preserve">Best </w:t>
            </w:r>
            <w:r>
              <w:t>E</w:t>
            </w:r>
            <w:r w:rsidRPr="00826F71">
              <w:t>stimate</w:t>
            </w:r>
          </w:p>
          <w:p w:rsidR="001844B6" w:rsidRPr="007E190E" w:rsidRDefault="001844B6" w:rsidP="007E190E">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7E190E" w:rsidRDefault="001844B6" w:rsidP="003208C1">
            <w:pPr>
              <w:pStyle w:val="POTT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3208C1">
              <w:rPr>
                <w:noProof/>
                <w:sz w:val="20"/>
              </w:rPr>
              <w:t>0</w:t>
            </w:r>
            <w:r w:rsidRPr="007E190E">
              <w:rPr>
                <w:sz w:val="20"/>
              </w:rPr>
              <w:fldChar w:fldCharType="end"/>
            </w:r>
          </w:p>
        </w:tc>
        <w:tc>
          <w:tcPr>
            <w:tcW w:w="790" w:type="dxa"/>
            <w:vMerge/>
            <w:tcBorders>
              <w:left w:val="single" w:sz="12" w:space="0" w:color="auto"/>
              <w:right w:val="single" w:sz="12" w:space="0" w:color="auto"/>
            </w:tcBorders>
            <w:shd w:val="clear" w:color="auto" w:fill="FFFFFF"/>
            <w:vAlign w:val="center"/>
          </w:tcPr>
          <w:p w:rsidR="001844B6" w:rsidRPr="007E190E" w:rsidRDefault="001844B6" w:rsidP="007E190E">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1844B6" w:rsidRPr="007E190E" w:rsidRDefault="001844B6" w:rsidP="003208C1">
            <w:pPr>
              <w:pStyle w:val="POAA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3208C1">
              <w:rPr>
                <w:noProof/>
                <w:sz w:val="20"/>
              </w:rPr>
              <w:t>0</w:t>
            </w:r>
            <w:r w:rsidRPr="007E190E">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1844B6" w:rsidRPr="007E190E" w:rsidRDefault="001844B6" w:rsidP="003208C1">
            <w:pPr>
              <w:pStyle w:val="POTB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3208C1">
              <w:rPr>
                <w:noProof/>
                <w:sz w:val="20"/>
              </w:rPr>
              <w:t>0</w:t>
            </w:r>
            <w:r w:rsidRPr="007E190E">
              <w:rPr>
                <w:sz w:val="20"/>
              </w:rPr>
              <w:fldChar w:fldCharType="end"/>
            </w:r>
          </w:p>
        </w:tc>
      </w:tr>
      <w:tr w:rsidR="001844B6" w:rsidRPr="00826F71" w:rsidTr="007E190E">
        <w:trPr>
          <w:trHeight w:hRule="exact" w:val="1701"/>
        </w:trPr>
        <w:tc>
          <w:tcPr>
            <w:tcW w:w="10235" w:type="dxa"/>
            <w:gridSpan w:val="6"/>
            <w:shd w:val="clear" w:color="auto" w:fill="auto"/>
          </w:tcPr>
          <w:p w:rsidR="001844B6" w:rsidRPr="007E190E" w:rsidRDefault="001844B6" w:rsidP="005A3880">
            <w:pPr>
              <w:pStyle w:val="IPPOQ3"/>
              <w:rPr>
                <w:szCs w:val="22"/>
              </w:rPr>
            </w:pPr>
            <w:r w:rsidRPr="00544292">
              <w:t xml:space="preserve">Description and scale of </w:t>
            </w:r>
            <w:r w:rsidRPr="00826F71">
              <w:t xml:space="preserve">key monetised </w:t>
            </w:r>
            <w:r>
              <w:t>benefits</w:t>
            </w:r>
            <w:r w:rsidRPr="00544292">
              <w:t xml:space="preserve"> by ‘main affected groups’ </w:t>
            </w:r>
          </w:p>
          <w:p w:rsidR="001844B6" w:rsidRPr="00826F71" w:rsidRDefault="001844B6" w:rsidP="003208C1">
            <w:pPr>
              <w:pStyle w:val="IAPOA3"/>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sidR="003208C1" w:rsidRPr="003208C1">
              <w:rPr>
                <w:noProof/>
              </w:rPr>
              <w:t>In line with impact assessment guidance the do nothing option has zero costs or benefits as impacts are assessed as marginal changes against the do nothing baseline</w:t>
            </w:r>
            <w:r w:rsidRPr="00D337D1">
              <w:fldChar w:fldCharType="end"/>
            </w:r>
          </w:p>
        </w:tc>
      </w:tr>
      <w:tr w:rsidR="001844B6" w:rsidRPr="00826F71" w:rsidTr="007E190E">
        <w:trPr>
          <w:trHeight w:hRule="exact" w:val="1701"/>
        </w:trPr>
        <w:tc>
          <w:tcPr>
            <w:tcW w:w="10235" w:type="dxa"/>
            <w:gridSpan w:val="6"/>
            <w:shd w:val="clear" w:color="auto" w:fill="auto"/>
          </w:tcPr>
          <w:p w:rsidR="001844B6" w:rsidRPr="007E190E" w:rsidRDefault="001844B6" w:rsidP="005A3880">
            <w:pPr>
              <w:pStyle w:val="IAPOQ4"/>
              <w:rPr>
                <w:szCs w:val="22"/>
              </w:rPr>
            </w:pPr>
            <w:r w:rsidRPr="00544292">
              <w:t>Other</w:t>
            </w:r>
            <w:r w:rsidRPr="00826F71">
              <w:t xml:space="preserve"> key non-monetised </w:t>
            </w:r>
            <w:r>
              <w:t>benefits</w:t>
            </w:r>
            <w:r w:rsidRPr="00544292">
              <w:t xml:space="preserve"> by ‘main affected groups’ </w:t>
            </w:r>
          </w:p>
          <w:p w:rsidR="001844B6" w:rsidRPr="00826F71" w:rsidRDefault="001844B6" w:rsidP="003208C1">
            <w:pPr>
              <w:pStyle w:val="IAPOA4"/>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sidR="003208C1" w:rsidRPr="003208C1">
              <w:rPr>
                <w:noProof/>
              </w:rPr>
              <w:t>In line with impact assessment guidance the do nothing option has zero costs or benefits as impacts are assessed as marginal changes against the do nothing baseline</w:t>
            </w:r>
            <w:r w:rsidRPr="00D337D1">
              <w:fldChar w:fldCharType="end"/>
            </w:r>
          </w:p>
        </w:tc>
      </w:tr>
      <w:tr w:rsidR="001844B6" w:rsidRPr="00826F71" w:rsidTr="007E190E">
        <w:trPr>
          <w:trHeight w:hRule="exact" w:val="346"/>
        </w:trPr>
        <w:tc>
          <w:tcPr>
            <w:tcW w:w="9375" w:type="dxa"/>
            <w:gridSpan w:val="5"/>
            <w:tcBorders>
              <w:top w:val="single" w:sz="6" w:space="0" w:color="auto"/>
              <w:bottom w:val="nil"/>
            </w:tcBorders>
            <w:shd w:val="clear" w:color="auto" w:fill="auto"/>
          </w:tcPr>
          <w:p w:rsidR="001844B6" w:rsidRDefault="001844B6" w:rsidP="007E190E">
            <w:pPr>
              <w:pStyle w:val="IATableLabel"/>
              <w:tabs>
                <w:tab w:val="left" w:pos="7655"/>
              </w:tabs>
            </w:pPr>
            <w:r w:rsidRPr="00F1653E">
              <w:rPr>
                <w:rStyle w:val="IAPOQ5Char"/>
              </w:rPr>
              <w:t>Key assumptions/sensitivities/risks</w:t>
            </w:r>
            <w:r>
              <w:tab/>
              <w:t>Discount rate (%)</w:t>
            </w:r>
          </w:p>
          <w:p w:rsidR="001844B6" w:rsidRPr="00455895" w:rsidRDefault="001844B6" w:rsidP="005A3880">
            <w:pPr>
              <w:pStyle w:val="IATableLabel"/>
            </w:pPr>
          </w:p>
        </w:tc>
        <w:tc>
          <w:tcPr>
            <w:tcW w:w="860" w:type="dxa"/>
            <w:tcBorders>
              <w:top w:val="single" w:sz="6" w:space="0" w:color="auto"/>
              <w:bottom w:val="single" w:sz="4" w:space="0" w:color="auto"/>
            </w:tcBorders>
            <w:shd w:val="clear" w:color="auto" w:fill="auto"/>
          </w:tcPr>
          <w:p w:rsidR="001844B6" w:rsidRPr="007E6CF8" w:rsidRDefault="001844B6" w:rsidP="003208C1">
            <w:pPr>
              <w:pStyle w:val="IAPODisRate"/>
            </w:pPr>
            <w:r w:rsidRPr="00D337D1">
              <w:fldChar w:fldCharType="begin">
                <w:ffData>
                  <w:name w:val=""/>
                  <w:enabled/>
                  <w:calcOnExit w:val="0"/>
                  <w:textInput>
                    <w:maxLength w:val="5"/>
                  </w:textInput>
                </w:ffData>
              </w:fldChar>
            </w:r>
            <w:r w:rsidRPr="00D337D1">
              <w:instrText xml:space="preserve"> FORMTEXT </w:instrText>
            </w:r>
            <w:r w:rsidRPr="00D337D1">
              <w:fldChar w:fldCharType="separate"/>
            </w:r>
            <w:r w:rsidR="003208C1">
              <w:rPr>
                <w:noProof/>
              </w:rPr>
              <w:t>3.5</w:t>
            </w:r>
            <w:r w:rsidRPr="00D337D1">
              <w:fldChar w:fldCharType="end"/>
            </w:r>
          </w:p>
        </w:tc>
      </w:tr>
      <w:tr w:rsidR="001844B6" w:rsidRPr="007E190E" w:rsidTr="007E190E">
        <w:trPr>
          <w:trHeight w:hRule="exact" w:val="1375"/>
        </w:trPr>
        <w:tc>
          <w:tcPr>
            <w:tcW w:w="10235" w:type="dxa"/>
            <w:gridSpan w:val="6"/>
            <w:tcBorders>
              <w:top w:val="nil"/>
              <w:bottom w:val="single" w:sz="12" w:space="0" w:color="auto"/>
            </w:tcBorders>
            <w:shd w:val="clear" w:color="auto" w:fill="auto"/>
          </w:tcPr>
          <w:p w:rsidR="001844B6" w:rsidRPr="00544292" w:rsidRDefault="001844B6" w:rsidP="003208C1">
            <w:pPr>
              <w:pStyle w:val="IAPOA5"/>
            </w:pPr>
            <w:r>
              <w:fldChar w:fldCharType="begin">
                <w:ffData>
                  <w:name w:val=""/>
                  <w:enabled/>
                  <w:calcOnExit w:val="0"/>
                  <w:textInput>
                    <w:default w:val="Maximum of 5 lines"/>
                    <w:maxLength w:val="500"/>
                  </w:textInput>
                </w:ffData>
              </w:fldChar>
            </w:r>
            <w:r>
              <w:instrText xml:space="preserve"> FORMTEXT </w:instrText>
            </w:r>
            <w:r>
              <w:fldChar w:fldCharType="separate"/>
            </w:r>
            <w:r w:rsidR="003208C1">
              <w:t>NA</w:t>
            </w:r>
            <w:r>
              <w:fldChar w:fldCharType="end"/>
            </w:r>
          </w:p>
        </w:tc>
      </w:tr>
    </w:tbl>
    <w:p w:rsidR="001844B6" w:rsidRDefault="001844B6" w:rsidP="005A3880">
      <w:pPr>
        <w:pStyle w:val="IASpacer"/>
      </w:pPr>
    </w:p>
    <w:p w:rsidR="001844B6" w:rsidRDefault="00F63895" w:rsidP="005A3880">
      <w:pPr>
        <w:pStyle w:val="IAHeadLabel"/>
        <w:spacing w:before="50"/>
      </w:pPr>
      <w:r>
        <w:t xml:space="preserve">BUSINESS </w:t>
      </w:r>
      <w:r w:rsidR="001844B6">
        <w:t xml:space="preserve">ASSESSMENT (Option </w:t>
      </w:r>
      <w:r w:rsidR="00994590">
        <w:fldChar w:fldCharType="begin"/>
      </w:r>
      <w:r w:rsidR="00994590">
        <w:instrText xml:space="preserve"> SEQ BA </w:instrText>
      </w:r>
      <w:r w:rsidR="00994590">
        <w:fldChar w:fldCharType="separate"/>
      </w:r>
      <w:r w:rsidR="00884F46">
        <w:rPr>
          <w:noProof/>
        </w:rPr>
        <w:t>1</w:t>
      </w:r>
      <w:r w:rsidR="00994590">
        <w:rPr>
          <w:noProof/>
        </w:rPr>
        <w:fldChar w:fldCharType="end"/>
      </w:r>
      <w:r w:rsidR="001844B6">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90"/>
        <w:gridCol w:w="2155"/>
        <w:gridCol w:w="1980"/>
        <w:gridCol w:w="1980"/>
        <w:gridCol w:w="2110"/>
      </w:tblGrid>
      <w:tr w:rsidR="001844B6" w:rsidRPr="000E02BE">
        <w:trPr>
          <w:trHeight w:hRule="exact" w:val="312"/>
        </w:trPr>
        <w:tc>
          <w:tcPr>
            <w:tcW w:w="6125" w:type="dxa"/>
            <w:gridSpan w:val="3"/>
            <w:tcBorders>
              <w:top w:val="single" w:sz="4" w:space="0" w:color="auto"/>
              <w:bottom w:val="nil"/>
              <w:right w:val="single" w:sz="4" w:space="0" w:color="auto"/>
            </w:tcBorders>
          </w:tcPr>
          <w:p w:rsidR="001844B6" w:rsidRPr="000E02BE" w:rsidRDefault="001844B6" w:rsidP="005A3880">
            <w:pPr>
              <w:pStyle w:val="IATableLabel"/>
            </w:pPr>
            <w:r w:rsidRPr="000E02BE">
              <w:t xml:space="preserve">Direct impact on </w:t>
            </w:r>
            <w:r>
              <w:t>business (Equivalent Annual) £m</w:t>
            </w:r>
            <w:r w:rsidRPr="000E02BE">
              <w:t xml:space="preserve">: </w:t>
            </w:r>
          </w:p>
        </w:tc>
        <w:tc>
          <w:tcPr>
            <w:tcW w:w="1980" w:type="dxa"/>
            <w:tcBorders>
              <w:top w:val="single" w:sz="4" w:space="0" w:color="auto"/>
              <w:left w:val="single" w:sz="4" w:space="0" w:color="auto"/>
              <w:bottom w:val="nil"/>
              <w:right w:val="nil"/>
            </w:tcBorders>
          </w:tcPr>
          <w:p w:rsidR="001844B6" w:rsidRPr="000E02BE" w:rsidRDefault="001844B6" w:rsidP="005A3880">
            <w:pPr>
              <w:pStyle w:val="IATableLabel"/>
            </w:pPr>
            <w:r w:rsidRPr="000E02BE">
              <w:t>In scope of OI</w:t>
            </w:r>
            <w:r w:rsidR="00204AB1">
              <w:t>T</w:t>
            </w:r>
            <w:r w:rsidRPr="000E02BE">
              <w:t>O?</w:t>
            </w:r>
          </w:p>
        </w:tc>
        <w:tc>
          <w:tcPr>
            <w:tcW w:w="2110" w:type="dxa"/>
            <w:tcBorders>
              <w:top w:val="single" w:sz="4" w:space="0" w:color="auto"/>
              <w:left w:val="nil"/>
              <w:bottom w:val="nil"/>
              <w:right w:val="single" w:sz="4" w:space="0" w:color="auto"/>
            </w:tcBorders>
            <w:shd w:val="clear" w:color="auto" w:fill="auto"/>
          </w:tcPr>
          <w:p w:rsidR="001844B6" w:rsidRPr="000E02BE" w:rsidRDefault="001844B6" w:rsidP="005A3880">
            <w:pPr>
              <w:pStyle w:val="IATableLabel"/>
              <w:ind w:left="0"/>
            </w:pPr>
            <w:r w:rsidRPr="000E02BE">
              <w:t xml:space="preserve">  Measure qualifies as</w:t>
            </w:r>
          </w:p>
        </w:tc>
      </w:tr>
      <w:tr w:rsidR="001844B6" w:rsidRPr="00E75380">
        <w:trPr>
          <w:trHeight w:hRule="exact" w:val="340"/>
        </w:trPr>
        <w:tc>
          <w:tcPr>
            <w:tcW w:w="1990" w:type="dxa"/>
            <w:tcBorders>
              <w:top w:val="nil"/>
              <w:bottom w:val="single" w:sz="4" w:space="0" w:color="auto"/>
              <w:right w:val="single" w:sz="4" w:space="0" w:color="auto"/>
            </w:tcBorders>
            <w:shd w:val="clear" w:color="auto" w:fill="FFFFFF"/>
          </w:tcPr>
          <w:p w:rsidR="001844B6" w:rsidRPr="00F63895" w:rsidRDefault="001844B6" w:rsidP="003208C1">
            <w:pPr>
              <w:pStyle w:val="IATableLabel"/>
            </w:pPr>
            <w:r w:rsidRPr="00F63895">
              <w:t xml:space="preserve">Costs: </w:t>
            </w:r>
            <w:bookmarkStart w:id="38" w:name="Text67"/>
            <w:r w:rsidRPr="00F63895">
              <w:rPr>
                <w:rStyle w:val="IAPODICostChar"/>
                <w:sz w:val="20"/>
                <w:szCs w:val="20"/>
              </w:rPr>
              <w:fldChar w:fldCharType="begin">
                <w:ffData>
                  <w:name w:val="Text67"/>
                  <w:enabled/>
                  <w:calcOnExit w:val="0"/>
                  <w:textInput>
                    <w:maxLength w:val="9"/>
                  </w:textInput>
                </w:ffData>
              </w:fldChar>
            </w:r>
            <w:r w:rsidRPr="00F63895">
              <w:rPr>
                <w:rStyle w:val="IAPODICostChar"/>
                <w:sz w:val="20"/>
                <w:szCs w:val="20"/>
              </w:rPr>
              <w:instrText xml:space="preserve"> FORMTEXT </w:instrText>
            </w:r>
            <w:r w:rsidRPr="00F63895">
              <w:rPr>
                <w:rStyle w:val="IAPODICostChar"/>
                <w:sz w:val="20"/>
                <w:szCs w:val="20"/>
              </w:rPr>
            </w:r>
            <w:r w:rsidRPr="00F63895">
              <w:rPr>
                <w:rStyle w:val="IAPODICostChar"/>
                <w:sz w:val="20"/>
                <w:szCs w:val="20"/>
              </w:rPr>
              <w:fldChar w:fldCharType="separate"/>
            </w:r>
            <w:r w:rsidR="003208C1">
              <w:rPr>
                <w:rStyle w:val="IAPODICostChar"/>
                <w:noProof/>
                <w:sz w:val="20"/>
                <w:szCs w:val="20"/>
              </w:rPr>
              <w:t>0</w:t>
            </w:r>
            <w:r w:rsidRPr="00F63895">
              <w:rPr>
                <w:rStyle w:val="IAPODICostChar"/>
                <w:sz w:val="20"/>
                <w:szCs w:val="20"/>
              </w:rPr>
              <w:fldChar w:fldCharType="end"/>
            </w:r>
            <w:bookmarkEnd w:id="38"/>
          </w:p>
        </w:tc>
        <w:tc>
          <w:tcPr>
            <w:tcW w:w="2155" w:type="dxa"/>
            <w:tcBorders>
              <w:top w:val="nil"/>
              <w:bottom w:val="single" w:sz="4" w:space="0" w:color="auto"/>
              <w:right w:val="single" w:sz="4" w:space="0" w:color="auto"/>
            </w:tcBorders>
            <w:shd w:val="clear" w:color="auto" w:fill="FFFFFF"/>
          </w:tcPr>
          <w:p w:rsidR="001844B6" w:rsidRPr="00F63895" w:rsidRDefault="001844B6" w:rsidP="003208C1">
            <w:pPr>
              <w:pStyle w:val="IATableLabel"/>
            </w:pPr>
            <w:r w:rsidRPr="00F63895">
              <w:t xml:space="preserve">Benefits: </w:t>
            </w:r>
            <w:bookmarkStart w:id="39" w:name="Text68"/>
            <w:r w:rsidRPr="00F63895">
              <w:rPr>
                <w:rStyle w:val="IAPODIBenChar"/>
                <w:sz w:val="20"/>
                <w:szCs w:val="20"/>
              </w:rPr>
              <w:fldChar w:fldCharType="begin">
                <w:ffData>
                  <w:name w:val="Text68"/>
                  <w:enabled/>
                  <w:calcOnExit w:val="0"/>
                  <w:textInput>
                    <w:maxLength w:val="9"/>
                  </w:textInput>
                </w:ffData>
              </w:fldChar>
            </w:r>
            <w:r w:rsidRPr="00F63895">
              <w:rPr>
                <w:rStyle w:val="IAPODIBenChar"/>
                <w:sz w:val="20"/>
                <w:szCs w:val="20"/>
              </w:rPr>
              <w:instrText xml:space="preserve"> FORMTEXT </w:instrText>
            </w:r>
            <w:r w:rsidRPr="00F63895">
              <w:rPr>
                <w:rStyle w:val="IAPODIBenChar"/>
                <w:sz w:val="20"/>
                <w:szCs w:val="20"/>
              </w:rPr>
            </w:r>
            <w:r w:rsidRPr="00F63895">
              <w:rPr>
                <w:rStyle w:val="IAPODIBenChar"/>
                <w:sz w:val="20"/>
                <w:szCs w:val="20"/>
              </w:rPr>
              <w:fldChar w:fldCharType="separate"/>
            </w:r>
            <w:r w:rsidR="003208C1">
              <w:rPr>
                <w:rStyle w:val="IAPODIBenChar"/>
                <w:noProof/>
                <w:sz w:val="20"/>
                <w:szCs w:val="20"/>
              </w:rPr>
              <w:t>0</w:t>
            </w:r>
            <w:r w:rsidRPr="00F63895">
              <w:rPr>
                <w:rStyle w:val="IAPODIBenChar"/>
                <w:sz w:val="20"/>
                <w:szCs w:val="20"/>
              </w:rPr>
              <w:fldChar w:fldCharType="end"/>
            </w:r>
            <w:bookmarkEnd w:id="39"/>
          </w:p>
        </w:tc>
        <w:tc>
          <w:tcPr>
            <w:tcW w:w="1980" w:type="dxa"/>
            <w:tcBorders>
              <w:top w:val="nil"/>
              <w:bottom w:val="single" w:sz="4" w:space="0" w:color="auto"/>
              <w:right w:val="single" w:sz="4" w:space="0" w:color="auto"/>
            </w:tcBorders>
            <w:shd w:val="clear" w:color="auto" w:fill="FFFFFF"/>
          </w:tcPr>
          <w:p w:rsidR="001844B6" w:rsidRPr="00F63895" w:rsidRDefault="001844B6" w:rsidP="003208C1">
            <w:pPr>
              <w:pStyle w:val="IATableLabel"/>
            </w:pPr>
            <w:r w:rsidRPr="00F63895">
              <w:t xml:space="preserve">Net: </w:t>
            </w:r>
            <w:bookmarkStart w:id="40" w:name="Text69"/>
            <w:r w:rsidRPr="00F63895">
              <w:rPr>
                <w:rStyle w:val="IAPODINetChar"/>
                <w:sz w:val="20"/>
                <w:szCs w:val="20"/>
              </w:rPr>
              <w:fldChar w:fldCharType="begin">
                <w:ffData>
                  <w:name w:val="Text69"/>
                  <w:enabled/>
                  <w:calcOnExit w:val="0"/>
                  <w:textInput>
                    <w:maxLength w:val="9"/>
                  </w:textInput>
                </w:ffData>
              </w:fldChar>
            </w:r>
            <w:r w:rsidRPr="00F63895">
              <w:rPr>
                <w:rStyle w:val="IAPODINetChar"/>
                <w:sz w:val="20"/>
                <w:szCs w:val="20"/>
              </w:rPr>
              <w:instrText xml:space="preserve"> FORMTEXT </w:instrText>
            </w:r>
            <w:r w:rsidRPr="00F63895">
              <w:rPr>
                <w:rStyle w:val="IAPODINetChar"/>
                <w:sz w:val="20"/>
                <w:szCs w:val="20"/>
              </w:rPr>
            </w:r>
            <w:r w:rsidRPr="00F63895">
              <w:rPr>
                <w:rStyle w:val="IAPODINetChar"/>
                <w:sz w:val="20"/>
                <w:szCs w:val="20"/>
              </w:rPr>
              <w:fldChar w:fldCharType="separate"/>
            </w:r>
            <w:r w:rsidR="003208C1">
              <w:rPr>
                <w:rStyle w:val="IAPODINetChar"/>
                <w:noProof/>
                <w:sz w:val="20"/>
                <w:szCs w:val="20"/>
              </w:rPr>
              <w:t>0</w:t>
            </w:r>
            <w:r w:rsidRPr="00F63895">
              <w:rPr>
                <w:rStyle w:val="IAPODINetChar"/>
                <w:sz w:val="20"/>
                <w:szCs w:val="20"/>
              </w:rPr>
              <w:fldChar w:fldCharType="end"/>
            </w:r>
            <w:bookmarkEnd w:id="40"/>
          </w:p>
        </w:tc>
        <w:bookmarkStart w:id="41" w:name="Dropdown23"/>
        <w:tc>
          <w:tcPr>
            <w:tcW w:w="1980" w:type="dxa"/>
            <w:tcBorders>
              <w:top w:val="nil"/>
              <w:left w:val="single" w:sz="4" w:space="0" w:color="auto"/>
              <w:bottom w:val="single" w:sz="4" w:space="0" w:color="auto"/>
              <w:right w:val="single" w:sz="4" w:space="0" w:color="auto"/>
            </w:tcBorders>
            <w:shd w:val="clear" w:color="auto" w:fill="FFFFFF"/>
          </w:tcPr>
          <w:p w:rsidR="001844B6" w:rsidRPr="00F63895" w:rsidRDefault="001844B6" w:rsidP="005A3880">
            <w:pPr>
              <w:pStyle w:val="IAPODIOIOO"/>
              <w:rPr>
                <w:sz w:val="20"/>
                <w:szCs w:val="20"/>
              </w:rPr>
            </w:pPr>
            <w:r w:rsidRPr="00F63895">
              <w:rPr>
                <w:sz w:val="20"/>
                <w:szCs w:val="20"/>
              </w:rPr>
              <w:fldChar w:fldCharType="begin">
                <w:ffData>
                  <w:name w:val="Dropdown23"/>
                  <w:enabled/>
                  <w:calcOnExit w:val="0"/>
                  <w:ddList>
                    <w:result w:val="2"/>
                    <w:listEntry w:val="Yes/No"/>
                    <w:listEntry w:val="Yes"/>
                    <w:listEntry w:val="No"/>
                  </w:ddList>
                </w:ffData>
              </w:fldChar>
            </w:r>
            <w:r w:rsidRPr="00F63895">
              <w:rPr>
                <w:sz w:val="20"/>
                <w:szCs w:val="20"/>
              </w:rPr>
              <w:instrText xml:space="preserve"> FORMDROPDOWN </w:instrText>
            </w:r>
            <w:r w:rsidR="00994590">
              <w:rPr>
                <w:sz w:val="20"/>
                <w:szCs w:val="20"/>
              </w:rPr>
            </w:r>
            <w:r w:rsidR="00994590">
              <w:rPr>
                <w:sz w:val="20"/>
                <w:szCs w:val="20"/>
              </w:rPr>
              <w:fldChar w:fldCharType="separate"/>
            </w:r>
            <w:r w:rsidRPr="00F63895">
              <w:rPr>
                <w:sz w:val="20"/>
                <w:szCs w:val="20"/>
              </w:rPr>
              <w:fldChar w:fldCharType="end"/>
            </w:r>
            <w:bookmarkEnd w:id="41"/>
          </w:p>
        </w:tc>
        <w:bookmarkStart w:id="42" w:name="Dropdown27"/>
        <w:tc>
          <w:tcPr>
            <w:tcW w:w="2110" w:type="dxa"/>
            <w:tcBorders>
              <w:top w:val="nil"/>
              <w:left w:val="single" w:sz="4" w:space="0" w:color="auto"/>
              <w:bottom w:val="single" w:sz="4" w:space="0" w:color="auto"/>
              <w:right w:val="single" w:sz="4" w:space="0" w:color="auto"/>
            </w:tcBorders>
            <w:shd w:val="clear" w:color="auto" w:fill="auto"/>
          </w:tcPr>
          <w:p w:rsidR="001844B6" w:rsidRPr="00F63895" w:rsidRDefault="001844B6" w:rsidP="005A3880">
            <w:pPr>
              <w:pStyle w:val="IAPODIMQ"/>
            </w:pPr>
            <w:r w:rsidRPr="00F63895">
              <w:fldChar w:fldCharType="begin">
                <w:ffData>
                  <w:name w:val="Dropdown27"/>
                  <w:enabled/>
                  <w:calcOnExit w:val="0"/>
                  <w:ddList>
                    <w:result w:val="4"/>
                    <w:listEntry w:val="IN/OUT/Zero net cost"/>
                    <w:listEntry w:val="IN"/>
                    <w:listEntry w:val="OUT"/>
                    <w:listEntry w:val="Zero net cost"/>
                    <w:listEntry w:val="NA"/>
                  </w:ddList>
                </w:ffData>
              </w:fldChar>
            </w:r>
            <w:r w:rsidRPr="00F63895">
              <w:instrText xml:space="preserve"> FORMDROPDOWN </w:instrText>
            </w:r>
            <w:r w:rsidR="00994590">
              <w:fldChar w:fldCharType="separate"/>
            </w:r>
            <w:r w:rsidRPr="00F63895">
              <w:fldChar w:fldCharType="end"/>
            </w:r>
            <w:bookmarkEnd w:id="42"/>
          </w:p>
        </w:tc>
      </w:tr>
    </w:tbl>
    <w:p w:rsidR="003208C1" w:rsidRDefault="003208C1" w:rsidP="003208C1">
      <w:pPr>
        <w:pStyle w:val="Heading1"/>
      </w:pPr>
      <w:r>
        <w:lastRenderedPageBreak/>
        <w:t>Summary: Analysis &amp; Evidence</w:t>
      </w:r>
      <w:r>
        <w:tab/>
      </w:r>
      <w:r w:rsidRPr="00E3545D">
        <w:rPr>
          <w:rFonts w:ascii="Arial" w:hAnsi="Arial"/>
          <w:b w:val="0"/>
          <w:bCs w:val="0"/>
        </w:rPr>
        <w:t xml:space="preserve">Policy Option </w:t>
      </w:r>
      <w:r>
        <w:rPr>
          <w:rFonts w:ascii="Arial" w:hAnsi="Arial"/>
          <w:b w:val="0"/>
          <w:bCs w:val="0"/>
        </w:rPr>
        <w:t>2</w:t>
      </w:r>
    </w:p>
    <w:p w:rsidR="003208C1" w:rsidRDefault="003208C1" w:rsidP="003208C1">
      <w:pPr>
        <w:pStyle w:val="IAHeadLabel"/>
        <w:spacing w:before="50"/>
      </w:pPr>
      <w:r w:rsidRPr="00892576">
        <w:t xml:space="preserve">Description: </w:t>
      </w:r>
      <w:r w:rsidRPr="006B70AF">
        <w:t xml:space="preserve"> </w:t>
      </w:r>
      <w:r>
        <w:rPr>
          <w:rStyle w:val="IAPODescriptionCharChar"/>
        </w:rPr>
        <w:fldChar w:fldCharType="begin">
          <w:ffData>
            <w:name w:val="Text70"/>
            <w:enabled/>
            <w:calcOnExit w:val="0"/>
            <w:textInput>
              <w:maxLength w:val="230"/>
            </w:textInput>
          </w:ffData>
        </w:fldChar>
      </w:r>
      <w:r>
        <w:rPr>
          <w:rStyle w:val="IAPODescriptionCharChar"/>
        </w:rPr>
        <w:instrText xml:space="preserve"> FORMTEXT </w:instrText>
      </w:r>
      <w:r>
        <w:rPr>
          <w:rStyle w:val="IAPODescriptionCharChar"/>
        </w:rPr>
      </w:r>
      <w:r>
        <w:rPr>
          <w:rStyle w:val="IAPODescriptionCharChar"/>
        </w:rPr>
        <w:fldChar w:fldCharType="separate"/>
      </w:r>
      <w:r w:rsidR="004A1F2F">
        <w:rPr>
          <w:rStyle w:val="IAPODescriptionCharChar"/>
        </w:rPr>
        <w:t xml:space="preserve">Amend </w:t>
      </w:r>
      <w:r w:rsidR="0027723E">
        <w:rPr>
          <w:rStyle w:val="IAPODescriptionCharChar"/>
        </w:rPr>
        <w:t xml:space="preserve">the </w:t>
      </w:r>
      <w:r w:rsidR="004A1F2F">
        <w:rPr>
          <w:rStyle w:val="IAPODescriptionCharChar"/>
        </w:rPr>
        <w:t>CQC's fee raising powers</w:t>
      </w:r>
      <w:r>
        <w:rPr>
          <w:rStyle w:val="IAPODescriptionCharChar"/>
        </w:rPr>
        <w:fldChar w:fldCharType="end"/>
      </w:r>
    </w:p>
    <w:p w:rsidR="003208C1" w:rsidRDefault="003208C1" w:rsidP="003208C1">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5"/>
        <w:gridCol w:w="1260"/>
        <w:gridCol w:w="1440"/>
        <w:gridCol w:w="1800"/>
        <w:gridCol w:w="1827"/>
        <w:gridCol w:w="2633"/>
      </w:tblGrid>
      <w:tr w:rsidR="003208C1" w:rsidRPr="007E190E" w:rsidTr="004A1F2F">
        <w:trPr>
          <w:trHeight w:hRule="exact" w:val="312"/>
        </w:trPr>
        <w:tc>
          <w:tcPr>
            <w:tcW w:w="1265" w:type="dxa"/>
            <w:vMerge w:val="restart"/>
            <w:shd w:val="clear" w:color="auto" w:fill="auto"/>
          </w:tcPr>
          <w:p w:rsidR="003208C1" w:rsidRPr="00826F71" w:rsidRDefault="003208C1" w:rsidP="004A1F2F">
            <w:pPr>
              <w:pStyle w:val="POPBY"/>
            </w:pPr>
            <w:r w:rsidRPr="00826F71">
              <w:t>Price Base Year</w:t>
            </w:r>
            <w:r>
              <w:t xml:space="preserve">  </w:t>
            </w:r>
            <w:r w:rsidRPr="007E190E">
              <w:rPr>
                <w:b w:val="0"/>
              </w:rPr>
              <w:fldChar w:fldCharType="begin">
                <w:ffData>
                  <w:name w:val="Text55"/>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004A1F2F">
              <w:rPr>
                <w:b w:val="0"/>
                <w:noProof/>
              </w:rPr>
              <w:t>2015</w:t>
            </w:r>
            <w:r w:rsidRPr="007E190E">
              <w:rPr>
                <w:b w:val="0"/>
              </w:rPr>
              <w:fldChar w:fldCharType="end"/>
            </w:r>
          </w:p>
        </w:tc>
        <w:tc>
          <w:tcPr>
            <w:tcW w:w="1260" w:type="dxa"/>
            <w:vMerge w:val="restart"/>
            <w:shd w:val="clear" w:color="auto" w:fill="auto"/>
          </w:tcPr>
          <w:p w:rsidR="003208C1" w:rsidRPr="00826F71" w:rsidRDefault="003208C1" w:rsidP="004A1F2F">
            <w:pPr>
              <w:pStyle w:val="POPVBY"/>
            </w:pPr>
            <w:r w:rsidRPr="00826F71">
              <w:t>PV Base Year</w:t>
            </w:r>
            <w:r>
              <w:t xml:space="preserve">  </w:t>
            </w:r>
            <w:r w:rsidRPr="007E190E">
              <w:rPr>
                <w:b w:val="0"/>
              </w:rPr>
              <w:fldChar w:fldCharType="begin">
                <w:ffData>
                  <w:name w:val="Text56"/>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004A1F2F">
              <w:rPr>
                <w:b w:val="0"/>
                <w:noProof/>
              </w:rPr>
              <w:t>2016</w:t>
            </w:r>
            <w:r w:rsidRPr="007E190E">
              <w:rPr>
                <w:b w:val="0"/>
              </w:rPr>
              <w:fldChar w:fldCharType="end"/>
            </w:r>
          </w:p>
        </w:tc>
        <w:tc>
          <w:tcPr>
            <w:tcW w:w="1440" w:type="dxa"/>
            <w:vMerge w:val="restart"/>
            <w:tcBorders>
              <w:right w:val="single" w:sz="12" w:space="0" w:color="auto"/>
            </w:tcBorders>
            <w:shd w:val="clear" w:color="auto" w:fill="auto"/>
          </w:tcPr>
          <w:p w:rsidR="003208C1" w:rsidRPr="00826F71" w:rsidRDefault="003208C1" w:rsidP="004A1F2F">
            <w:pPr>
              <w:pStyle w:val="POTPY"/>
            </w:pPr>
            <w:r w:rsidRPr="00826F71">
              <w:t>Time Period Years</w:t>
            </w:r>
            <w:r>
              <w:t xml:space="preserve">  </w:t>
            </w:r>
            <w:r w:rsidRPr="007E190E">
              <w:rPr>
                <w:b w:val="0"/>
              </w:rPr>
              <w:fldChar w:fldCharType="begin">
                <w:ffData>
                  <w:name w:val="Text57"/>
                  <w:enabled/>
                  <w:calcOnExit w:val="0"/>
                  <w:textInput>
                    <w:maxLength w:val="4"/>
                  </w:textInput>
                </w:ffData>
              </w:fldChar>
            </w:r>
            <w:r w:rsidRPr="007E190E">
              <w:rPr>
                <w:b w:val="0"/>
              </w:rPr>
              <w:instrText xml:space="preserve"> FORMTEXT </w:instrText>
            </w:r>
            <w:r w:rsidRPr="007E190E">
              <w:rPr>
                <w:b w:val="0"/>
              </w:rPr>
            </w:r>
            <w:r w:rsidRPr="007E190E">
              <w:rPr>
                <w:b w:val="0"/>
              </w:rPr>
              <w:fldChar w:fldCharType="separate"/>
            </w:r>
            <w:r w:rsidR="004A1F2F">
              <w:rPr>
                <w:b w:val="0"/>
                <w:noProof/>
              </w:rPr>
              <w:t>10</w:t>
            </w:r>
            <w:r w:rsidRPr="007E190E">
              <w:rPr>
                <w:b w:val="0"/>
              </w:rPr>
              <w:fldChar w:fldCharType="end"/>
            </w: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cPr>
          <w:p w:rsidR="003208C1" w:rsidRPr="00826F71" w:rsidRDefault="003208C1" w:rsidP="004A1F2F">
            <w:pPr>
              <w:pStyle w:val="IATableLabel"/>
              <w:jc w:val="center"/>
            </w:pPr>
            <w:r w:rsidRPr="00826F71">
              <w:t xml:space="preserve">Net </w:t>
            </w:r>
            <w:r w:rsidRPr="0075393B">
              <w:t>B</w:t>
            </w:r>
            <w:r w:rsidRPr="00826F71">
              <w:t>enefit (</w:t>
            </w:r>
            <w:r>
              <w:t>Present Value (</w:t>
            </w:r>
            <w:r w:rsidRPr="00826F71">
              <w:t>PV</w:t>
            </w:r>
            <w:r>
              <w:t>)</w:t>
            </w:r>
            <w:r w:rsidRPr="00826F71">
              <w:t>)</w:t>
            </w:r>
            <w:r>
              <w:t xml:space="preserve"> (£m)</w:t>
            </w:r>
          </w:p>
        </w:tc>
      </w:tr>
      <w:tr w:rsidR="003208C1" w:rsidRPr="007E190E" w:rsidTr="004A1F2F">
        <w:trPr>
          <w:trHeight w:hRule="exact" w:val="340"/>
        </w:trPr>
        <w:tc>
          <w:tcPr>
            <w:tcW w:w="1265" w:type="dxa"/>
            <w:vMerge/>
            <w:shd w:val="clear" w:color="auto" w:fill="auto"/>
          </w:tcPr>
          <w:p w:rsidR="003208C1" w:rsidRPr="007E190E" w:rsidRDefault="003208C1" w:rsidP="004A1F2F">
            <w:pPr>
              <w:pStyle w:val="IATableNotes"/>
              <w:ind w:left="0"/>
              <w:rPr>
                <w:b/>
                <w:sz w:val="20"/>
              </w:rPr>
            </w:pPr>
          </w:p>
        </w:tc>
        <w:tc>
          <w:tcPr>
            <w:tcW w:w="1260" w:type="dxa"/>
            <w:vMerge/>
            <w:shd w:val="clear" w:color="auto" w:fill="auto"/>
          </w:tcPr>
          <w:p w:rsidR="003208C1" w:rsidRPr="007E190E" w:rsidRDefault="003208C1" w:rsidP="004A1F2F">
            <w:pPr>
              <w:pStyle w:val="IATableNotes"/>
              <w:ind w:left="0"/>
              <w:rPr>
                <w:b/>
                <w:sz w:val="20"/>
              </w:rPr>
            </w:pPr>
          </w:p>
        </w:tc>
        <w:tc>
          <w:tcPr>
            <w:tcW w:w="1440" w:type="dxa"/>
            <w:vMerge/>
            <w:tcBorders>
              <w:right w:val="single" w:sz="12" w:space="0" w:color="auto"/>
            </w:tcBorders>
            <w:shd w:val="clear" w:color="auto" w:fill="auto"/>
          </w:tcPr>
          <w:p w:rsidR="003208C1" w:rsidRPr="007E190E" w:rsidRDefault="003208C1" w:rsidP="004A1F2F">
            <w:pPr>
              <w:pStyle w:val="IATableNotes"/>
              <w:ind w:left="0"/>
              <w:rPr>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rsidR="003208C1" w:rsidRPr="007E190E" w:rsidRDefault="003208C1" w:rsidP="004A1F2F">
            <w:pPr>
              <w:pStyle w:val="IATableLabel"/>
              <w:rPr>
                <w:bCs/>
              </w:rPr>
            </w:pPr>
            <w:r w:rsidRPr="00304C1D">
              <w:t>Low:</w:t>
            </w:r>
            <w:r w:rsidRPr="00826F71">
              <w:t xml:space="preserve"> </w:t>
            </w:r>
            <w:r w:rsidRPr="007E190E">
              <w:rPr>
                <w:rStyle w:val="PONBLowCharChar"/>
              </w:rPr>
              <w:fldChar w:fldCharType="begin">
                <w:ffData>
                  <w:name w:val="Text58"/>
                  <w:enabled/>
                  <w:calcOnExit w:val="0"/>
                  <w:textInput>
                    <w:default w:val="Optional"/>
                    <w:maxLength w:val="8"/>
                  </w:textInput>
                </w:ffData>
              </w:fldChar>
            </w:r>
            <w:r w:rsidRPr="007E190E">
              <w:rPr>
                <w:rStyle w:val="PONBLowCharChar"/>
              </w:rPr>
              <w:instrText xml:space="preserve"> FORMTEXT </w:instrText>
            </w:r>
            <w:r w:rsidRPr="007E190E">
              <w:rPr>
                <w:rStyle w:val="PONBLowCharChar"/>
              </w:rPr>
            </w:r>
            <w:r w:rsidRPr="007E190E">
              <w:rPr>
                <w:rStyle w:val="PONBLowCharChar"/>
              </w:rPr>
              <w:fldChar w:fldCharType="separate"/>
            </w:r>
            <w:r w:rsidR="004A1F2F">
              <w:rPr>
                <w:rStyle w:val="PONBLowCharChar"/>
                <w:noProof/>
              </w:rPr>
              <w:t>0</w:t>
            </w:r>
            <w:r w:rsidRPr="007E190E">
              <w:rPr>
                <w:rStyle w:val="PONBLowCharChar"/>
              </w:rPr>
              <w:fldChar w:fldCharType="end"/>
            </w:r>
          </w:p>
        </w:tc>
        <w:tc>
          <w:tcPr>
            <w:tcW w:w="1827" w:type="dxa"/>
            <w:tcBorders>
              <w:top w:val="single" w:sz="4" w:space="0" w:color="auto"/>
              <w:left w:val="single" w:sz="4" w:space="0" w:color="auto"/>
              <w:bottom w:val="single" w:sz="12" w:space="0" w:color="auto"/>
              <w:right w:val="single" w:sz="12" w:space="0" w:color="auto"/>
            </w:tcBorders>
            <w:shd w:val="clear" w:color="auto" w:fill="auto"/>
          </w:tcPr>
          <w:p w:rsidR="003208C1" w:rsidRPr="007E190E" w:rsidRDefault="003208C1" w:rsidP="002305C1">
            <w:pPr>
              <w:pStyle w:val="IATableLabel"/>
              <w:rPr>
                <w:rFonts w:cs="Arial"/>
                <w:bCs/>
                <w:szCs w:val="18"/>
              </w:rPr>
            </w:pPr>
            <w:r w:rsidRPr="00304C1D">
              <w:t>High:</w:t>
            </w:r>
            <w:r w:rsidRPr="00826F71">
              <w:t xml:space="preserve"> </w:t>
            </w:r>
            <w:r w:rsidRPr="007E190E">
              <w:rPr>
                <w:rStyle w:val="PONBHighChar"/>
              </w:rPr>
              <w:fldChar w:fldCharType="begin">
                <w:ffData>
                  <w:name w:val="Text59"/>
                  <w:enabled/>
                  <w:calcOnExit w:val="0"/>
                  <w:textInput>
                    <w:default w:val="Optional"/>
                    <w:maxLength w:val="8"/>
                  </w:textInput>
                </w:ffData>
              </w:fldChar>
            </w:r>
            <w:r w:rsidRPr="007E190E">
              <w:rPr>
                <w:rStyle w:val="PONBHighChar"/>
              </w:rPr>
              <w:instrText xml:space="preserve"> FORMTEXT </w:instrText>
            </w:r>
            <w:r w:rsidRPr="007E190E">
              <w:rPr>
                <w:rStyle w:val="PONBHighChar"/>
              </w:rPr>
            </w:r>
            <w:r w:rsidRPr="007E190E">
              <w:rPr>
                <w:rStyle w:val="PONBHighChar"/>
              </w:rPr>
              <w:fldChar w:fldCharType="separate"/>
            </w:r>
            <w:r w:rsidR="002305C1">
              <w:rPr>
                <w:rStyle w:val="PONBHighChar"/>
              </w:rPr>
              <w:t>1130</w:t>
            </w:r>
            <w:r w:rsidRPr="007E190E">
              <w:rPr>
                <w:rStyle w:val="PONBHighChar"/>
              </w:rPr>
              <w:fldChar w:fldCharType="end"/>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rsidR="003208C1" w:rsidRPr="007E190E" w:rsidRDefault="003208C1" w:rsidP="004A1F2F">
            <w:pPr>
              <w:pStyle w:val="IATableLabel"/>
              <w:rPr>
                <w:szCs w:val="18"/>
              </w:rPr>
            </w:pPr>
            <w:r w:rsidRPr="00304C1D">
              <w:t xml:space="preserve">Best </w:t>
            </w:r>
            <w:r>
              <w:t>E</w:t>
            </w:r>
            <w:r w:rsidRPr="00304C1D">
              <w:t>stimate:</w:t>
            </w:r>
            <w:r w:rsidRPr="00826F71">
              <w:t xml:space="preserve"> </w:t>
            </w:r>
            <w:r w:rsidRPr="007E190E">
              <w:rPr>
                <w:rStyle w:val="PONBBestEstChar"/>
              </w:rPr>
              <w:fldChar w:fldCharType="begin">
                <w:ffData>
                  <w:name w:val="Text60"/>
                  <w:enabled/>
                  <w:calcOnExit w:val="0"/>
                  <w:textInput>
                    <w:maxLength w:val="8"/>
                  </w:textInput>
                </w:ffData>
              </w:fldChar>
            </w:r>
            <w:r w:rsidRPr="007E190E">
              <w:rPr>
                <w:rStyle w:val="PONBBestEstChar"/>
              </w:rPr>
              <w:instrText xml:space="preserve"> FORMTEXT </w:instrText>
            </w:r>
            <w:r w:rsidRPr="007E190E">
              <w:rPr>
                <w:rStyle w:val="PONBBestEstChar"/>
              </w:rPr>
            </w:r>
            <w:r w:rsidRPr="007E190E">
              <w:rPr>
                <w:rStyle w:val="PONBBestEstChar"/>
              </w:rPr>
              <w:fldChar w:fldCharType="separate"/>
            </w:r>
            <w:r>
              <w:rPr>
                <w:rStyle w:val="PONBBestEstChar"/>
                <w:noProof/>
              </w:rPr>
              <w:t>0</w:t>
            </w:r>
            <w:r w:rsidRPr="007E190E">
              <w:rPr>
                <w:rStyle w:val="PONBBestEstChar"/>
              </w:rPr>
              <w:fldChar w:fldCharType="end"/>
            </w:r>
          </w:p>
        </w:tc>
      </w:tr>
    </w:tbl>
    <w:p w:rsidR="003208C1" w:rsidRDefault="003208C1" w:rsidP="003208C1">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95"/>
        <w:gridCol w:w="1949"/>
        <w:gridCol w:w="790"/>
        <w:gridCol w:w="2865"/>
        <w:gridCol w:w="1776"/>
        <w:gridCol w:w="860"/>
      </w:tblGrid>
      <w:tr w:rsidR="003208C1" w:rsidRPr="007E190E" w:rsidTr="004A1F2F">
        <w:trPr>
          <w:trHeight w:hRule="exact" w:val="567"/>
        </w:trPr>
        <w:tc>
          <w:tcPr>
            <w:tcW w:w="1995" w:type="dxa"/>
            <w:shd w:val="clear" w:color="auto" w:fill="FFFFFF"/>
          </w:tcPr>
          <w:p w:rsidR="003208C1" w:rsidRPr="007E190E" w:rsidRDefault="003208C1" w:rsidP="004A1F2F">
            <w:pPr>
              <w:pStyle w:val="IATableLabel"/>
              <w:rPr>
                <w:sz w:val="24"/>
                <w:szCs w:val="24"/>
              </w:rPr>
            </w:pPr>
            <w:r w:rsidRPr="007E190E">
              <w:rPr>
                <w:sz w:val="24"/>
                <w:szCs w:val="24"/>
              </w:rPr>
              <w:t>COSTS (£m)</w:t>
            </w:r>
          </w:p>
        </w:tc>
        <w:tc>
          <w:tcPr>
            <w:tcW w:w="2739" w:type="dxa"/>
            <w:gridSpan w:val="2"/>
            <w:tcBorders>
              <w:top w:val="single" w:sz="12" w:space="0" w:color="auto"/>
              <w:bottom w:val="single" w:sz="6" w:space="0" w:color="auto"/>
            </w:tcBorders>
            <w:shd w:val="clear" w:color="auto" w:fill="auto"/>
          </w:tcPr>
          <w:p w:rsidR="003208C1" w:rsidRPr="00826F71" w:rsidRDefault="003208C1" w:rsidP="004A1F2F">
            <w:pPr>
              <w:pStyle w:val="IATableLabel"/>
              <w:tabs>
                <w:tab w:val="right" w:pos="1800"/>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rsidR="003208C1" w:rsidRPr="00826F71" w:rsidRDefault="003208C1" w:rsidP="004A1F2F">
            <w:pPr>
              <w:pStyle w:val="IATableLabel"/>
              <w:jc w:val="right"/>
            </w:pPr>
            <w:r>
              <w:br/>
            </w:r>
          </w:p>
        </w:tc>
        <w:tc>
          <w:tcPr>
            <w:tcW w:w="2865" w:type="dxa"/>
            <w:tcBorders>
              <w:bottom w:val="single" w:sz="6" w:space="0" w:color="auto"/>
              <w:right w:val="single" w:sz="12" w:space="0" w:color="auto"/>
            </w:tcBorders>
            <w:shd w:val="clear" w:color="auto" w:fill="auto"/>
          </w:tcPr>
          <w:p w:rsidR="003208C1" w:rsidRPr="007E190E" w:rsidRDefault="003208C1" w:rsidP="004A1F2F">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3208C1" w:rsidRPr="00826F71" w:rsidRDefault="003208C1" w:rsidP="004A1F2F">
            <w:pPr>
              <w:pStyle w:val="IATableLabel"/>
              <w:jc w:val="right"/>
            </w:pPr>
            <w:r w:rsidRPr="00826F71">
              <w:t>Total Cost</w:t>
            </w:r>
            <w:r w:rsidRPr="007E190E">
              <w:rPr>
                <w:b w:val="0"/>
                <w:sz w:val="18"/>
                <w:szCs w:val="18"/>
              </w:rPr>
              <w:t xml:space="preserve"> </w:t>
            </w:r>
            <w:r w:rsidRPr="007E190E">
              <w:rPr>
                <w:b w:val="0"/>
                <w:sz w:val="18"/>
                <w:szCs w:val="18"/>
              </w:rPr>
              <w:br/>
              <w:t>(Present Value)</w:t>
            </w:r>
          </w:p>
        </w:tc>
      </w:tr>
      <w:tr w:rsidR="003208C1" w:rsidRPr="007E190E" w:rsidTr="004A1F2F">
        <w:trPr>
          <w:trHeight w:hRule="exact" w:val="348"/>
        </w:trPr>
        <w:tc>
          <w:tcPr>
            <w:tcW w:w="1995" w:type="dxa"/>
            <w:tcBorders>
              <w:top w:val="single" w:sz="6" w:space="0" w:color="auto"/>
              <w:bottom w:val="single" w:sz="6" w:space="0" w:color="auto"/>
            </w:tcBorders>
            <w:shd w:val="clear" w:color="auto" w:fill="auto"/>
            <w:vAlign w:val="center"/>
          </w:tcPr>
          <w:p w:rsidR="003208C1" w:rsidRPr="00F63895" w:rsidRDefault="003208C1" w:rsidP="004A1F2F">
            <w:pPr>
              <w:pStyle w:val="IATableLabel"/>
            </w:pPr>
            <w:r w:rsidRPr="00F63895">
              <w:t xml:space="preserve">Low </w:t>
            </w:r>
          </w:p>
        </w:tc>
        <w:tc>
          <w:tcPr>
            <w:tcW w:w="1949" w:type="dxa"/>
            <w:tcBorders>
              <w:top w:val="single" w:sz="6" w:space="0" w:color="auto"/>
              <w:bottom w:val="single" w:sz="6" w:space="0" w:color="auto"/>
            </w:tcBorders>
            <w:shd w:val="clear" w:color="auto" w:fill="auto"/>
            <w:vAlign w:val="center"/>
          </w:tcPr>
          <w:p w:rsidR="003208C1" w:rsidRPr="007E190E" w:rsidRDefault="003208C1" w:rsidP="004A1F2F">
            <w:pPr>
              <w:pStyle w:val="POTTCostsLow"/>
              <w:rPr>
                <w:sz w:val="20"/>
              </w:rPr>
            </w:pPr>
            <w:r w:rsidRPr="007E190E">
              <w:rPr>
                <w:sz w:val="20"/>
              </w:rPr>
              <w:fldChar w:fldCharType="begin">
                <w:ffData>
                  <w:name w:val="Text45"/>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val="restart"/>
            <w:tcBorders>
              <w:top w:val="single" w:sz="6" w:space="0" w:color="auto"/>
            </w:tcBorders>
            <w:shd w:val="clear" w:color="auto" w:fill="auto"/>
            <w:vAlign w:val="center"/>
          </w:tcPr>
          <w:p w:rsidR="003208C1" w:rsidRPr="007E190E" w:rsidRDefault="003208C1" w:rsidP="004A1F2F">
            <w:pPr>
              <w:pStyle w:val="POTTCostsYear"/>
              <w:rPr>
                <w:sz w:val="20"/>
                <w:szCs w:val="20"/>
              </w:rPr>
            </w:pPr>
            <w:r w:rsidRPr="007E190E">
              <w:rPr>
                <w:sz w:val="20"/>
                <w:szCs w:val="20"/>
              </w:rPr>
              <w:fldChar w:fldCharType="begin">
                <w:ffData>
                  <w:name w:val="Text48"/>
                  <w:enabled/>
                  <w:calcOnExit w:val="0"/>
                  <w:textInput>
                    <w:maxLength w:val="3"/>
                  </w:textInput>
                </w:ffData>
              </w:fldChar>
            </w:r>
            <w:r w:rsidRPr="007E190E">
              <w:rPr>
                <w:sz w:val="20"/>
                <w:szCs w:val="20"/>
              </w:rPr>
              <w:instrText xml:space="preserve"> FORMTEXT </w:instrText>
            </w:r>
            <w:r w:rsidRPr="007E190E">
              <w:rPr>
                <w:sz w:val="20"/>
                <w:szCs w:val="20"/>
              </w:rPr>
            </w:r>
            <w:r w:rsidRPr="007E190E">
              <w:rPr>
                <w:sz w:val="20"/>
                <w:szCs w:val="20"/>
              </w:rPr>
              <w:fldChar w:fldCharType="separate"/>
            </w:r>
            <w:r w:rsidRPr="007E190E">
              <w:rPr>
                <w:noProof/>
                <w:sz w:val="20"/>
                <w:szCs w:val="20"/>
              </w:rPr>
              <w:t> </w:t>
            </w:r>
            <w:r w:rsidRPr="007E190E">
              <w:rPr>
                <w:noProof/>
                <w:sz w:val="20"/>
                <w:szCs w:val="20"/>
              </w:rPr>
              <w:t> </w:t>
            </w:r>
            <w:r w:rsidRPr="007E190E">
              <w:rPr>
                <w:noProof/>
                <w:sz w:val="20"/>
                <w:szCs w:val="20"/>
              </w:rPr>
              <w:t> </w:t>
            </w:r>
            <w:r w:rsidRPr="007E190E">
              <w:rPr>
                <w:sz w:val="20"/>
                <w:szCs w:val="20"/>
              </w:rPr>
              <w:fldChar w:fldCharType="end"/>
            </w:r>
          </w:p>
        </w:tc>
        <w:tc>
          <w:tcPr>
            <w:tcW w:w="2865" w:type="dxa"/>
            <w:tcBorders>
              <w:top w:val="single" w:sz="6" w:space="0" w:color="auto"/>
              <w:bottom w:val="single" w:sz="6" w:space="0" w:color="auto"/>
              <w:right w:val="single" w:sz="12" w:space="0" w:color="auto"/>
            </w:tcBorders>
            <w:shd w:val="clear" w:color="auto" w:fill="auto"/>
            <w:vAlign w:val="center"/>
          </w:tcPr>
          <w:p w:rsidR="003208C1" w:rsidRPr="007E190E" w:rsidRDefault="003208C1" w:rsidP="004A1F2F">
            <w:pPr>
              <w:pStyle w:val="POAACostsLow"/>
              <w:rPr>
                <w:sz w:val="20"/>
              </w:rPr>
            </w:pPr>
            <w:r w:rsidRPr="007E190E">
              <w:rPr>
                <w:sz w:val="20"/>
              </w:rPr>
              <w:fldChar w:fldCharType="begin">
                <w:ffData>
                  <w:name w:val="Text49"/>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636" w:type="dxa"/>
            <w:gridSpan w:val="2"/>
            <w:tcBorders>
              <w:top w:val="single" w:sz="6" w:space="0" w:color="auto"/>
              <w:left w:val="single" w:sz="12" w:space="0" w:color="auto"/>
              <w:bottom w:val="single" w:sz="6" w:space="0" w:color="auto"/>
            </w:tcBorders>
            <w:shd w:val="clear" w:color="auto" w:fill="auto"/>
            <w:vAlign w:val="center"/>
          </w:tcPr>
          <w:p w:rsidR="003208C1" w:rsidRPr="007E190E" w:rsidRDefault="003208C1" w:rsidP="004A1F2F">
            <w:pPr>
              <w:pStyle w:val="POTCCostsLow"/>
              <w:rPr>
                <w:sz w:val="20"/>
              </w:rPr>
            </w:pPr>
            <w:r w:rsidRPr="007E190E">
              <w:rPr>
                <w:sz w:val="20"/>
              </w:rPr>
              <w:fldChar w:fldCharType="begin">
                <w:ffData>
                  <w:name w:val="Text52"/>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3208C1" w:rsidRPr="007E190E" w:rsidTr="004A1F2F">
        <w:trPr>
          <w:trHeight w:hRule="exact" w:val="348"/>
        </w:trPr>
        <w:tc>
          <w:tcPr>
            <w:tcW w:w="1995" w:type="dxa"/>
            <w:tcBorders>
              <w:top w:val="single" w:sz="6" w:space="0" w:color="auto"/>
              <w:bottom w:val="single" w:sz="12" w:space="0" w:color="auto"/>
            </w:tcBorders>
            <w:shd w:val="clear" w:color="auto" w:fill="auto"/>
            <w:vAlign w:val="center"/>
          </w:tcPr>
          <w:p w:rsidR="003208C1" w:rsidRPr="00F63895" w:rsidRDefault="003208C1" w:rsidP="004A1F2F">
            <w:pPr>
              <w:pStyle w:val="IATableLabel"/>
            </w:pPr>
            <w:r w:rsidRPr="00F63895">
              <w:t xml:space="preserve">High </w:t>
            </w:r>
          </w:p>
        </w:tc>
        <w:tc>
          <w:tcPr>
            <w:tcW w:w="1949" w:type="dxa"/>
            <w:tcBorders>
              <w:top w:val="single" w:sz="6" w:space="0" w:color="auto"/>
              <w:bottom w:val="single" w:sz="12" w:space="0" w:color="auto"/>
            </w:tcBorders>
            <w:shd w:val="clear" w:color="auto" w:fill="auto"/>
            <w:vAlign w:val="center"/>
          </w:tcPr>
          <w:p w:rsidR="003208C1" w:rsidRPr="007E190E" w:rsidRDefault="003208C1" w:rsidP="004A1F2F">
            <w:pPr>
              <w:pStyle w:val="POTTCostsHigh"/>
              <w:rPr>
                <w:sz w:val="20"/>
              </w:rPr>
            </w:pPr>
            <w:r w:rsidRPr="007E190E">
              <w:rPr>
                <w:sz w:val="20"/>
              </w:rPr>
              <w:fldChar w:fldCharType="begin">
                <w:ffData>
                  <w:name w:val="Text46"/>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shd w:val="clear" w:color="auto" w:fill="FFFFFF"/>
            <w:vAlign w:val="center"/>
          </w:tcPr>
          <w:p w:rsidR="003208C1" w:rsidRPr="007E190E" w:rsidRDefault="003208C1" w:rsidP="004A1F2F">
            <w:pPr>
              <w:pStyle w:val="IATableText"/>
              <w:jc w:val="right"/>
              <w:rPr>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3208C1" w:rsidRPr="007E190E" w:rsidRDefault="003208C1" w:rsidP="004A1F2F">
            <w:pPr>
              <w:pStyle w:val="POAACostsHigh"/>
              <w:rPr>
                <w:sz w:val="20"/>
              </w:rPr>
            </w:pPr>
            <w:r w:rsidRPr="007E190E">
              <w:rPr>
                <w:sz w:val="20"/>
              </w:rPr>
              <w:fldChar w:fldCharType="begin">
                <w:ffData>
                  <w:name w:val="Text50"/>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2636" w:type="dxa"/>
            <w:gridSpan w:val="2"/>
            <w:tcBorders>
              <w:top w:val="single" w:sz="6" w:space="0" w:color="auto"/>
              <w:left w:val="single" w:sz="12" w:space="0" w:color="auto"/>
              <w:bottom w:val="single" w:sz="12" w:space="0" w:color="auto"/>
            </w:tcBorders>
            <w:shd w:val="clear" w:color="auto" w:fill="auto"/>
            <w:vAlign w:val="center"/>
          </w:tcPr>
          <w:p w:rsidR="003208C1" w:rsidRPr="007E190E" w:rsidRDefault="003208C1" w:rsidP="004A1F2F">
            <w:pPr>
              <w:pStyle w:val="POTCCostsHigh"/>
              <w:rPr>
                <w:sz w:val="20"/>
              </w:rPr>
            </w:pPr>
            <w:r w:rsidRPr="007E190E">
              <w:rPr>
                <w:sz w:val="20"/>
              </w:rPr>
              <w:fldChar w:fldCharType="begin">
                <w:ffData>
                  <w:name w:val="Text53"/>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r>
      <w:tr w:rsidR="003208C1" w:rsidRPr="007E190E" w:rsidTr="004A1F2F">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3208C1" w:rsidRPr="00F63895" w:rsidRDefault="003208C1" w:rsidP="004A1F2F">
            <w:pPr>
              <w:pStyle w:val="IATableLabel"/>
            </w:pPr>
            <w:r w:rsidRPr="00F63895">
              <w:t>Best Estimate</w:t>
            </w:r>
          </w:p>
          <w:p w:rsidR="003208C1" w:rsidRPr="007E190E" w:rsidRDefault="003208C1" w:rsidP="004A1F2F">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3208C1" w:rsidRPr="007E190E" w:rsidRDefault="003208C1" w:rsidP="004A1F2F">
            <w:pPr>
              <w:pStyle w:val="POTTCostsBest"/>
              <w:rPr>
                <w:sz w:val="20"/>
              </w:rPr>
            </w:pPr>
            <w:r w:rsidRPr="007E190E">
              <w:rPr>
                <w:sz w:val="20"/>
              </w:rPr>
              <w:fldChar w:fldCharType="begin">
                <w:ffData>
                  <w:name w:val="Text51"/>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Pr>
                <w:noProof/>
                <w:sz w:val="20"/>
              </w:rPr>
              <w:t>0</w:t>
            </w:r>
            <w:r w:rsidRPr="007E190E">
              <w:rPr>
                <w:sz w:val="20"/>
              </w:rPr>
              <w:fldChar w:fldCharType="end"/>
            </w:r>
          </w:p>
        </w:tc>
        <w:tc>
          <w:tcPr>
            <w:tcW w:w="790" w:type="dxa"/>
            <w:vMerge/>
            <w:tcBorders>
              <w:left w:val="single" w:sz="12" w:space="0" w:color="auto"/>
              <w:right w:val="single" w:sz="12" w:space="0" w:color="auto"/>
            </w:tcBorders>
            <w:shd w:val="clear" w:color="auto" w:fill="FFFFFF"/>
            <w:vAlign w:val="center"/>
          </w:tcPr>
          <w:p w:rsidR="003208C1" w:rsidRPr="007E190E" w:rsidRDefault="003208C1" w:rsidP="004A1F2F">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3208C1" w:rsidRPr="007E190E" w:rsidRDefault="003208C1" w:rsidP="002305C1">
            <w:pPr>
              <w:pStyle w:val="POAACostsBest"/>
              <w:rPr>
                <w:sz w:val="20"/>
              </w:rPr>
            </w:pPr>
            <w:r w:rsidRPr="007E190E">
              <w:rPr>
                <w:sz w:val="20"/>
              </w:rPr>
              <w:fldChar w:fldCharType="begin">
                <w:ffData>
                  <w:name w:val="Text51"/>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4A1F2F" w:rsidRPr="004A1F2F">
              <w:rPr>
                <w:noProof/>
                <w:sz w:val="20"/>
              </w:rPr>
              <w:t>111.</w:t>
            </w:r>
            <w:r w:rsidR="002305C1">
              <w:rPr>
                <w:noProof/>
                <w:sz w:val="20"/>
              </w:rPr>
              <w:t>5</w:t>
            </w:r>
            <w:r w:rsidRPr="007E190E">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3208C1" w:rsidRPr="007E190E" w:rsidRDefault="003208C1" w:rsidP="002305C1">
            <w:pPr>
              <w:pStyle w:val="POTCCostsBest"/>
              <w:rPr>
                <w:sz w:val="20"/>
              </w:rPr>
            </w:pPr>
            <w:r w:rsidRPr="007E190E">
              <w:rPr>
                <w:sz w:val="20"/>
              </w:rPr>
              <w:fldChar w:fldCharType="begin">
                <w:ffData>
                  <w:name w:val="Text54"/>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2305C1">
              <w:rPr>
                <w:sz w:val="20"/>
              </w:rPr>
              <w:t>901.7</w:t>
            </w:r>
            <w:r w:rsidRPr="007E190E">
              <w:rPr>
                <w:sz w:val="20"/>
              </w:rPr>
              <w:fldChar w:fldCharType="end"/>
            </w:r>
          </w:p>
        </w:tc>
      </w:tr>
      <w:tr w:rsidR="003208C1" w:rsidRPr="00826F71" w:rsidTr="004A1F2F">
        <w:trPr>
          <w:trHeight w:hRule="exact" w:val="1701"/>
        </w:trPr>
        <w:tc>
          <w:tcPr>
            <w:tcW w:w="10235" w:type="dxa"/>
            <w:gridSpan w:val="6"/>
            <w:tcBorders>
              <w:bottom w:val="single" w:sz="6" w:space="0" w:color="auto"/>
            </w:tcBorders>
            <w:shd w:val="clear" w:color="auto" w:fill="auto"/>
          </w:tcPr>
          <w:p w:rsidR="003208C1" w:rsidRPr="007E190E" w:rsidRDefault="003208C1" w:rsidP="004A1F2F">
            <w:pPr>
              <w:pStyle w:val="IAPOQ1"/>
              <w:rPr>
                <w:szCs w:val="22"/>
              </w:rPr>
            </w:pPr>
            <w:r w:rsidRPr="00544292">
              <w:t xml:space="preserve">Description and scale of </w:t>
            </w:r>
            <w:r w:rsidRPr="00826F71">
              <w:t>key monetised costs</w:t>
            </w:r>
            <w:r w:rsidRPr="00544292">
              <w:t xml:space="preserve"> by ‘main affected groups’ </w:t>
            </w:r>
          </w:p>
          <w:p w:rsidR="003208C1" w:rsidRPr="00826F71" w:rsidRDefault="003208C1" w:rsidP="0027723E">
            <w:pPr>
              <w:pStyle w:val="IAPOA1"/>
            </w:pPr>
            <w:r w:rsidRPr="00D337D1">
              <w:fldChar w:fldCharType="begin">
                <w:ffData>
                  <w:name w:val="Text62"/>
                  <w:enabled/>
                  <w:calcOnExit w:val="0"/>
                  <w:textInput>
                    <w:default w:val="Maximum of 5 lines"/>
                    <w:maxLength w:val="500"/>
                  </w:textInput>
                </w:ffData>
              </w:fldChar>
            </w:r>
            <w:r w:rsidRPr="00D337D1">
              <w:instrText xml:space="preserve"> FORMTEXT </w:instrText>
            </w:r>
            <w:r w:rsidRPr="00D337D1">
              <w:fldChar w:fldCharType="separate"/>
            </w:r>
            <w:r w:rsidR="004A1F2F" w:rsidRPr="004A1F2F">
              <w:rPr>
                <w:noProof/>
              </w:rPr>
              <w:t>The cost would be the increased fees levied on providers in the health and social care sector who</w:t>
            </w:r>
            <w:r w:rsidR="0027723E">
              <w:rPr>
                <w:noProof/>
              </w:rPr>
              <w:t xml:space="preserve"> are regulated by the CQ</w:t>
            </w:r>
            <w:r w:rsidR="004A1F2F" w:rsidRPr="004A1F2F">
              <w:rPr>
                <w:noProof/>
              </w:rPr>
              <w:t>C. As</w:t>
            </w:r>
            <w:r w:rsidR="0027723E">
              <w:rPr>
                <w:noProof/>
              </w:rPr>
              <w:t xml:space="preserve"> the</w:t>
            </w:r>
            <w:r w:rsidR="004A1F2F" w:rsidRPr="004A1F2F">
              <w:rPr>
                <w:noProof/>
              </w:rPr>
              <w:t xml:space="preserve"> CQC already collect fees from all providers it regulates, there are no additional administrative costs anticipated with changing the fee level. </w:t>
            </w:r>
            <w:r w:rsidRPr="00D337D1">
              <w:fldChar w:fldCharType="end"/>
            </w:r>
          </w:p>
        </w:tc>
      </w:tr>
      <w:tr w:rsidR="003208C1" w:rsidRPr="00826F71" w:rsidTr="004A1F2F">
        <w:trPr>
          <w:trHeight w:hRule="exact" w:val="1701"/>
        </w:trPr>
        <w:tc>
          <w:tcPr>
            <w:tcW w:w="10235" w:type="dxa"/>
            <w:gridSpan w:val="6"/>
            <w:tcBorders>
              <w:top w:val="single" w:sz="6" w:space="0" w:color="auto"/>
              <w:bottom w:val="single" w:sz="12" w:space="0" w:color="auto"/>
            </w:tcBorders>
            <w:shd w:val="clear" w:color="auto" w:fill="auto"/>
          </w:tcPr>
          <w:p w:rsidR="003208C1" w:rsidRPr="007E190E" w:rsidRDefault="003208C1" w:rsidP="004A1F2F">
            <w:pPr>
              <w:pStyle w:val="IAPOQ2"/>
              <w:rPr>
                <w:szCs w:val="22"/>
              </w:rPr>
            </w:pPr>
            <w:r w:rsidRPr="00544292">
              <w:t>Other</w:t>
            </w:r>
            <w:r w:rsidRPr="00826F71">
              <w:t xml:space="preserve"> key non-monetised costs</w:t>
            </w:r>
            <w:r w:rsidRPr="00544292">
              <w:t xml:space="preserve"> by ‘main affected groups’ </w:t>
            </w:r>
          </w:p>
          <w:p w:rsidR="003208C1" w:rsidRPr="007E190E" w:rsidRDefault="003208C1" w:rsidP="004A1F2F">
            <w:pPr>
              <w:pStyle w:val="IAPOA2"/>
              <w:rPr>
                <w:szCs w:val="22"/>
              </w:rPr>
            </w:pPr>
            <w:r w:rsidRPr="007E190E">
              <w:rPr>
                <w:szCs w:val="22"/>
              </w:rPr>
              <w:fldChar w:fldCharType="begin">
                <w:ffData>
                  <w:name w:val="Text62"/>
                  <w:enabled/>
                  <w:calcOnExit w:val="0"/>
                  <w:textInput>
                    <w:default w:val="Maximum of 5 lines"/>
                    <w:maxLength w:val="500"/>
                  </w:textInput>
                </w:ffData>
              </w:fldChar>
            </w:r>
            <w:r w:rsidRPr="007E190E">
              <w:rPr>
                <w:szCs w:val="22"/>
              </w:rPr>
              <w:instrText xml:space="preserve"> FORMTEXT </w:instrText>
            </w:r>
            <w:r w:rsidRPr="007E190E">
              <w:rPr>
                <w:szCs w:val="22"/>
              </w:rPr>
            </w:r>
            <w:r w:rsidRPr="007E190E">
              <w:rPr>
                <w:szCs w:val="22"/>
              </w:rPr>
              <w:fldChar w:fldCharType="separate"/>
            </w:r>
            <w:r w:rsidR="004A1F2F" w:rsidRPr="004A1F2F">
              <w:rPr>
                <w:szCs w:val="22"/>
              </w:rPr>
              <w:t>None</w:t>
            </w:r>
            <w:r w:rsidR="004A1F2F">
              <w:rPr>
                <w:szCs w:val="22"/>
              </w:rPr>
              <w:t> </w:t>
            </w:r>
            <w:r w:rsidR="004A1F2F">
              <w:rPr>
                <w:szCs w:val="22"/>
              </w:rPr>
              <w:t> </w:t>
            </w:r>
            <w:r w:rsidR="004A1F2F">
              <w:rPr>
                <w:szCs w:val="22"/>
              </w:rPr>
              <w:t> </w:t>
            </w:r>
            <w:r w:rsidR="004A1F2F">
              <w:rPr>
                <w:szCs w:val="22"/>
              </w:rPr>
              <w:t> </w:t>
            </w:r>
            <w:r w:rsidR="004A1F2F">
              <w:rPr>
                <w:szCs w:val="22"/>
              </w:rPr>
              <w:t> </w:t>
            </w:r>
            <w:r w:rsidRPr="007E190E">
              <w:rPr>
                <w:szCs w:val="22"/>
              </w:rPr>
              <w:fldChar w:fldCharType="end"/>
            </w:r>
          </w:p>
        </w:tc>
      </w:tr>
      <w:tr w:rsidR="003208C1" w:rsidRPr="007E190E" w:rsidTr="004A1F2F">
        <w:trPr>
          <w:trHeight w:hRule="exact" w:val="567"/>
        </w:trPr>
        <w:tc>
          <w:tcPr>
            <w:tcW w:w="1995" w:type="dxa"/>
            <w:shd w:val="clear" w:color="auto" w:fill="FFFFFF"/>
          </w:tcPr>
          <w:p w:rsidR="003208C1" w:rsidRPr="007E190E" w:rsidRDefault="003208C1" w:rsidP="004A1F2F">
            <w:pPr>
              <w:pStyle w:val="IATableLabel"/>
              <w:rPr>
                <w:sz w:val="24"/>
                <w:szCs w:val="24"/>
              </w:rPr>
            </w:pPr>
            <w:r w:rsidRPr="007E190E">
              <w:rPr>
                <w:sz w:val="24"/>
                <w:szCs w:val="24"/>
              </w:rPr>
              <w:t>BENEFITS (£m)</w:t>
            </w:r>
          </w:p>
        </w:tc>
        <w:tc>
          <w:tcPr>
            <w:tcW w:w="2739" w:type="dxa"/>
            <w:gridSpan w:val="2"/>
            <w:tcBorders>
              <w:top w:val="single" w:sz="12" w:space="0" w:color="auto"/>
              <w:bottom w:val="single" w:sz="6" w:space="0" w:color="auto"/>
            </w:tcBorders>
            <w:shd w:val="clear" w:color="auto" w:fill="auto"/>
          </w:tcPr>
          <w:p w:rsidR="003208C1" w:rsidRPr="00826F71" w:rsidRDefault="003208C1" w:rsidP="004A1F2F">
            <w:pPr>
              <w:pStyle w:val="IATableLabel"/>
              <w:tabs>
                <w:tab w:val="right" w:pos="1797"/>
                <w:tab w:val="center" w:pos="2340"/>
              </w:tabs>
              <w:jc w:val="right"/>
            </w:pPr>
            <w:r w:rsidRPr="00826F71">
              <w:t xml:space="preserve">Total Transition </w:t>
            </w:r>
            <w:r>
              <w:br/>
            </w:r>
            <w:r>
              <w:tab/>
            </w:r>
            <w:r w:rsidRPr="007E190E">
              <w:rPr>
                <w:b w:val="0"/>
                <w:sz w:val="18"/>
                <w:szCs w:val="18"/>
              </w:rPr>
              <w:t>(Constant Price)</w:t>
            </w:r>
            <w:r>
              <w:tab/>
            </w:r>
            <w:r w:rsidRPr="007E190E">
              <w:rPr>
                <w:b w:val="0"/>
                <w:sz w:val="18"/>
                <w:szCs w:val="18"/>
              </w:rPr>
              <w:t>Yea</w:t>
            </w:r>
            <w:r w:rsidRPr="007E190E">
              <w:rPr>
                <w:b w:val="0"/>
                <w:bCs/>
                <w:sz w:val="18"/>
                <w:szCs w:val="18"/>
              </w:rPr>
              <w:t>r</w:t>
            </w:r>
            <w:r w:rsidRPr="007E190E">
              <w:rPr>
                <w:b w:val="0"/>
                <w:sz w:val="18"/>
                <w:szCs w:val="18"/>
              </w:rPr>
              <w:t>s</w:t>
            </w:r>
          </w:p>
          <w:p w:rsidR="003208C1" w:rsidRPr="00826F71" w:rsidRDefault="003208C1" w:rsidP="004A1F2F">
            <w:pPr>
              <w:pStyle w:val="IATableLabel"/>
              <w:jc w:val="right"/>
            </w:pPr>
            <w:r>
              <w:br/>
            </w:r>
          </w:p>
        </w:tc>
        <w:tc>
          <w:tcPr>
            <w:tcW w:w="2865" w:type="dxa"/>
            <w:tcBorders>
              <w:bottom w:val="single" w:sz="6" w:space="0" w:color="auto"/>
              <w:right w:val="single" w:sz="12" w:space="0" w:color="auto"/>
            </w:tcBorders>
            <w:shd w:val="clear" w:color="auto" w:fill="auto"/>
          </w:tcPr>
          <w:p w:rsidR="003208C1" w:rsidRPr="007E190E" w:rsidRDefault="003208C1" w:rsidP="004A1F2F">
            <w:pPr>
              <w:pStyle w:val="IATableLabel"/>
              <w:jc w:val="right"/>
              <w:rPr>
                <w:rFonts w:cs="Arial"/>
                <w:bCs/>
              </w:rPr>
            </w:pPr>
            <w:r w:rsidRPr="00826F71">
              <w:t>Average Annual</w:t>
            </w:r>
            <w:r w:rsidRPr="000C031E">
              <w:t xml:space="preserve"> </w:t>
            </w:r>
            <w:r>
              <w:br/>
            </w:r>
            <w:r w:rsidRPr="007E190E">
              <w:rPr>
                <w:b w:val="0"/>
                <w:sz w:val="18"/>
                <w:szCs w:val="18"/>
              </w:rPr>
              <w:t xml:space="preserve">(excl. Transition) </w:t>
            </w:r>
            <w:r w:rsidRPr="007E190E">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rsidR="003208C1" w:rsidRPr="00826F71" w:rsidRDefault="003208C1" w:rsidP="004A1F2F">
            <w:pPr>
              <w:pStyle w:val="IATableLabel"/>
              <w:jc w:val="right"/>
            </w:pPr>
            <w:r w:rsidRPr="00826F71">
              <w:t xml:space="preserve">Total </w:t>
            </w:r>
            <w:r>
              <w:t>Benefit</w:t>
            </w:r>
            <w:r w:rsidRPr="007E190E">
              <w:rPr>
                <w:b w:val="0"/>
                <w:sz w:val="18"/>
                <w:szCs w:val="18"/>
              </w:rPr>
              <w:t xml:space="preserve"> </w:t>
            </w:r>
            <w:r w:rsidRPr="007E190E">
              <w:rPr>
                <w:b w:val="0"/>
                <w:sz w:val="18"/>
                <w:szCs w:val="18"/>
              </w:rPr>
              <w:br/>
              <w:t>(Present Value)</w:t>
            </w:r>
          </w:p>
        </w:tc>
      </w:tr>
      <w:tr w:rsidR="003208C1" w:rsidRPr="007E190E" w:rsidTr="004A1F2F">
        <w:trPr>
          <w:trHeight w:hRule="exact" w:val="348"/>
        </w:trPr>
        <w:tc>
          <w:tcPr>
            <w:tcW w:w="1995" w:type="dxa"/>
            <w:tcBorders>
              <w:top w:val="single" w:sz="6" w:space="0" w:color="auto"/>
              <w:bottom w:val="single" w:sz="6" w:space="0" w:color="auto"/>
            </w:tcBorders>
            <w:shd w:val="clear" w:color="auto" w:fill="auto"/>
            <w:vAlign w:val="center"/>
          </w:tcPr>
          <w:p w:rsidR="003208C1" w:rsidRPr="00826F71" w:rsidRDefault="003208C1" w:rsidP="004A1F2F">
            <w:pPr>
              <w:pStyle w:val="IATableLabel"/>
            </w:pPr>
            <w:r w:rsidRPr="00826F71">
              <w:t xml:space="preserve">Low </w:t>
            </w:r>
          </w:p>
        </w:tc>
        <w:tc>
          <w:tcPr>
            <w:tcW w:w="1949" w:type="dxa"/>
            <w:tcBorders>
              <w:top w:val="single" w:sz="6" w:space="0" w:color="auto"/>
              <w:bottom w:val="single" w:sz="6" w:space="0" w:color="auto"/>
            </w:tcBorders>
            <w:shd w:val="clear" w:color="auto" w:fill="auto"/>
            <w:vAlign w:val="center"/>
          </w:tcPr>
          <w:p w:rsidR="003208C1" w:rsidRPr="007E190E" w:rsidRDefault="003208C1" w:rsidP="004A1F2F">
            <w:pPr>
              <w:pStyle w:val="POTTBenLow"/>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val="restart"/>
            <w:tcBorders>
              <w:top w:val="single" w:sz="6" w:space="0" w:color="auto"/>
            </w:tcBorders>
            <w:shd w:val="clear" w:color="auto" w:fill="auto"/>
            <w:vAlign w:val="center"/>
          </w:tcPr>
          <w:p w:rsidR="003208C1" w:rsidRPr="007E190E" w:rsidRDefault="003208C1" w:rsidP="004A1F2F">
            <w:pPr>
              <w:pStyle w:val="IATableText"/>
              <w:jc w:val="center"/>
              <w:rPr>
                <w:sz w:val="20"/>
              </w:rPr>
            </w:pPr>
            <w:r w:rsidRPr="007E190E">
              <w:rPr>
                <w:sz w:val="20"/>
              </w:rPr>
              <w:fldChar w:fldCharType="begin">
                <w:ffData>
                  <w:name w:val="Text48"/>
                  <w:enabled/>
                  <w:calcOnExit w:val="0"/>
                  <w:textInput>
                    <w:maxLength w:val="3"/>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 </w:t>
            </w:r>
            <w:r w:rsidRPr="007E190E">
              <w:rPr>
                <w:noProof/>
                <w:sz w:val="20"/>
              </w:rPr>
              <w:t> </w:t>
            </w:r>
            <w:r w:rsidRPr="007E190E">
              <w:rPr>
                <w:noProof/>
                <w:sz w:val="20"/>
              </w:rPr>
              <w:t> </w:t>
            </w:r>
            <w:r w:rsidRPr="007E190E">
              <w:rPr>
                <w:sz w:val="20"/>
              </w:rPr>
              <w:fldChar w:fldCharType="end"/>
            </w:r>
          </w:p>
        </w:tc>
        <w:tc>
          <w:tcPr>
            <w:tcW w:w="2865" w:type="dxa"/>
            <w:tcBorders>
              <w:top w:val="single" w:sz="6" w:space="0" w:color="auto"/>
              <w:bottom w:val="single" w:sz="6" w:space="0" w:color="auto"/>
              <w:right w:val="single" w:sz="12" w:space="0" w:color="auto"/>
            </w:tcBorders>
            <w:shd w:val="clear" w:color="auto" w:fill="auto"/>
            <w:vAlign w:val="center"/>
          </w:tcPr>
          <w:p w:rsidR="003208C1" w:rsidRPr="007E190E" w:rsidRDefault="00073758" w:rsidP="002305C1">
            <w:pPr>
              <w:pStyle w:val="POAABenLow"/>
              <w:rPr>
                <w:sz w:val="20"/>
              </w:rPr>
            </w:pPr>
            <w:r>
              <w:rPr>
                <w:sz w:val="20"/>
              </w:rPr>
              <w:t>111.</w:t>
            </w:r>
            <w:r w:rsidR="002305C1">
              <w:rPr>
                <w:sz w:val="20"/>
              </w:rPr>
              <w:t>5</w:t>
            </w:r>
          </w:p>
        </w:tc>
        <w:tc>
          <w:tcPr>
            <w:tcW w:w="2636" w:type="dxa"/>
            <w:gridSpan w:val="2"/>
            <w:tcBorders>
              <w:top w:val="single" w:sz="6" w:space="0" w:color="auto"/>
              <w:left w:val="single" w:sz="12" w:space="0" w:color="auto"/>
              <w:bottom w:val="single" w:sz="6" w:space="0" w:color="auto"/>
            </w:tcBorders>
            <w:shd w:val="clear" w:color="auto" w:fill="auto"/>
            <w:vAlign w:val="center"/>
          </w:tcPr>
          <w:p w:rsidR="003208C1" w:rsidRPr="007E190E" w:rsidRDefault="00073758" w:rsidP="004A1F2F">
            <w:pPr>
              <w:pStyle w:val="POTBBenLow"/>
              <w:rPr>
                <w:sz w:val="20"/>
              </w:rPr>
            </w:pPr>
            <w:r>
              <w:rPr>
                <w:sz w:val="20"/>
              </w:rPr>
              <w:t>9</w:t>
            </w:r>
            <w:r w:rsidR="002305C1">
              <w:rPr>
                <w:sz w:val="20"/>
              </w:rPr>
              <w:t>01.7</w:t>
            </w:r>
          </w:p>
        </w:tc>
      </w:tr>
      <w:tr w:rsidR="003208C1" w:rsidRPr="007E190E" w:rsidTr="004A1F2F">
        <w:trPr>
          <w:trHeight w:hRule="exact" w:val="348"/>
        </w:trPr>
        <w:tc>
          <w:tcPr>
            <w:tcW w:w="1995" w:type="dxa"/>
            <w:tcBorders>
              <w:top w:val="single" w:sz="6" w:space="0" w:color="auto"/>
              <w:bottom w:val="single" w:sz="12" w:space="0" w:color="auto"/>
            </w:tcBorders>
            <w:shd w:val="clear" w:color="auto" w:fill="auto"/>
            <w:vAlign w:val="center"/>
          </w:tcPr>
          <w:p w:rsidR="003208C1" w:rsidRPr="00826F71" w:rsidRDefault="003208C1" w:rsidP="004A1F2F">
            <w:pPr>
              <w:pStyle w:val="IATableLabel"/>
            </w:pPr>
            <w:r w:rsidRPr="00826F71">
              <w:t xml:space="preserve">High </w:t>
            </w:r>
          </w:p>
        </w:tc>
        <w:tc>
          <w:tcPr>
            <w:tcW w:w="1949" w:type="dxa"/>
            <w:tcBorders>
              <w:top w:val="single" w:sz="6" w:space="0" w:color="auto"/>
              <w:bottom w:val="single" w:sz="12" w:space="0" w:color="auto"/>
            </w:tcBorders>
            <w:shd w:val="clear" w:color="auto" w:fill="auto"/>
            <w:vAlign w:val="center"/>
          </w:tcPr>
          <w:p w:rsidR="003208C1" w:rsidRPr="007E190E" w:rsidRDefault="003208C1" w:rsidP="004A1F2F">
            <w:pPr>
              <w:pStyle w:val="POTTBenHigh"/>
              <w:rPr>
                <w:sz w:val="20"/>
              </w:rPr>
            </w:pPr>
            <w:r w:rsidRPr="007E190E">
              <w:rPr>
                <w:sz w:val="20"/>
              </w:rPr>
              <w:fldChar w:fldCharType="begin">
                <w:ffData>
                  <w:name w:val=""/>
                  <w:enabled/>
                  <w:calcOnExit w:val="0"/>
                  <w:textInput>
                    <w:default w:val="Optional"/>
                    <w:maxLength w:val="14"/>
                  </w:textInput>
                </w:ffData>
              </w:fldChar>
            </w:r>
            <w:r w:rsidRPr="007E190E">
              <w:rPr>
                <w:sz w:val="20"/>
              </w:rPr>
              <w:instrText xml:space="preserve"> FORMTEXT </w:instrText>
            </w:r>
            <w:r w:rsidRPr="007E190E">
              <w:rPr>
                <w:sz w:val="20"/>
              </w:rPr>
            </w:r>
            <w:r w:rsidRPr="007E190E">
              <w:rPr>
                <w:sz w:val="20"/>
              </w:rPr>
              <w:fldChar w:fldCharType="separate"/>
            </w:r>
            <w:r w:rsidRPr="007E190E">
              <w:rPr>
                <w:noProof/>
                <w:sz w:val="20"/>
              </w:rPr>
              <w:t>Optional</w:t>
            </w:r>
            <w:r w:rsidRPr="007E190E">
              <w:rPr>
                <w:sz w:val="20"/>
              </w:rPr>
              <w:fldChar w:fldCharType="end"/>
            </w:r>
          </w:p>
        </w:tc>
        <w:tc>
          <w:tcPr>
            <w:tcW w:w="790" w:type="dxa"/>
            <w:vMerge/>
            <w:shd w:val="clear" w:color="auto" w:fill="FFFFFF"/>
            <w:vAlign w:val="center"/>
          </w:tcPr>
          <w:p w:rsidR="003208C1" w:rsidRPr="007E190E" w:rsidRDefault="003208C1" w:rsidP="004A1F2F">
            <w:pPr>
              <w:pStyle w:val="IATableText"/>
              <w:jc w:val="right"/>
              <w:rPr>
                <w:sz w:val="20"/>
              </w:rPr>
            </w:pPr>
          </w:p>
        </w:tc>
        <w:tc>
          <w:tcPr>
            <w:tcW w:w="2865" w:type="dxa"/>
            <w:tcBorders>
              <w:top w:val="single" w:sz="6" w:space="0" w:color="auto"/>
              <w:bottom w:val="single" w:sz="12" w:space="0" w:color="auto"/>
              <w:right w:val="single" w:sz="12" w:space="0" w:color="auto"/>
            </w:tcBorders>
            <w:shd w:val="clear" w:color="auto" w:fill="auto"/>
            <w:vAlign w:val="center"/>
          </w:tcPr>
          <w:p w:rsidR="003208C1" w:rsidRPr="007E190E" w:rsidRDefault="00073758" w:rsidP="002305C1">
            <w:pPr>
              <w:pStyle w:val="POAABenHigh"/>
              <w:rPr>
                <w:sz w:val="20"/>
              </w:rPr>
            </w:pPr>
            <w:r>
              <w:rPr>
                <w:sz w:val="20"/>
              </w:rPr>
              <w:t>23</w:t>
            </w:r>
            <w:r w:rsidR="002305C1">
              <w:rPr>
                <w:sz w:val="20"/>
              </w:rPr>
              <w:t>7</w:t>
            </w:r>
          </w:p>
        </w:tc>
        <w:tc>
          <w:tcPr>
            <w:tcW w:w="2636" w:type="dxa"/>
            <w:gridSpan w:val="2"/>
            <w:tcBorders>
              <w:top w:val="single" w:sz="6" w:space="0" w:color="auto"/>
              <w:left w:val="single" w:sz="12" w:space="0" w:color="auto"/>
              <w:bottom w:val="single" w:sz="12" w:space="0" w:color="auto"/>
            </w:tcBorders>
            <w:shd w:val="clear" w:color="auto" w:fill="auto"/>
            <w:vAlign w:val="center"/>
          </w:tcPr>
          <w:p w:rsidR="003208C1" w:rsidRPr="007E190E" w:rsidRDefault="002305C1" w:rsidP="002305C1">
            <w:pPr>
              <w:pStyle w:val="POTBBenHigh"/>
              <w:rPr>
                <w:sz w:val="20"/>
              </w:rPr>
            </w:pPr>
            <w:r>
              <w:rPr>
                <w:sz w:val="20"/>
              </w:rPr>
              <w:t>2031</w:t>
            </w:r>
            <w:r w:rsidR="00073758">
              <w:rPr>
                <w:sz w:val="20"/>
              </w:rPr>
              <w:t>.</w:t>
            </w:r>
            <w:r>
              <w:rPr>
                <w:sz w:val="20"/>
              </w:rPr>
              <w:t>3</w:t>
            </w:r>
          </w:p>
        </w:tc>
      </w:tr>
      <w:tr w:rsidR="003208C1" w:rsidRPr="007E190E" w:rsidTr="004A1F2F">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rsidR="003208C1" w:rsidRPr="00826F71" w:rsidRDefault="003208C1" w:rsidP="004A1F2F">
            <w:pPr>
              <w:pStyle w:val="IATableLabel"/>
            </w:pPr>
            <w:r w:rsidRPr="00826F71">
              <w:t xml:space="preserve">Best </w:t>
            </w:r>
            <w:r>
              <w:t>E</w:t>
            </w:r>
            <w:r w:rsidRPr="00826F71">
              <w:t>stimate</w:t>
            </w:r>
          </w:p>
          <w:p w:rsidR="003208C1" w:rsidRPr="007E190E" w:rsidRDefault="003208C1" w:rsidP="004A1F2F">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rsidR="003208C1" w:rsidRPr="007E190E" w:rsidRDefault="003208C1" w:rsidP="004A1F2F">
            <w:pPr>
              <w:pStyle w:val="POTT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Pr>
                <w:noProof/>
                <w:sz w:val="20"/>
              </w:rPr>
              <w:t>0</w:t>
            </w:r>
            <w:r w:rsidRPr="007E190E">
              <w:rPr>
                <w:sz w:val="20"/>
              </w:rPr>
              <w:fldChar w:fldCharType="end"/>
            </w:r>
          </w:p>
        </w:tc>
        <w:tc>
          <w:tcPr>
            <w:tcW w:w="790" w:type="dxa"/>
            <w:vMerge/>
            <w:tcBorders>
              <w:left w:val="single" w:sz="12" w:space="0" w:color="auto"/>
              <w:right w:val="single" w:sz="12" w:space="0" w:color="auto"/>
            </w:tcBorders>
            <w:shd w:val="clear" w:color="auto" w:fill="FFFFFF"/>
            <w:vAlign w:val="center"/>
          </w:tcPr>
          <w:p w:rsidR="003208C1" w:rsidRPr="007E190E" w:rsidRDefault="003208C1" w:rsidP="004A1F2F">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rsidR="003208C1" w:rsidRPr="007E190E" w:rsidRDefault="003208C1" w:rsidP="002305C1">
            <w:pPr>
              <w:pStyle w:val="POAA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4A1F2F" w:rsidRPr="004A1F2F">
              <w:rPr>
                <w:noProof/>
                <w:sz w:val="20"/>
              </w:rPr>
              <w:t>111.</w:t>
            </w:r>
            <w:r w:rsidR="002305C1">
              <w:rPr>
                <w:noProof/>
                <w:sz w:val="20"/>
              </w:rPr>
              <w:t>5</w:t>
            </w:r>
            <w:r w:rsidRPr="007E190E">
              <w:rPr>
                <w:sz w:val="20"/>
              </w:rPr>
              <w:fldChar w:fldCharType="end"/>
            </w:r>
          </w:p>
        </w:tc>
        <w:tc>
          <w:tcPr>
            <w:tcW w:w="2636" w:type="dxa"/>
            <w:gridSpan w:val="2"/>
            <w:tcBorders>
              <w:top w:val="single" w:sz="12" w:space="0" w:color="auto"/>
              <w:left w:val="single" w:sz="12" w:space="0" w:color="auto"/>
              <w:bottom w:val="single" w:sz="12" w:space="0" w:color="auto"/>
            </w:tcBorders>
            <w:shd w:val="clear" w:color="auto" w:fill="FFFFFF"/>
            <w:vAlign w:val="center"/>
          </w:tcPr>
          <w:p w:rsidR="003208C1" w:rsidRPr="007E190E" w:rsidRDefault="003208C1" w:rsidP="002305C1">
            <w:pPr>
              <w:pStyle w:val="POTBBenBest"/>
              <w:rPr>
                <w:sz w:val="20"/>
              </w:rPr>
            </w:pPr>
            <w:r w:rsidRPr="007E190E">
              <w:rPr>
                <w:sz w:val="20"/>
              </w:rPr>
              <w:fldChar w:fldCharType="begin">
                <w:ffData>
                  <w:name w:val=""/>
                  <w:enabled/>
                  <w:calcOnExit w:val="0"/>
                  <w:textInput>
                    <w:maxLength w:val="14"/>
                  </w:textInput>
                </w:ffData>
              </w:fldChar>
            </w:r>
            <w:r w:rsidRPr="007E190E">
              <w:rPr>
                <w:sz w:val="20"/>
              </w:rPr>
              <w:instrText xml:space="preserve"> FORMTEXT </w:instrText>
            </w:r>
            <w:r w:rsidRPr="007E190E">
              <w:rPr>
                <w:sz w:val="20"/>
              </w:rPr>
            </w:r>
            <w:r w:rsidRPr="007E190E">
              <w:rPr>
                <w:sz w:val="20"/>
              </w:rPr>
              <w:fldChar w:fldCharType="separate"/>
            </w:r>
            <w:r w:rsidR="002305C1">
              <w:rPr>
                <w:noProof/>
                <w:sz w:val="20"/>
              </w:rPr>
              <w:t>901.7</w:t>
            </w:r>
            <w:r w:rsidRPr="007E190E">
              <w:rPr>
                <w:sz w:val="20"/>
              </w:rPr>
              <w:fldChar w:fldCharType="end"/>
            </w:r>
          </w:p>
        </w:tc>
      </w:tr>
      <w:tr w:rsidR="003208C1" w:rsidRPr="00826F71" w:rsidTr="004A1F2F">
        <w:trPr>
          <w:trHeight w:hRule="exact" w:val="1701"/>
        </w:trPr>
        <w:tc>
          <w:tcPr>
            <w:tcW w:w="10235" w:type="dxa"/>
            <w:gridSpan w:val="6"/>
            <w:shd w:val="clear" w:color="auto" w:fill="auto"/>
          </w:tcPr>
          <w:p w:rsidR="003208C1" w:rsidRPr="007E190E" w:rsidRDefault="003208C1" w:rsidP="004A1F2F">
            <w:pPr>
              <w:pStyle w:val="IPPOQ3"/>
              <w:rPr>
                <w:szCs w:val="22"/>
              </w:rPr>
            </w:pPr>
            <w:r w:rsidRPr="00544292">
              <w:t xml:space="preserve">Description and scale of </w:t>
            </w:r>
            <w:r w:rsidRPr="00826F71">
              <w:t xml:space="preserve">key monetised </w:t>
            </w:r>
            <w:r>
              <w:t>benefits</w:t>
            </w:r>
            <w:r w:rsidRPr="00544292">
              <w:t xml:space="preserve"> by ‘main affected groups’ </w:t>
            </w:r>
          </w:p>
          <w:p w:rsidR="003208C1" w:rsidRPr="00826F71" w:rsidRDefault="003208C1" w:rsidP="004A1F2F">
            <w:pPr>
              <w:pStyle w:val="IAPOA3"/>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sidR="004A1F2F" w:rsidRPr="004A1F2F">
              <w:t xml:space="preserve">Grant in Aid funding from the department would reduce, freeing up resources for other purposes. At a minimum, it is anticipated that this saving would be equal to the increase in fees for providers. However, there could be additional health benefits that result from this transfer of funds from the private to the public sector. Whilst the IA explores the potential size of these, we are unable to fully monetise this additional benefit. </w:t>
            </w:r>
            <w:r w:rsidR="004A1F2F">
              <w:t> </w:t>
            </w:r>
            <w:r w:rsidR="004A1F2F">
              <w:t> </w:t>
            </w:r>
            <w:r w:rsidR="004A1F2F">
              <w:t> </w:t>
            </w:r>
            <w:r w:rsidR="004A1F2F">
              <w:t> </w:t>
            </w:r>
            <w:r w:rsidR="004A1F2F">
              <w:t> </w:t>
            </w:r>
            <w:r w:rsidRPr="00D337D1">
              <w:fldChar w:fldCharType="end"/>
            </w:r>
          </w:p>
        </w:tc>
      </w:tr>
      <w:tr w:rsidR="003208C1" w:rsidRPr="00826F71" w:rsidTr="004A1F2F">
        <w:trPr>
          <w:trHeight w:hRule="exact" w:val="1701"/>
        </w:trPr>
        <w:tc>
          <w:tcPr>
            <w:tcW w:w="10235" w:type="dxa"/>
            <w:gridSpan w:val="6"/>
            <w:shd w:val="clear" w:color="auto" w:fill="auto"/>
          </w:tcPr>
          <w:p w:rsidR="003208C1" w:rsidRPr="007E190E" w:rsidRDefault="003208C1" w:rsidP="004A1F2F">
            <w:pPr>
              <w:pStyle w:val="IAPOQ4"/>
              <w:rPr>
                <w:szCs w:val="22"/>
              </w:rPr>
            </w:pPr>
            <w:r w:rsidRPr="00544292">
              <w:t>Other</w:t>
            </w:r>
            <w:r w:rsidRPr="00826F71">
              <w:t xml:space="preserve"> key non-monetised </w:t>
            </w:r>
            <w:r>
              <w:t>benefits</w:t>
            </w:r>
            <w:r w:rsidRPr="00544292">
              <w:t xml:space="preserve"> by ‘main affected groups’ </w:t>
            </w:r>
          </w:p>
          <w:p w:rsidR="003208C1" w:rsidRPr="00826F71" w:rsidRDefault="003208C1" w:rsidP="004A1F2F">
            <w:pPr>
              <w:pStyle w:val="IAPOA4"/>
            </w:pPr>
            <w:r w:rsidRPr="00D337D1">
              <w:fldChar w:fldCharType="begin">
                <w:ffData>
                  <w:name w:val=""/>
                  <w:enabled/>
                  <w:calcOnExit w:val="0"/>
                  <w:textInput>
                    <w:default w:val="Maximum of 5 lines"/>
                    <w:maxLength w:val="500"/>
                  </w:textInput>
                </w:ffData>
              </w:fldChar>
            </w:r>
            <w:r w:rsidRPr="00D337D1">
              <w:instrText xml:space="preserve"> FORMTEXT </w:instrText>
            </w:r>
            <w:r w:rsidRPr="00D337D1">
              <w:fldChar w:fldCharType="separate"/>
            </w:r>
            <w:r w:rsidR="004A1F2F" w:rsidRPr="004A1F2F">
              <w:rPr>
                <w:noProof/>
              </w:rPr>
              <w:t>Where providers face the full cost of regulation, there may be more pressures on</w:t>
            </w:r>
            <w:r w:rsidR="0027723E">
              <w:rPr>
                <w:noProof/>
              </w:rPr>
              <w:t xml:space="preserve"> the</w:t>
            </w:r>
            <w:r w:rsidR="004A1F2F" w:rsidRPr="004A1F2F">
              <w:rPr>
                <w:noProof/>
              </w:rPr>
              <w:t xml:space="preserve"> CQC to ensure that their regulatory system is efficient and cost effective, compared to a system subsidised by the tax payer. </w:t>
            </w:r>
            <w:r w:rsidR="0027723E">
              <w:rPr>
                <w:noProof/>
              </w:rPr>
              <w:t xml:space="preserve">The </w:t>
            </w:r>
            <w:r w:rsidR="004A1F2F" w:rsidRPr="004A1F2F">
              <w:rPr>
                <w:noProof/>
              </w:rPr>
              <w:t>CQC will look at building efficiencies and economies into its programme for work to minimise fee increases.</w:t>
            </w:r>
            <w:r w:rsidRPr="00D337D1">
              <w:fldChar w:fldCharType="end"/>
            </w:r>
          </w:p>
        </w:tc>
      </w:tr>
      <w:tr w:rsidR="003208C1" w:rsidRPr="00826F71" w:rsidTr="004A1F2F">
        <w:trPr>
          <w:trHeight w:hRule="exact" w:val="346"/>
        </w:trPr>
        <w:tc>
          <w:tcPr>
            <w:tcW w:w="9375" w:type="dxa"/>
            <w:gridSpan w:val="5"/>
            <w:tcBorders>
              <w:top w:val="single" w:sz="6" w:space="0" w:color="auto"/>
              <w:bottom w:val="nil"/>
            </w:tcBorders>
            <w:shd w:val="clear" w:color="auto" w:fill="auto"/>
          </w:tcPr>
          <w:p w:rsidR="003208C1" w:rsidRDefault="003208C1" w:rsidP="004A1F2F">
            <w:pPr>
              <w:pStyle w:val="IATableLabel"/>
              <w:tabs>
                <w:tab w:val="left" w:pos="7655"/>
              </w:tabs>
            </w:pPr>
            <w:r w:rsidRPr="00F1653E">
              <w:rPr>
                <w:rStyle w:val="IAPOQ5Char"/>
              </w:rPr>
              <w:t>Key assumptions/sensitivities/risks</w:t>
            </w:r>
            <w:r>
              <w:tab/>
              <w:t>Discount rate (%)</w:t>
            </w:r>
          </w:p>
          <w:p w:rsidR="003208C1" w:rsidRPr="00455895" w:rsidRDefault="003208C1" w:rsidP="004A1F2F">
            <w:pPr>
              <w:pStyle w:val="IATableLabel"/>
            </w:pPr>
          </w:p>
        </w:tc>
        <w:tc>
          <w:tcPr>
            <w:tcW w:w="860" w:type="dxa"/>
            <w:tcBorders>
              <w:top w:val="single" w:sz="6" w:space="0" w:color="auto"/>
              <w:bottom w:val="single" w:sz="4" w:space="0" w:color="auto"/>
            </w:tcBorders>
            <w:shd w:val="clear" w:color="auto" w:fill="auto"/>
          </w:tcPr>
          <w:p w:rsidR="003208C1" w:rsidRPr="007E6CF8" w:rsidRDefault="003208C1" w:rsidP="004A1F2F">
            <w:pPr>
              <w:pStyle w:val="IAPODisRate"/>
            </w:pPr>
            <w:r w:rsidRPr="00D337D1">
              <w:fldChar w:fldCharType="begin">
                <w:ffData>
                  <w:name w:val=""/>
                  <w:enabled/>
                  <w:calcOnExit w:val="0"/>
                  <w:textInput>
                    <w:maxLength w:val="5"/>
                  </w:textInput>
                </w:ffData>
              </w:fldChar>
            </w:r>
            <w:r w:rsidRPr="00D337D1">
              <w:instrText xml:space="preserve"> FORMTEXT </w:instrText>
            </w:r>
            <w:r w:rsidRPr="00D337D1">
              <w:fldChar w:fldCharType="separate"/>
            </w:r>
            <w:r>
              <w:rPr>
                <w:noProof/>
              </w:rPr>
              <w:t>3.5</w:t>
            </w:r>
            <w:r w:rsidRPr="00D337D1">
              <w:fldChar w:fldCharType="end"/>
            </w:r>
          </w:p>
        </w:tc>
      </w:tr>
      <w:tr w:rsidR="003208C1" w:rsidRPr="007E190E" w:rsidTr="004A1F2F">
        <w:trPr>
          <w:trHeight w:hRule="exact" w:val="1375"/>
        </w:trPr>
        <w:tc>
          <w:tcPr>
            <w:tcW w:w="10235" w:type="dxa"/>
            <w:gridSpan w:val="6"/>
            <w:tcBorders>
              <w:top w:val="nil"/>
              <w:bottom w:val="single" w:sz="12" w:space="0" w:color="auto"/>
            </w:tcBorders>
            <w:shd w:val="clear" w:color="auto" w:fill="auto"/>
          </w:tcPr>
          <w:p w:rsidR="003208C1" w:rsidRPr="00544292" w:rsidRDefault="003208C1" w:rsidP="004A1F2F">
            <w:pPr>
              <w:pStyle w:val="IAPOA5"/>
            </w:pPr>
            <w:r>
              <w:fldChar w:fldCharType="begin">
                <w:ffData>
                  <w:name w:val=""/>
                  <w:enabled/>
                  <w:calcOnExit w:val="0"/>
                  <w:textInput>
                    <w:default w:val="Maximum of 5 lines"/>
                    <w:maxLength w:val="500"/>
                  </w:textInput>
                </w:ffData>
              </w:fldChar>
            </w:r>
            <w:r>
              <w:instrText xml:space="preserve"> FORMTEXT </w:instrText>
            </w:r>
            <w:r>
              <w:fldChar w:fldCharType="separate"/>
            </w:r>
            <w:r w:rsidR="004A1F2F" w:rsidRPr="004A1F2F">
              <w:t xml:space="preserve">The costs and benefits figures are presented relative to a baseline of constant fees fixed at the 15/16 level. However it is likely that </w:t>
            </w:r>
            <w:r w:rsidR="0027723E">
              <w:t xml:space="preserve">the </w:t>
            </w:r>
            <w:r w:rsidR="004A1F2F" w:rsidRPr="004A1F2F">
              <w:t xml:space="preserve">CQC would continue to make some fee increases even in the absence of this additional fee raising power. The impact of the regulations on future fee levels is therefore likely to be an overestimate. </w:t>
            </w:r>
            <w:r w:rsidR="0027723E">
              <w:t xml:space="preserve">The </w:t>
            </w:r>
            <w:r w:rsidR="004A1F2F" w:rsidRPr="004A1F2F">
              <w:t>CQC are also considering a number of steps to improve its efficiency and reduce its cost base, which would also result in lower fee increases than projected here.</w:t>
            </w:r>
            <w:r>
              <w:fldChar w:fldCharType="end"/>
            </w:r>
          </w:p>
        </w:tc>
      </w:tr>
    </w:tbl>
    <w:p w:rsidR="003208C1" w:rsidRDefault="003208C1" w:rsidP="003208C1">
      <w:pPr>
        <w:pStyle w:val="IASpacer"/>
      </w:pPr>
    </w:p>
    <w:p w:rsidR="003208C1" w:rsidRDefault="003208C1" w:rsidP="003208C1">
      <w:pPr>
        <w:pStyle w:val="IAHeadLabel"/>
        <w:spacing w:before="50"/>
      </w:pPr>
      <w:r>
        <w:t xml:space="preserve">BUSINESS ASSESSMENT (Option </w:t>
      </w:r>
      <w:r w:rsidR="00325D5B">
        <w:t>2</w:t>
      </w:r>
      <w: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90"/>
        <w:gridCol w:w="2155"/>
        <w:gridCol w:w="1980"/>
        <w:gridCol w:w="1980"/>
        <w:gridCol w:w="2110"/>
      </w:tblGrid>
      <w:tr w:rsidR="003208C1" w:rsidRPr="000E02BE" w:rsidTr="004A1F2F">
        <w:trPr>
          <w:trHeight w:hRule="exact" w:val="312"/>
        </w:trPr>
        <w:tc>
          <w:tcPr>
            <w:tcW w:w="6125" w:type="dxa"/>
            <w:gridSpan w:val="3"/>
            <w:tcBorders>
              <w:top w:val="single" w:sz="4" w:space="0" w:color="auto"/>
              <w:bottom w:val="nil"/>
              <w:right w:val="single" w:sz="4" w:space="0" w:color="auto"/>
            </w:tcBorders>
          </w:tcPr>
          <w:p w:rsidR="003208C1" w:rsidRPr="000E02BE" w:rsidRDefault="003208C1" w:rsidP="004A1F2F">
            <w:pPr>
              <w:pStyle w:val="IATableLabel"/>
            </w:pPr>
            <w:r w:rsidRPr="000E02BE">
              <w:t xml:space="preserve">Direct impact on </w:t>
            </w:r>
            <w:r>
              <w:t>business (Equivalent Annual) £m</w:t>
            </w:r>
            <w:r w:rsidRPr="000E02BE">
              <w:t xml:space="preserve">: </w:t>
            </w:r>
          </w:p>
        </w:tc>
        <w:tc>
          <w:tcPr>
            <w:tcW w:w="1980" w:type="dxa"/>
            <w:tcBorders>
              <w:top w:val="single" w:sz="4" w:space="0" w:color="auto"/>
              <w:left w:val="single" w:sz="4" w:space="0" w:color="auto"/>
              <w:bottom w:val="nil"/>
              <w:right w:val="nil"/>
            </w:tcBorders>
          </w:tcPr>
          <w:p w:rsidR="003208C1" w:rsidRPr="000E02BE" w:rsidRDefault="003208C1" w:rsidP="004A1F2F">
            <w:pPr>
              <w:pStyle w:val="IATableLabel"/>
            </w:pPr>
            <w:r w:rsidRPr="000E02BE">
              <w:t>In scope of OI</w:t>
            </w:r>
            <w:r>
              <w:t>T</w:t>
            </w:r>
            <w:r w:rsidRPr="000E02BE">
              <w:t>O?</w:t>
            </w:r>
          </w:p>
        </w:tc>
        <w:tc>
          <w:tcPr>
            <w:tcW w:w="2110" w:type="dxa"/>
            <w:tcBorders>
              <w:top w:val="single" w:sz="4" w:space="0" w:color="auto"/>
              <w:left w:val="nil"/>
              <w:bottom w:val="nil"/>
              <w:right w:val="single" w:sz="4" w:space="0" w:color="auto"/>
            </w:tcBorders>
            <w:shd w:val="clear" w:color="auto" w:fill="auto"/>
          </w:tcPr>
          <w:p w:rsidR="003208C1" w:rsidRPr="000E02BE" w:rsidRDefault="003208C1" w:rsidP="004A1F2F">
            <w:pPr>
              <w:pStyle w:val="IATableLabel"/>
              <w:ind w:left="0"/>
            </w:pPr>
            <w:r w:rsidRPr="000E02BE">
              <w:t xml:space="preserve">  Measure qualifies as</w:t>
            </w:r>
          </w:p>
        </w:tc>
      </w:tr>
      <w:tr w:rsidR="003208C1" w:rsidRPr="00E75380" w:rsidTr="00325D5B">
        <w:trPr>
          <w:trHeight w:hRule="exact" w:val="492"/>
        </w:trPr>
        <w:tc>
          <w:tcPr>
            <w:tcW w:w="1990" w:type="dxa"/>
            <w:tcBorders>
              <w:top w:val="nil"/>
              <w:bottom w:val="single" w:sz="4" w:space="0" w:color="auto"/>
              <w:right w:val="single" w:sz="4" w:space="0" w:color="auto"/>
            </w:tcBorders>
            <w:shd w:val="clear" w:color="auto" w:fill="FFFFFF"/>
          </w:tcPr>
          <w:p w:rsidR="003208C1" w:rsidRPr="00F63895" w:rsidRDefault="003208C1" w:rsidP="002305C1">
            <w:pPr>
              <w:pStyle w:val="IATableLabel"/>
              <w:spacing w:after="0"/>
            </w:pPr>
            <w:r w:rsidRPr="00F63895">
              <w:t xml:space="preserve">Costs: </w:t>
            </w:r>
            <w:r w:rsidRPr="00F63895">
              <w:rPr>
                <w:rStyle w:val="IAPODICostChar"/>
                <w:sz w:val="20"/>
                <w:szCs w:val="20"/>
              </w:rPr>
              <w:fldChar w:fldCharType="begin">
                <w:ffData>
                  <w:name w:val="Text67"/>
                  <w:enabled/>
                  <w:calcOnExit w:val="0"/>
                  <w:textInput>
                    <w:maxLength w:val="9"/>
                  </w:textInput>
                </w:ffData>
              </w:fldChar>
            </w:r>
            <w:r w:rsidRPr="00F63895">
              <w:rPr>
                <w:rStyle w:val="IAPODICostChar"/>
                <w:sz w:val="20"/>
                <w:szCs w:val="20"/>
              </w:rPr>
              <w:instrText xml:space="preserve"> FORMTEXT </w:instrText>
            </w:r>
            <w:r w:rsidRPr="00F63895">
              <w:rPr>
                <w:rStyle w:val="IAPODICostChar"/>
                <w:sz w:val="20"/>
                <w:szCs w:val="20"/>
              </w:rPr>
            </w:r>
            <w:r w:rsidRPr="00F63895">
              <w:rPr>
                <w:rStyle w:val="IAPODICostChar"/>
                <w:sz w:val="20"/>
                <w:szCs w:val="20"/>
              </w:rPr>
              <w:fldChar w:fldCharType="separate"/>
            </w:r>
            <w:r w:rsidR="004A1F2F">
              <w:rPr>
                <w:rStyle w:val="IAPODICostChar"/>
                <w:sz w:val="20"/>
                <w:szCs w:val="20"/>
              </w:rPr>
              <w:t>3</w:t>
            </w:r>
            <w:r w:rsidR="002305C1">
              <w:rPr>
                <w:rStyle w:val="IAPODICostChar"/>
                <w:sz w:val="20"/>
                <w:szCs w:val="20"/>
              </w:rPr>
              <w:t>5</w:t>
            </w:r>
            <w:r w:rsidR="00325D5B">
              <w:rPr>
                <w:rStyle w:val="IAPODICostChar"/>
                <w:sz w:val="20"/>
                <w:szCs w:val="20"/>
              </w:rPr>
              <w:t>.</w:t>
            </w:r>
            <w:r w:rsidR="002305C1">
              <w:rPr>
                <w:rStyle w:val="IAPODICostChar"/>
                <w:sz w:val="20"/>
                <w:szCs w:val="20"/>
              </w:rPr>
              <w:t>2</w:t>
            </w:r>
            <w:r w:rsidR="00325D5B">
              <w:rPr>
                <w:rStyle w:val="IAPODICostChar"/>
                <w:sz w:val="20"/>
                <w:szCs w:val="20"/>
              </w:rPr>
              <w:t xml:space="preserve"> </w:t>
            </w:r>
            <w:r w:rsidR="004A1F2F">
              <w:rPr>
                <w:rStyle w:val="IAPODICostChar"/>
                <w:sz w:val="20"/>
                <w:szCs w:val="20"/>
              </w:rPr>
              <w:t>(</w:t>
            </w:r>
            <w:r w:rsidR="002305C1">
              <w:rPr>
                <w:rStyle w:val="IAPODICostChar"/>
                <w:sz w:val="20"/>
                <w:szCs w:val="20"/>
              </w:rPr>
              <w:t>3</w:t>
            </w:r>
            <w:r w:rsidR="004A1F2F">
              <w:rPr>
                <w:rStyle w:val="IAPODICostChar"/>
                <w:noProof/>
                <w:sz w:val="20"/>
                <w:szCs w:val="20"/>
              </w:rPr>
              <w:t>.</w:t>
            </w:r>
            <w:r w:rsidR="002305C1">
              <w:rPr>
                <w:rStyle w:val="IAPODICostChar"/>
                <w:noProof/>
                <w:sz w:val="20"/>
                <w:szCs w:val="20"/>
              </w:rPr>
              <w:t>0</w:t>
            </w:r>
            <w:r w:rsidRPr="00F63895">
              <w:rPr>
                <w:rStyle w:val="IAPODICostChar"/>
                <w:sz w:val="20"/>
                <w:szCs w:val="20"/>
              </w:rPr>
              <w:fldChar w:fldCharType="end"/>
            </w:r>
            <w:r w:rsidR="004A1F2F">
              <w:rPr>
                <w:rStyle w:val="IAPODICostChar"/>
                <w:sz w:val="20"/>
                <w:szCs w:val="20"/>
              </w:rPr>
              <w:t xml:space="preserve"> in scope)</w:t>
            </w:r>
          </w:p>
        </w:tc>
        <w:tc>
          <w:tcPr>
            <w:tcW w:w="2155" w:type="dxa"/>
            <w:tcBorders>
              <w:top w:val="nil"/>
              <w:bottom w:val="single" w:sz="4" w:space="0" w:color="auto"/>
              <w:right w:val="single" w:sz="4" w:space="0" w:color="auto"/>
            </w:tcBorders>
            <w:shd w:val="clear" w:color="auto" w:fill="FFFFFF"/>
          </w:tcPr>
          <w:p w:rsidR="003208C1" w:rsidRPr="00F63895" w:rsidRDefault="003208C1" w:rsidP="004A1F2F">
            <w:pPr>
              <w:pStyle w:val="IATableLabel"/>
            </w:pPr>
            <w:r w:rsidRPr="00F63895">
              <w:t xml:space="preserve">Benefits: </w:t>
            </w:r>
            <w:r w:rsidRPr="00F63895">
              <w:rPr>
                <w:rStyle w:val="IAPODIBenChar"/>
                <w:sz w:val="20"/>
                <w:szCs w:val="20"/>
              </w:rPr>
              <w:fldChar w:fldCharType="begin">
                <w:ffData>
                  <w:name w:val="Text68"/>
                  <w:enabled/>
                  <w:calcOnExit w:val="0"/>
                  <w:textInput>
                    <w:maxLength w:val="9"/>
                  </w:textInput>
                </w:ffData>
              </w:fldChar>
            </w:r>
            <w:r w:rsidRPr="00F63895">
              <w:rPr>
                <w:rStyle w:val="IAPODIBenChar"/>
                <w:sz w:val="20"/>
                <w:szCs w:val="20"/>
              </w:rPr>
              <w:instrText xml:space="preserve"> FORMTEXT </w:instrText>
            </w:r>
            <w:r w:rsidRPr="00F63895">
              <w:rPr>
                <w:rStyle w:val="IAPODIBenChar"/>
                <w:sz w:val="20"/>
                <w:szCs w:val="20"/>
              </w:rPr>
            </w:r>
            <w:r w:rsidRPr="00F63895">
              <w:rPr>
                <w:rStyle w:val="IAPODIBenChar"/>
                <w:sz w:val="20"/>
                <w:szCs w:val="20"/>
              </w:rPr>
              <w:fldChar w:fldCharType="separate"/>
            </w:r>
            <w:r>
              <w:rPr>
                <w:rStyle w:val="IAPODIBenChar"/>
                <w:noProof/>
                <w:sz w:val="20"/>
                <w:szCs w:val="20"/>
              </w:rPr>
              <w:t>0</w:t>
            </w:r>
            <w:r w:rsidRPr="00F63895">
              <w:rPr>
                <w:rStyle w:val="IAPODIBenChar"/>
                <w:sz w:val="20"/>
                <w:szCs w:val="20"/>
              </w:rPr>
              <w:fldChar w:fldCharType="end"/>
            </w:r>
          </w:p>
        </w:tc>
        <w:tc>
          <w:tcPr>
            <w:tcW w:w="1980" w:type="dxa"/>
            <w:tcBorders>
              <w:top w:val="nil"/>
              <w:bottom w:val="single" w:sz="4" w:space="0" w:color="auto"/>
              <w:right w:val="single" w:sz="4" w:space="0" w:color="auto"/>
            </w:tcBorders>
            <w:shd w:val="clear" w:color="auto" w:fill="FFFFFF"/>
          </w:tcPr>
          <w:p w:rsidR="003208C1" w:rsidRPr="00F63895" w:rsidRDefault="003208C1" w:rsidP="002305C1">
            <w:pPr>
              <w:pStyle w:val="IATableLabel"/>
            </w:pPr>
            <w:r w:rsidRPr="00F63895">
              <w:t xml:space="preserve">Net: </w:t>
            </w:r>
            <w:r w:rsidR="00325D5B" w:rsidRPr="00325D5B">
              <w:t>-</w:t>
            </w:r>
            <w:r w:rsidR="002305C1">
              <w:rPr>
                <w:b w:val="0"/>
              </w:rPr>
              <w:t>35</w:t>
            </w:r>
            <w:r w:rsidR="00325D5B">
              <w:rPr>
                <w:b w:val="0"/>
              </w:rPr>
              <w:t>.</w:t>
            </w:r>
            <w:r w:rsidR="002305C1">
              <w:rPr>
                <w:b w:val="0"/>
              </w:rPr>
              <w:t>2</w:t>
            </w:r>
            <w:r w:rsidR="00325D5B" w:rsidRPr="00325D5B">
              <w:rPr>
                <w:b w:val="0"/>
              </w:rPr>
              <w:t xml:space="preserve"> (</w:t>
            </w:r>
            <w:r w:rsidRPr="00325D5B">
              <w:rPr>
                <w:rStyle w:val="IAPODINetChar"/>
                <w:sz w:val="20"/>
                <w:szCs w:val="20"/>
              </w:rPr>
              <w:fldChar w:fldCharType="begin">
                <w:ffData>
                  <w:name w:val="Text69"/>
                  <w:enabled/>
                  <w:calcOnExit w:val="0"/>
                  <w:textInput>
                    <w:maxLength w:val="9"/>
                  </w:textInput>
                </w:ffData>
              </w:fldChar>
            </w:r>
            <w:r w:rsidRPr="00325D5B">
              <w:rPr>
                <w:rStyle w:val="IAPODINetChar"/>
                <w:sz w:val="20"/>
                <w:szCs w:val="20"/>
              </w:rPr>
              <w:instrText xml:space="preserve"> FORMTEXT </w:instrText>
            </w:r>
            <w:r w:rsidRPr="00325D5B">
              <w:rPr>
                <w:rStyle w:val="IAPODINetChar"/>
                <w:sz w:val="20"/>
                <w:szCs w:val="20"/>
              </w:rPr>
            </w:r>
            <w:r w:rsidRPr="00325D5B">
              <w:rPr>
                <w:rStyle w:val="IAPODINetChar"/>
                <w:sz w:val="20"/>
                <w:szCs w:val="20"/>
              </w:rPr>
              <w:fldChar w:fldCharType="separate"/>
            </w:r>
            <w:r w:rsidR="004A1F2F" w:rsidRPr="00325D5B">
              <w:rPr>
                <w:rStyle w:val="IAPODINetChar"/>
                <w:sz w:val="20"/>
                <w:szCs w:val="20"/>
              </w:rPr>
              <w:t>-</w:t>
            </w:r>
            <w:r w:rsidR="002305C1">
              <w:rPr>
                <w:rStyle w:val="IAPODINetChar"/>
                <w:sz w:val="20"/>
                <w:szCs w:val="20"/>
              </w:rPr>
              <w:t>3</w:t>
            </w:r>
            <w:r w:rsidR="004A1F2F" w:rsidRPr="00325D5B">
              <w:rPr>
                <w:rStyle w:val="IAPODINetChar"/>
                <w:noProof/>
                <w:sz w:val="20"/>
                <w:szCs w:val="20"/>
              </w:rPr>
              <w:t>.</w:t>
            </w:r>
            <w:r w:rsidRPr="00325D5B">
              <w:rPr>
                <w:rStyle w:val="IAPODINetChar"/>
                <w:sz w:val="20"/>
                <w:szCs w:val="20"/>
              </w:rPr>
              <w:fldChar w:fldCharType="end"/>
            </w:r>
            <w:r w:rsidR="002305C1">
              <w:rPr>
                <w:rStyle w:val="IAPODINetChar"/>
                <w:sz w:val="20"/>
                <w:szCs w:val="20"/>
              </w:rPr>
              <w:t>0</w:t>
            </w:r>
            <w:r w:rsidR="00325D5B" w:rsidRPr="00325D5B">
              <w:rPr>
                <w:rStyle w:val="IAPODINetChar"/>
                <w:sz w:val="20"/>
                <w:szCs w:val="20"/>
              </w:rPr>
              <w:t xml:space="preserve"> in scope)</w:t>
            </w:r>
          </w:p>
        </w:tc>
        <w:tc>
          <w:tcPr>
            <w:tcW w:w="1980" w:type="dxa"/>
            <w:tcBorders>
              <w:top w:val="nil"/>
              <w:left w:val="single" w:sz="4" w:space="0" w:color="auto"/>
              <w:bottom w:val="single" w:sz="4" w:space="0" w:color="auto"/>
              <w:right w:val="single" w:sz="4" w:space="0" w:color="auto"/>
            </w:tcBorders>
            <w:shd w:val="clear" w:color="auto" w:fill="FFFFFF"/>
          </w:tcPr>
          <w:p w:rsidR="003208C1" w:rsidRPr="00F63895" w:rsidRDefault="00325D5B" w:rsidP="004A1F2F">
            <w:pPr>
              <w:pStyle w:val="IAPODIOIOO"/>
              <w:rPr>
                <w:sz w:val="20"/>
                <w:szCs w:val="20"/>
              </w:rPr>
            </w:pPr>
            <w:r>
              <w:rPr>
                <w:sz w:val="20"/>
                <w:szCs w:val="20"/>
              </w:rPr>
              <w:t>In Scope and Out of Scope</w:t>
            </w:r>
          </w:p>
        </w:tc>
        <w:tc>
          <w:tcPr>
            <w:tcW w:w="2110" w:type="dxa"/>
            <w:tcBorders>
              <w:top w:val="nil"/>
              <w:left w:val="single" w:sz="4" w:space="0" w:color="auto"/>
              <w:bottom w:val="single" w:sz="4" w:space="0" w:color="auto"/>
              <w:right w:val="single" w:sz="4" w:space="0" w:color="auto"/>
            </w:tcBorders>
            <w:shd w:val="clear" w:color="auto" w:fill="auto"/>
          </w:tcPr>
          <w:p w:rsidR="003208C1" w:rsidRPr="00F63895" w:rsidRDefault="00325D5B" w:rsidP="004A1F2F">
            <w:pPr>
              <w:pStyle w:val="IAPODIMQ"/>
            </w:pPr>
            <w:r>
              <w:t>IN and Out of Scope</w:t>
            </w:r>
          </w:p>
        </w:tc>
      </w:tr>
    </w:tbl>
    <w:p w:rsidR="00854B58" w:rsidRDefault="00854B58" w:rsidP="005A3880">
      <w:pPr>
        <w:sectPr w:rsidR="00854B58" w:rsidSect="00F1328C">
          <w:footnotePr>
            <w:numRestart w:val="eachSect"/>
          </w:footnotePr>
          <w:pgSz w:w="11907" w:h="16840" w:code="9"/>
          <w:pgMar w:top="680" w:right="851" w:bottom="680" w:left="851" w:header="284" w:footer="284" w:gutter="0"/>
          <w:cols w:space="708"/>
          <w:docGrid w:linePitch="360"/>
        </w:sectPr>
      </w:pPr>
    </w:p>
    <w:p w:rsidR="00073758" w:rsidRDefault="00073758" w:rsidP="00073758">
      <w:pPr>
        <w:pStyle w:val="Heading1"/>
        <w:spacing w:before="0"/>
      </w:pPr>
      <w:bookmarkStart w:id="43" w:name="EvidenceHead"/>
      <w:r>
        <w:lastRenderedPageBreak/>
        <w:t xml:space="preserve">Evidence Base </w:t>
      </w:r>
      <w:bookmarkStart w:id="44" w:name="EvidenceBase"/>
      <w:bookmarkEnd w:id="44"/>
      <w:r>
        <w:t>(for summary sheets)</w:t>
      </w:r>
    </w:p>
    <w:p w:rsidR="00073758" w:rsidRPr="005649EF" w:rsidRDefault="00073758" w:rsidP="00073758">
      <w:pPr>
        <w:pStyle w:val="Heading3"/>
      </w:pPr>
      <w:r w:rsidRPr="005649EF">
        <w:t>Policy Background</w:t>
      </w:r>
    </w:p>
    <w:p w:rsidR="00073758" w:rsidRDefault="00073758" w:rsidP="00073758">
      <w:pPr>
        <w:pStyle w:val="EBNumber"/>
        <w:numPr>
          <w:ilvl w:val="1"/>
          <w:numId w:val="11"/>
        </w:numPr>
        <w:tabs>
          <w:tab w:val="num" w:pos="1145"/>
        </w:tabs>
      </w:pPr>
      <w:r>
        <w:t>The Care Quality Commission (CQC) is the independent regulator of health and adult social care providers in England and has a key responsibility in the overall assurance of safety and quality of health and adult social care services. Under the Health and Social Care Act 2008 all providers of regulated activities, including NHS and independent providers, have to register with</w:t>
      </w:r>
      <w:r w:rsidR="0027723E">
        <w:t xml:space="preserve"> the</w:t>
      </w:r>
      <w:r>
        <w:t xml:space="preserve"> CQC and meet a set of requirements of safety and quality. </w:t>
      </w:r>
    </w:p>
    <w:p w:rsidR="00073758" w:rsidRDefault="003757D5" w:rsidP="00073758">
      <w:pPr>
        <w:pStyle w:val="EBNumber"/>
        <w:numPr>
          <w:ilvl w:val="1"/>
          <w:numId w:val="11"/>
        </w:numPr>
        <w:tabs>
          <w:tab w:val="num" w:pos="1145"/>
        </w:tabs>
      </w:pPr>
      <w:r>
        <w:t xml:space="preserve">The </w:t>
      </w:r>
      <w:r w:rsidR="00073758">
        <w:t>CQC forms part of the wider quality framework, having responsibility for:</w:t>
      </w:r>
    </w:p>
    <w:p w:rsidR="00073758" w:rsidRDefault="00073758" w:rsidP="00073758">
      <w:pPr>
        <w:pStyle w:val="EBBullet"/>
        <w:numPr>
          <w:ilvl w:val="0"/>
          <w:numId w:val="15"/>
        </w:numPr>
        <w:tabs>
          <w:tab w:val="num" w:pos="709"/>
        </w:tabs>
        <w:ind w:left="1570" w:hanging="425"/>
      </w:pPr>
      <w:r>
        <w:t xml:space="preserve">providing independent assurance and publishing information on the safety and quality of services; </w:t>
      </w:r>
    </w:p>
    <w:p w:rsidR="00073758" w:rsidRDefault="00073758" w:rsidP="00073758">
      <w:pPr>
        <w:pStyle w:val="EBBullet"/>
        <w:numPr>
          <w:ilvl w:val="0"/>
          <w:numId w:val="15"/>
        </w:numPr>
        <w:tabs>
          <w:tab w:val="num" w:pos="709"/>
        </w:tabs>
        <w:ind w:left="1570" w:hanging="425"/>
      </w:pPr>
      <w:r>
        <w:t>registering providers of regulated activities (including NHS, adult social care and independent sector healthcare providers);</w:t>
      </w:r>
    </w:p>
    <w:p w:rsidR="00073758" w:rsidRDefault="00073758" w:rsidP="00073758">
      <w:pPr>
        <w:pStyle w:val="EBBullet"/>
        <w:numPr>
          <w:ilvl w:val="0"/>
          <w:numId w:val="15"/>
        </w:numPr>
        <w:tabs>
          <w:tab w:val="num" w:pos="709"/>
        </w:tabs>
        <w:ind w:left="1570" w:hanging="425"/>
      </w:pPr>
      <w:r>
        <w:t xml:space="preserve">inspecting and monitoring services against the registration requirements; </w:t>
      </w:r>
    </w:p>
    <w:p w:rsidR="00073758" w:rsidRDefault="00073758" w:rsidP="00073758">
      <w:pPr>
        <w:pStyle w:val="EBBullet"/>
        <w:numPr>
          <w:ilvl w:val="0"/>
          <w:numId w:val="15"/>
        </w:numPr>
        <w:tabs>
          <w:tab w:val="num" w:pos="709"/>
        </w:tabs>
        <w:ind w:left="1570" w:hanging="425"/>
      </w:pPr>
      <w:r>
        <w:t>using enforcement powers (including prosecution) to ensure service providers meet requirements or, where appropriate, to suspend or cancel registrations;</w:t>
      </w:r>
    </w:p>
    <w:p w:rsidR="00073758" w:rsidRDefault="00073758" w:rsidP="00073758">
      <w:pPr>
        <w:pStyle w:val="EBBullet"/>
        <w:numPr>
          <w:ilvl w:val="0"/>
          <w:numId w:val="15"/>
        </w:numPr>
        <w:tabs>
          <w:tab w:val="num" w:pos="709"/>
        </w:tabs>
        <w:ind w:left="1570" w:hanging="425"/>
      </w:pPr>
      <w:r>
        <w:t>undertaking special reviews and investigations of particular services, looking across providers and commissioners of health and adult social care;</w:t>
      </w:r>
    </w:p>
    <w:p w:rsidR="00073758" w:rsidRDefault="00073758" w:rsidP="00073758">
      <w:pPr>
        <w:pStyle w:val="EBBullet"/>
        <w:numPr>
          <w:ilvl w:val="0"/>
          <w:numId w:val="15"/>
        </w:numPr>
        <w:tabs>
          <w:tab w:val="num" w:pos="709"/>
        </w:tabs>
        <w:ind w:left="1570" w:hanging="425"/>
      </w:pPr>
      <w:r>
        <w:t>monitoring the use of the Mental Health Act; and</w:t>
      </w:r>
    </w:p>
    <w:p w:rsidR="00073758" w:rsidRDefault="00073758" w:rsidP="00073758">
      <w:pPr>
        <w:pStyle w:val="EBBullet"/>
        <w:numPr>
          <w:ilvl w:val="0"/>
          <w:numId w:val="15"/>
        </w:numPr>
        <w:tabs>
          <w:tab w:val="num" w:pos="709"/>
        </w:tabs>
        <w:ind w:left="1570" w:hanging="425"/>
      </w:pPr>
      <w:r>
        <w:t>operating a proportionate regulatory system that avoids imposing unnecessary burdens on providers and on the regulator itself, and helping to manage the impact of regulation more generally on health and adult social care service providers and commissioners.</w:t>
      </w:r>
    </w:p>
    <w:p w:rsidR="00073758" w:rsidRDefault="003757D5" w:rsidP="00073758">
      <w:pPr>
        <w:pStyle w:val="EBNumber"/>
        <w:numPr>
          <w:ilvl w:val="1"/>
          <w:numId w:val="11"/>
        </w:numPr>
        <w:tabs>
          <w:tab w:val="num" w:pos="1145"/>
        </w:tabs>
      </w:pPr>
      <w:r>
        <w:t xml:space="preserve">The </w:t>
      </w:r>
      <w:r w:rsidR="00073758">
        <w:t xml:space="preserve">CQC’s purpose is to improve care by regulating and monitoring services. </w:t>
      </w:r>
      <w:r>
        <w:t xml:space="preserve">The </w:t>
      </w:r>
      <w:r w:rsidR="00073758">
        <w:t xml:space="preserve">CQC ensures that only providers who have made a legal declaration that they meet the standards of quality and safety are allowed to provide care. Once services are registered, </w:t>
      </w:r>
      <w:r>
        <w:t xml:space="preserve">The </w:t>
      </w:r>
      <w:r w:rsidR="00073758">
        <w:t xml:space="preserve">CQC continues to monitor and inspect them against these standards. It acts quickly in response to any concerns and takes swift enforcement action where services are failing people. </w:t>
      </w:r>
      <w:r w:rsidR="00073758" w:rsidRPr="005649EF">
        <w:t>Th</w:t>
      </w:r>
      <w:r w:rsidR="00073758">
        <w:t>i</w:t>
      </w:r>
      <w:r w:rsidR="00073758" w:rsidRPr="005649EF">
        <w:t>s</w:t>
      </w:r>
      <w:r w:rsidR="00073758">
        <w:t xml:space="preserve"> can</w:t>
      </w:r>
      <w:r w:rsidR="00073758" w:rsidRPr="005649EF">
        <w:t xml:space="preserve"> include issuing a warning notice that requires improvement within a specified time, prosecution, </w:t>
      </w:r>
      <w:r w:rsidR="00073758">
        <w:t>or</w:t>
      </w:r>
      <w:r w:rsidR="00073758" w:rsidRPr="005649EF">
        <w:t xml:space="preserve"> cancel</w:t>
      </w:r>
      <w:r w:rsidR="00073758">
        <w:t>ling a provider’s registration and</w:t>
      </w:r>
      <w:r w:rsidR="00073758" w:rsidRPr="005649EF">
        <w:t xml:space="preserve"> removing its ability to provide regulated activities</w:t>
      </w:r>
      <w:r w:rsidR="00073758">
        <w:t>, or triggering Special Measures</w:t>
      </w:r>
      <w:r w:rsidR="00073758" w:rsidRPr="005649EF">
        <w:t>.</w:t>
      </w:r>
    </w:p>
    <w:p w:rsidR="00073758" w:rsidRDefault="00073758" w:rsidP="00073758">
      <w:pPr>
        <w:pStyle w:val="EBNumber"/>
        <w:numPr>
          <w:ilvl w:val="1"/>
          <w:numId w:val="11"/>
        </w:numPr>
      </w:pPr>
      <w:r>
        <w:t xml:space="preserve">Following the publication of Robert Francis QC’s report on the Public Inquiry into Mid-Staffordshire NHS Foundation Trust in February 2013, the CQC have undergone a transformation programme to reform their regulatory model in response to the recommendations of the Francis Inquiry. This includes the appointment of Chief Inspectors of Hospitals, GPs and Adult Social Care, as well as making improvements in their processes for monitoring and inspecting providers. </w:t>
      </w:r>
      <w:r w:rsidRPr="004B0105">
        <w:t xml:space="preserve">Inspections are now carried out be specialist inspection teams which are supported by clinical and other experts and people who have experience of the service that are being inspection – ‘experts by experience’. </w:t>
      </w:r>
      <w:r w:rsidR="003757D5">
        <w:t xml:space="preserve">The </w:t>
      </w:r>
      <w:r w:rsidRPr="004B0105">
        <w:t>CQC’s Intelligent Monitoring</w:t>
      </w:r>
      <w:r>
        <w:t xml:space="preserve"> process</w:t>
      </w:r>
      <w:r w:rsidRPr="004B0105">
        <w:t xml:space="preserve"> draws together a range of data that both informs which providers should be inspected on the basis of risk and the key areas to consider during an inspection.</w:t>
      </w:r>
      <w:r>
        <w:t xml:space="preserve"> These changes aim to improve the quality and robustness of </w:t>
      </w:r>
      <w:r w:rsidR="003757D5">
        <w:t xml:space="preserve">the </w:t>
      </w:r>
      <w:r>
        <w:t>CQC’s judgements and improve their ability to detect incidents of poor quality care across the health and social care sector.</w:t>
      </w:r>
    </w:p>
    <w:p w:rsidR="00073758" w:rsidRDefault="00073758" w:rsidP="00073758">
      <w:pPr>
        <w:pStyle w:val="EBNumber"/>
        <w:numPr>
          <w:ilvl w:val="1"/>
          <w:numId w:val="11"/>
        </w:numPr>
      </w:pPr>
      <w:r>
        <w:t>In addition, the Care Act 2014 put in place a duty for</w:t>
      </w:r>
      <w:r w:rsidR="003757D5">
        <w:t xml:space="preserve"> the</w:t>
      </w:r>
      <w:r>
        <w:t xml:space="preserve"> CQC to carry out performance assessments of providers of health and adult social care services, which will be summarised in the form of a rating. </w:t>
      </w:r>
      <w:r w:rsidR="003757D5">
        <w:t xml:space="preserve">The </w:t>
      </w:r>
      <w:r>
        <w:t>CQC’s new comprehensive style inspections support the production of this rating.</w:t>
      </w:r>
    </w:p>
    <w:p w:rsidR="00073758" w:rsidRPr="002844EA" w:rsidRDefault="00073758" w:rsidP="00073758">
      <w:pPr>
        <w:pStyle w:val="EBNumber"/>
        <w:numPr>
          <w:ilvl w:val="1"/>
          <w:numId w:val="11"/>
        </w:numPr>
      </w:pPr>
      <w:r>
        <w:t xml:space="preserve">To support </w:t>
      </w:r>
      <w:r w:rsidR="003757D5">
        <w:t xml:space="preserve">the </w:t>
      </w:r>
      <w:r w:rsidRPr="00AE4410">
        <w:rPr>
          <w:rFonts w:cstheme="minorHAnsi"/>
        </w:rPr>
        <w:t>CQC’s development, implementation and ongoing evaluation of its regulatory inspection model and internal transformation</w:t>
      </w:r>
      <w:r>
        <w:rPr>
          <w:rFonts w:cstheme="minorHAnsi"/>
        </w:rPr>
        <w:t xml:space="preserve">, Grant in Aid funding from the Department was increased for the 2014/15 financial year. This Impact Assessment now considers the regulatory changes required to allow </w:t>
      </w:r>
      <w:r w:rsidR="003757D5">
        <w:rPr>
          <w:rFonts w:cstheme="minorHAnsi"/>
        </w:rPr>
        <w:t xml:space="preserve">the </w:t>
      </w:r>
      <w:r>
        <w:rPr>
          <w:rFonts w:cstheme="minorHAnsi"/>
        </w:rPr>
        <w:t xml:space="preserve">CQC to move towards full cost recovery through fees, as recommended in the HM Treasury Managing Public Money Guidance. </w:t>
      </w:r>
    </w:p>
    <w:p w:rsidR="00431142" w:rsidRDefault="00073758" w:rsidP="00073758">
      <w:pPr>
        <w:pStyle w:val="EBNumber"/>
        <w:numPr>
          <w:ilvl w:val="1"/>
          <w:numId w:val="11"/>
        </w:numPr>
        <w:tabs>
          <w:tab w:val="num" w:pos="1145"/>
        </w:tabs>
      </w:pPr>
      <w:r w:rsidRPr="002844EA">
        <w:rPr>
          <w:rFonts w:cstheme="minorHAnsi"/>
        </w:rPr>
        <w:t xml:space="preserve">This impact assessment does not consider the impact of the new ratings regime or the CQC’s new inspection model. </w:t>
      </w:r>
      <w:r>
        <w:t xml:space="preserve">The impact of ratings was considered during the passage of the Care Bill through </w:t>
      </w:r>
      <w:r>
        <w:lastRenderedPageBreak/>
        <w:t xml:space="preserve">Parliament, and it was agreed with the Cabinet Office </w:t>
      </w:r>
      <w:r w:rsidRPr="006F7138">
        <w:t>Economic &amp; Domestic Secretariat</w:t>
      </w:r>
      <w:r>
        <w:t xml:space="preserve"> in April 2013 that there would be no</w:t>
      </w:r>
      <w:r w:rsidRPr="006F7138">
        <w:t xml:space="preserve"> </w:t>
      </w:r>
      <w:r>
        <w:t>direct</w:t>
      </w:r>
      <w:r w:rsidRPr="006F7138">
        <w:t xml:space="preserve"> impact</w:t>
      </w:r>
      <w:r>
        <w:t>s</w:t>
      </w:r>
      <w:r w:rsidRPr="006F7138">
        <w:t xml:space="preserve"> on businesses</w:t>
      </w:r>
      <w:r>
        <w:t>, a</w:t>
      </w:r>
      <w:r w:rsidRPr="006F7138">
        <w:t>s the</w:t>
      </w:r>
      <w:r>
        <w:t xml:space="preserve"> information required to generate a rating could be gathered through</w:t>
      </w:r>
      <w:r w:rsidR="003757D5">
        <w:t xml:space="preserve"> the</w:t>
      </w:r>
      <w:r>
        <w:t xml:space="preserve"> CQC’s existing </w:t>
      </w:r>
      <w:r w:rsidRPr="006F7138">
        <w:t xml:space="preserve">inspection </w:t>
      </w:r>
      <w:r>
        <w:t xml:space="preserve">and monitoring </w:t>
      </w:r>
      <w:r w:rsidRPr="006F7138">
        <w:t>regime</w:t>
      </w:r>
      <w:r>
        <w:t xml:space="preserve">. </w:t>
      </w:r>
    </w:p>
    <w:p w:rsidR="00073758" w:rsidRDefault="00073758" w:rsidP="00073758">
      <w:pPr>
        <w:pStyle w:val="EBNumber"/>
        <w:numPr>
          <w:ilvl w:val="1"/>
          <w:numId w:val="11"/>
        </w:numPr>
        <w:tabs>
          <w:tab w:val="num" w:pos="1145"/>
        </w:tabs>
      </w:pPr>
      <w:r>
        <w:t>Separately</w:t>
      </w:r>
      <w:r w:rsidR="003757D5">
        <w:t xml:space="preserve"> the</w:t>
      </w:r>
      <w:r>
        <w:t xml:space="preserve"> CQC also published a series of Impact Assessments that examined the impact of their new inspection and registration processes</w:t>
      </w:r>
      <w:r>
        <w:rPr>
          <w:rStyle w:val="FootnoteReference"/>
        </w:rPr>
        <w:footnoteReference w:id="1"/>
      </w:r>
      <w:r>
        <w:t xml:space="preserve">. </w:t>
      </w:r>
      <w:r w:rsidR="003757D5">
        <w:t xml:space="preserve">The </w:t>
      </w:r>
      <w:r w:rsidRPr="002D7112">
        <w:t>CQC have conducted new style inspections and issued performance ratings since the start of 2014</w:t>
      </w:r>
      <w:r>
        <w:t xml:space="preserve"> for NHS trusts, GPs and adult social care since October 2014, and progress to date as</w:t>
      </w:r>
      <w:r w:rsidR="002305C1">
        <w:t xml:space="preserve"> at </w:t>
      </w:r>
      <w:r w:rsidR="003637D7">
        <w:t xml:space="preserve"> January 2016</w:t>
      </w:r>
      <w:r w:rsidR="002305C1">
        <w:t xml:space="preserve"> is as</w:t>
      </w:r>
      <w:r>
        <w:t xml:space="preserve"> follows:   </w:t>
      </w:r>
      <w:r w:rsidRPr="000E2CF9">
        <w:t xml:space="preserve">   </w:t>
      </w:r>
      <w:r>
        <w:t xml:space="preserve"> </w:t>
      </w:r>
    </w:p>
    <w:tbl>
      <w:tblPr>
        <w:tblStyle w:val="TableGrid"/>
        <w:tblW w:w="0" w:type="auto"/>
        <w:jc w:val="center"/>
        <w:tblLook w:val="04A0" w:firstRow="1" w:lastRow="0" w:firstColumn="1" w:lastColumn="0" w:noHBand="0" w:noVBand="1"/>
      </w:tblPr>
      <w:tblGrid>
        <w:gridCol w:w="3080"/>
        <w:gridCol w:w="3081"/>
        <w:gridCol w:w="3081"/>
      </w:tblGrid>
      <w:tr w:rsidR="00073758" w:rsidTr="00431142">
        <w:trPr>
          <w:jc w:val="center"/>
        </w:trPr>
        <w:tc>
          <w:tcPr>
            <w:tcW w:w="3080" w:type="dxa"/>
          </w:tcPr>
          <w:p w:rsidR="00073758" w:rsidRDefault="00073758" w:rsidP="00431142">
            <w:r>
              <w:t>Sector</w:t>
            </w:r>
          </w:p>
        </w:tc>
        <w:tc>
          <w:tcPr>
            <w:tcW w:w="3081" w:type="dxa"/>
          </w:tcPr>
          <w:p w:rsidR="00073758" w:rsidRDefault="00073758" w:rsidP="003637D7">
            <w:r>
              <w:t xml:space="preserve">Inspected and rated – as at </w:t>
            </w:r>
            <w:r w:rsidR="003637D7">
              <w:t>January 2016</w:t>
            </w:r>
          </w:p>
        </w:tc>
        <w:tc>
          <w:tcPr>
            <w:tcW w:w="3081" w:type="dxa"/>
          </w:tcPr>
          <w:p w:rsidR="00073758" w:rsidRDefault="00073758" w:rsidP="00431142">
            <w:r>
              <w:t>Number of organisations in total</w:t>
            </w:r>
          </w:p>
        </w:tc>
      </w:tr>
      <w:tr w:rsidR="00073758" w:rsidTr="00431142">
        <w:trPr>
          <w:jc w:val="center"/>
        </w:trPr>
        <w:tc>
          <w:tcPr>
            <w:tcW w:w="3080" w:type="dxa"/>
          </w:tcPr>
          <w:p w:rsidR="00073758" w:rsidRDefault="00073758" w:rsidP="00431142">
            <w:r>
              <w:t>Acute NHS trusts</w:t>
            </w:r>
          </w:p>
        </w:tc>
        <w:tc>
          <w:tcPr>
            <w:tcW w:w="3081" w:type="dxa"/>
          </w:tcPr>
          <w:p w:rsidR="00073758" w:rsidRDefault="003637D7" w:rsidP="00431142">
            <w:r>
              <w:t>106</w:t>
            </w:r>
          </w:p>
        </w:tc>
        <w:tc>
          <w:tcPr>
            <w:tcW w:w="3081" w:type="dxa"/>
          </w:tcPr>
          <w:p w:rsidR="00073758" w:rsidRDefault="00073758" w:rsidP="00431142">
            <w:r>
              <w:t>156</w:t>
            </w:r>
          </w:p>
        </w:tc>
      </w:tr>
      <w:tr w:rsidR="00073758" w:rsidTr="00431142">
        <w:trPr>
          <w:jc w:val="center"/>
        </w:trPr>
        <w:tc>
          <w:tcPr>
            <w:tcW w:w="3080" w:type="dxa"/>
          </w:tcPr>
          <w:p w:rsidR="00073758" w:rsidRDefault="00073758" w:rsidP="00431142">
            <w:r>
              <w:t>Adult social Care (residential and nursing homes)</w:t>
            </w:r>
          </w:p>
        </w:tc>
        <w:tc>
          <w:tcPr>
            <w:tcW w:w="3081" w:type="dxa"/>
          </w:tcPr>
          <w:p w:rsidR="00073758" w:rsidRDefault="003637D7" w:rsidP="00431142">
            <w:r>
              <w:t>10,100</w:t>
            </w:r>
          </w:p>
        </w:tc>
        <w:tc>
          <w:tcPr>
            <w:tcW w:w="3081" w:type="dxa"/>
          </w:tcPr>
          <w:p w:rsidR="00073758" w:rsidRDefault="00073758" w:rsidP="00431142">
            <w:r>
              <w:t>17,200</w:t>
            </w:r>
          </w:p>
        </w:tc>
      </w:tr>
      <w:tr w:rsidR="00073758" w:rsidTr="00431142">
        <w:trPr>
          <w:jc w:val="center"/>
        </w:trPr>
        <w:tc>
          <w:tcPr>
            <w:tcW w:w="3080" w:type="dxa"/>
          </w:tcPr>
          <w:p w:rsidR="00073758" w:rsidRDefault="00073758" w:rsidP="00431142">
            <w:r>
              <w:t>GP Practices</w:t>
            </w:r>
          </w:p>
        </w:tc>
        <w:tc>
          <w:tcPr>
            <w:tcW w:w="3081" w:type="dxa"/>
          </w:tcPr>
          <w:p w:rsidR="00073758" w:rsidRDefault="003637D7" w:rsidP="00431142">
            <w:r>
              <w:t>2,400</w:t>
            </w:r>
          </w:p>
        </w:tc>
        <w:tc>
          <w:tcPr>
            <w:tcW w:w="3081" w:type="dxa"/>
          </w:tcPr>
          <w:p w:rsidR="00073758" w:rsidRDefault="00073758" w:rsidP="00431142">
            <w:r>
              <w:t>8,400</w:t>
            </w:r>
          </w:p>
        </w:tc>
      </w:tr>
    </w:tbl>
    <w:p w:rsidR="00073758" w:rsidRDefault="00073758" w:rsidP="00073758">
      <w:pPr>
        <w:pStyle w:val="EBNumber"/>
        <w:numPr>
          <w:ilvl w:val="0"/>
          <w:numId w:val="0"/>
        </w:numPr>
        <w:ind w:left="425"/>
      </w:pPr>
    </w:p>
    <w:p w:rsidR="00431142" w:rsidRDefault="003757D5" w:rsidP="00431142">
      <w:pPr>
        <w:pStyle w:val="EBNumber"/>
      </w:pPr>
      <w:r>
        <w:t xml:space="preserve">The </w:t>
      </w:r>
      <w:r w:rsidR="00073758">
        <w:t xml:space="preserve">CQC are continuing the roll out their programme of comprehensive inspections and performance ratings across the other sectors. </w:t>
      </w:r>
      <w:r w:rsidR="00431142">
        <w:t xml:space="preserve">In recognition of the more urgent need for improvements to inspection and regulation in NHS hospitals and mental health trusts, </w:t>
      </w:r>
      <w:r>
        <w:t xml:space="preserve">the </w:t>
      </w:r>
      <w:r w:rsidR="00431142">
        <w:t>CQC’s strategy committed to introducing the changes for</w:t>
      </w:r>
      <w:r w:rsidR="003637D7">
        <w:t xml:space="preserve"> these</w:t>
      </w:r>
      <w:r w:rsidR="00431142">
        <w:t xml:space="preserve"> providers first</w:t>
      </w:r>
      <w:r w:rsidR="003637D7">
        <w:t>.</w:t>
      </w:r>
      <w:r w:rsidR="00431142">
        <w:t xml:space="preserve">, </w:t>
      </w:r>
      <w:r w:rsidR="006E27AF">
        <w:t>It</w:t>
      </w:r>
      <w:r w:rsidR="00431142">
        <w:t xml:space="preserve"> </w:t>
      </w:r>
      <w:r w:rsidR="006E27AF">
        <w:t xml:space="preserve">started </w:t>
      </w:r>
      <w:r w:rsidR="00431142">
        <w:t xml:space="preserve">rolling out the methodology to the other sectors it regulates </w:t>
      </w:r>
      <w:r w:rsidR="006E27AF">
        <w:t xml:space="preserve">from </w:t>
      </w:r>
      <w:r w:rsidR="00431142">
        <w:t xml:space="preserve">2014 </w:t>
      </w:r>
      <w:r w:rsidR="006E27AF">
        <w:t>completing in 2016</w:t>
      </w:r>
      <w:r w:rsidR="00431142">
        <w:t>, based on a judgement of their order of priority.</w:t>
      </w:r>
    </w:p>
    <w:p w:rsidR="00431142" w:rsidRDefault="00431142" w:rsidP="00431142">
      <w:pPr>
        <w:pStyle w:val="EBNumber"/>
      </w:pPr>
      <w:r>
        <w:t xml:space="preserve">The timetable for roll out was set out </w:t>
      </w:r>
      <w:r w:rsidR="007F674E">
        <w:t>in</w:t>
      </w:r>
      <w:r w:rsidR="003757D5">
        <w:t xml:space="preserve"> the</w:t>
      </w:r>
      <w:r w:rsidR="007F674E">
        <w:t xml:space="preserve"> CQC’s 2015/16 business plan</w:t>
      </w:r>
      <w:r w:rsidR="007F674E">
        <w:rPr>
          <w:rStyle w:val="FootnoteReference"/>
        </w:rPr>
        <w:footnoteReference w:id="2"/>
      </w:r>
      <w:r>
        <w:t xml:space="preserve">. As </w:t>
      </w:r>
      <w:r w:rsidR="00ED1A5E">
        <w:t>at the beginning of this Parliament</w:t>
      </w:r>
      <w:r w:rsidR="00ED1A5E">
        <w:rPr>
          <w:rStyle w:val="FootnoteReference"/>
        </w:rPr>
        <w:footnoteReference w:id="3"/>
      </w:r>
      <w:r w:rsidR="00ED1A5E">
        <w:t xml:space="preserve"> (i.e. </w:t>
      </w:r>
      <w:r>
        <w:t>May 2015</w:t>
      </w:r>
      <w:r w:rsidR="00ED1A5E">
        <w:t>)</w:t>
      </w:r>
      <w:r>
        <w:t>, new inspections had already been carried out or started for the large majority of sectors with only the following small, low risk, sectors remaining:</w:t>
      </w:r>
    </w:p>
    <w:p w:rsidR="00431142" w:rsidRDefault="00431142" w:rsidP="00431142">
      <w:pPr>
        <w:pStyle w:val="EBBullet"/>
        <w:tabs>
          <w:tab w:val="clear" w:pos="284"/>
          <w:tab w:val="num" w:pos="993"/>
        </w:tabs>
        <w:ind w:left="993"/>
      </w:pPr>
      <w:r>
        <w:t>Urgent care services and mobile doctors</w:t>
      </w:r>
    </w:p>
    <w:p w:rsidR="00431142" w:rsidRDefault="00431142" w:rsidP="00431142">
      <w:pPr>
        <w:pStyle w:val="EBBullet"/>
        <w:tabs>
          <w:tab w:val="clear" w:pos="284"/>
          <w:tab w:val="num" w:pos="993"/>
        </w:tabs>
        <w:ind w:left="993"/>
      </w:pPr>
      <w:r>
        <w:t>Independent consulting doctors</w:t>
      </w:r>
    </w:p>
    <w:p w:rsidR="00431142" w:rsidRDefault="00431142" w:rsidP="00431142">
      <w:pPr>
        <w:pStyle w:val="EBBullet"/>
        <w:tabs>
          <w:tab w:val="clear" w:pos="284"/>
          <w:tab w:val="num" w:pos="993"/>
        </w:tabs>
        <w:ind w:left="993"/>
      </w:pPr>
      <w:r>
        <w:t>Ambulance service providers (independent)</w:t>
      </w:r>
    </w:p>
    <w:p w:rsidR="00431142" w:rsidRDefault="00431142" w:rsidP="00431142">
      <w:pPr>
        <w:pStyle w:val="EBBullet"/>
        <w:tabs>
          <w:tab w:val="clear" w:pos="284"/>
          <w:tab w:val="num" w:pos="993"/>
        </w:tabs>
        <w:ind w:left="993"/>
      </w:pPr>
      <w:r>
        <w:t xml:space="preserve">Acute single specialist providers (independent) </w:t>
      </w:r>
    </w:p>
    <w:p w:rsidR="00431142" w:rsidRDefault="00431142" w:rsidP="00431142">
      <w:pPr>
        <w:pStyle w:val="EBBullet"/>
        <w:tabs>
          <w:tab w:val="clear" w:pos="284"/>
          <w:tab w:val="num" w:pos="993"/>
        </w:tabs>
        <w:ind w:left="993"/>
      </w:pPr>
      <w:r>
        <w:t>Acute non hospital providers (independent)</w:t>
      </w:r>
    </w:p>
    <w:p w:rsidR="00431142" w:rsidRDefault="00431142" w:rsidP="00431142">
      <w:pPr>
        <w:pStyle w:val="EBBullet"/>
        <w:tabs>
          <w:tab w:val="clear" w:pos="284"/>
          <w:tab w:val="num" w:pos="993"/>
        </w:tabs>
        <w:ind w:left="993"/>
      </w:pPr>
      <w:r>
        <w:t>Community health providers (independent)</w:t>
      </w:r>
    </w:p>
    <w:p w:rsidR="00431142" w:rsidRDefault="00431142" w:rsidP="00431142">
      <w:pPr>
        <w:pStyle w:val="EBBullet"/>
        <w:tabs>
          <w:tab w:val="clear" w:pos="284"/>
          <w:tab w:val="num" w:pos="993"/>
        </w:tabs>
        <w:ind w:left="993"/>
      </w:pPr>
      <w:r>
        <w:t>Substance misuse (NHS &amp; independent)</w:t>
      </w:r>
    </w:p>
    <w:p w:rsidR="00073758" w:rsidRPr="00F006F4" w:rsidRDefault="00073758" w:rsidP="00073758">
      <w:pPr>
        <w:pStyle w:val="Heading4"/>
      </w:pPr>
      <w:r w:rsidRPr="00F006F4">
        <w:t>The evidence base of this impact assessment is structured as follows:</w:t>
      </w:r>
    </w:p>
    <w:p w:rsidR="00073758" w:rsidRDefault="00073758" w:rsidP="00431142">
      <w:pPr>
        <w:pStyle w:val="EBBodyPara"/>
        <w:numPr>
          <w:ilvl w:val="0"/>
          <w:numId w:val="23"/>
        </w:numPr>
        <w:ind w:left="993" w:hanging="425"/>
      </w:pPr>
      <w:r w:rsidRPr="00F006F4">
        <w:t>Section A: Definition of the underlying problem and rationale for government intervention</w:t>
      </w:r>
    </w:p>
    <w:p w:rsidR="00073758" w:rsidRPr="00F006F4" w:rsidRDefault="00073758" w:rsidP="00431142">
      <w:pPr>
        <w:pStyle w:val="EBBodyPara"/>
        <w:numPr>
          <w:ilvl w:val="0"/>
          <w:numId w:val="23"/>
        </w:numPr>
        <w:ind w:left="993" w:hanging="425"/>
      </w:pPr>
      <w:r w:rsidRPr="00F006F4">
        <w:t>Section B: Policy objectives and intended effects</w:t>
      </w:r>
    </w:p>
    <w:p w:rsidR="00073758" w:rsidRPr="00F006F4" w:rsidRDefault="00073758" w:rsidP="00431142">
      <w:pPr>
        <w:pStyle w:val="EBBodyPara"/>
        <w:numPr>
          <w:ilvl w:val="0"/>
          <w:numId w:val="23"/>
        </w:numPr>
        <w:ind w:left="993" w:hanging="425"/>
      </w:pPr>
      <w:r w:rsidRPr="00F006F4">
        <w:t>Section C: Description of the options</w:t>
      </w:r>
    </w:p>
    <w:p w:rsidR="00073758" w:rsidRPr="00F006F4" w:rsidRDefault="00073758" w:rsidP="00431142">
      <w:pPr>
        <w:pStyle w:val="EBBodyPara"/>
        <w:numPr>
          <w:ilvl w:val="0"/>
          <w:numId w:val="23"/>
        </w:numPr>
        <w:ind w:left="993" w:hanging="425"/>
      </w:pPr>
      <w:r w:rsidRPr="00F006F4">
        <w:t xml:space="preserve">Section D: Costs and benefits assessment of the options (including specific impacts) </w:t>
      </w:r>
    </w:p>
    <w:p w:rsidR="00073758" w:rsidRDefault="00073758" w:rsidP="00431142">
      <w:pPr>
        <w:pStyle w:val="EBBodyPara"/>
        <w:numPr>
          <w:ilvl w:val="0"/>
          <w:numId w:val="23"/>
        </w:numPr>
        <w:ind w:left="993" w:hanging="425"/>
      </w:pPr>
      <w:r w:rsidRPr="00F006F4">
        <w:t>Section E: Summary of specific impact tests</w:t>
      </w:r>
    </w:p>
    <w:p w:rsidR="00073758" w:rsidRPr="00F006F4" w:rsidRDefault="00073758" w:rsidP="00431142">
      <w:pPr>
        <w:pStyle w:val="EBBodyPara"/>
        <w:numPr>
          <w:ilvl w:val="0"/>
          <w:numId w:val="23"/>
        </w:numPr>
        <w:ind w:left="993" w:hanging="425"/>
      </w:pPr>
      <w:r w:rsidRPr="00F006F4">
        <w:t>Section F: Summary and conclusion</w:t>
      </w:r>
    </w:p>
    <w:p w:rsidR="00073758" w:rsidRDefault="00073758" w:rsidP="00073758">
      <w:pPr>
        <w:pStyle w:val="Heading3"/>
      </w:pPr>
      <w:r w:rsidRPr="008865FC">
        <w:t>Section A: Definition of the underlying problem and rationale for government intervention</w:t>
      </w:r>
    </w:p>
    <w:p w:rsidR="00073758" w:rsidRPr="00B20B3D" w:rsidRDefault="00073758" w:rsidP="00073758">
      <w:pPr>
        <w:pStyle w:val="Heading5"/>
      </w:pPr>
      <w:r>
        <w:t>Background and current position</w:t>
      </w:r>
    </w:p>
    <w:bookmarkEnd w:id="43"/>
    <w:p w:rsidR="00073758" w:rsidRDefault="003757D5" w:rsidP="00073758">
      <w:pPr>
        <w:pStyle w:val="EBNumber"/>
        <w:numPr>
          <w:ilvl w:val="1"/>
          <w:numId w:val="11"/>
        </w:numPr>
      </w:pPr>
      <w:r>
        <w:lastRenderedPageBreak/>
        <w:t xml:space="preserve">The </w:t>
      </w:r>
      <w:r w:rsidR="00073758">
        <w:t xml:space="preserve">CQC’s budget is made up of a combination of grant-in-aid from the taxpayer and income from fees paid by providers. Like all public bodies with fee-setting powers, </w:t>
      </w:r>
      <w:r>
        <w:t xml:space="preserve">the </w:t>
      </w:r>
      <w:r w:rsidR="00073758">
        <w:t xml:space="preserve">CQC is required by government policy to set fees that, over time, cover the costs of the services </w:t>
      </w:r>
      <w:r>
        <w:t xml:space="preserve">the </w:t>
      </w:r>
      <w:r w:rsidR="00073758">
        <w:t>CQC provide. Recovery of costs by a public body must be based on the true economic costs of the service, and that the body should promote the principles of control of costs and the efficient and effective use of public money</w:t>
      </w:r>
      <w:r w:rsidR="00073758">
        <w:rPr>
          <w:rStyle w:val="FootnoteReference"/>
        </w:rPr>
        <w:footnoteReference w:id="4"/>
      </w:r>
      <w:r w:rsidR="00073758">
        <w:t>.</w:t>
      </w:r>
    </w:p>
    <w:p w:rsidR="00073758" w:rsidRDefault="00073758" w:rsidP="00073758">
      <w:pPr>
        <w:pStyle w:val="EBNumber"/>
        <w:numPr>
          <w:ilvl w:val="1"/>
          <w:numId w:val="11"/>
        </w:numPr>
      </w:pPr>
      <w:r>
        <w:t xml:space="preserve">Certain elements of </w:t>
      </w:r>
      <w:r w:rsidR="003757D5">
        <w:t xml:space="preserve">the </w:t>
      </w:r>
      <w:r>
        <w:t xml:space="preserve">CQC’s functions are exempt from being included in fee charging. This means that </w:t>
      </w:r>
      <w:r w:rsidR="003757D5">
        <w:t xml:space="preserve">the </w:t>
      </w:r>
      <w:r>
        <w:t xml:space="preserve">CQC will not be required to recover 100% of its costs through fees. </w:t>
      </w:r>
      <w:r w:rsidR="003757D5">
        <w:t xml:space="preserve">The </w:t>
      </w:r>
      <w:r>
        <w:t>CQC is working on a fee policy that will move it to full cost recovery, for those elements it is able to charge a fee.  This will move it to a position where providers ultimately meet all the chargeable costs rather than the taxpayer.</w:t>
      </w:r>
    </w:p>
    <w:p w:rsidR="00073758" w:rsidRDefault="00073758" w:rsidP="00073758">
      <w:pPr>
        <w:pStyle w:val="EBNumber"/>
        <w:numPr>
          <w:ilvl w:val="1"/>
          <w:numId w:val="11"/>
        </w:numPr>
      </w:pPr>
      <w:r w:rsidRPr="00AE4410">
        <w:t>The CQC’s budget history between 2013/14 and 2015/16, split between GIA and fee income, is summarised in the following table.</w:t>
      </w:r>
    </w:p>
    <w:tbl>
      <w:tblPr>
        <w:tblStyle w:val="TableGrid"/>
        <w:tblW w:w="0" w:type="auto"/>
        <w:jc w:val="center"/>
        <w:tblInd w:w="763" w:type="dxa"/>
        <w:tblLook w:val="04A0" w:firstRow="1" w:lastRow="0" w:firstColumn="1" w:lastColumn="0" w:noHBand="0" w:noVBand="1"/>
      </w:tblPr>
      <w:tblGrid>
        <w:gridCol w:w="3598"/>
        <w:gridCol w:w="1914"/>
        <w:gridCol w:w="1914"/>
        <w:gridCol w:w="1914"/>
      </w:tblGrid>
      <w:tr w:rsidR="00073758" w:rsidRPr="00AE4410" w:rsidTr="00431142">
        <w:trPr>
          <w:jc w:val="center"/>
        </w:trPr>
        <w:tc>
          <w:tcPr>
            <w:tcW w:w="3598" w:type="dxa"/>
          </w:tcPr>
          <w:p w:rsidR="00073758" w:rsidRPr="00AE4410" w:rsidRDefault="00073758" w:rsidP="00431142">
            <w:pPr>
              <w:pStyle w:val="EBBodyPara"/>
            </w:pPr>
          </w:p>
        </w:tc>
        <w:tc>
          <w:tcPr>
            <w:tcW w:w="1914" w:type="dxa"/>
          </w:tcPr>
          <w:p w:rsidR="00073758" w:rsidRPr="00B20B3D" w:rsidRDefault="00073758" w:rsidP="00431142">
            <w:pPr>
              <w:pStyle w:val="EBBodyPara"/>
              <w:rPr>
                <w:b/>
              </w:rPr>
            </w:pPr>
            <w:r w:rsidRPr="00B20B3D">
              <w:rPr>
                <w:b/>
              </w:rPr>
              <w:t>2013/14</w:t>
            </w:r>
          </w:p>
        </w:tc>
        <w:tc>
          <w:tcPr>
            <w:tcW w:w="1914" w:type="dxa"/>
          </w:tcPr>
          <w:p w:rsidR="00073758" w:rsidRPr="00B20B3D" w:rsidRDefault="00073758" w:rsidP="00431142">
            <w:pPr>
              <w:pStyle w:val="EBBodyPara"/>
              <w:rPr>
                <w:b/>
              </w:rPr>
            </w:pPr>
            <w:r w:rsidRPr="00B20B3D">
              <w:rPr>
                <w:b/>
              </w:rPr>
              <w:t>2014/15</w:t>
            </w:r>
          </w:p>
        </w:tc>
        <w:tc>
          <w:tcPr>
            <w:tcW w:w="1914" w:type="dxa"/>
          </w:tcPr>
          <w:p w:rsidR="00073758" w:rsidRPr="00B20B3D" w:rsidRDefault="00073758" w:rsidP="00431142">
            <w:pPr>
              <w:pStyle w:val="EBBodyPara"/>
              <w:rPr>
                <w:b/>
              </w:rPr>
            </w:pPr>
            <w:r w:rsidRPr="00B20B3D">
              <w:rPr>
                <w:b/>
              </w:rPr>
              <w:t>2015/16</w:t>
            </w:r>
          </w:p>
        </w:tc>
      </w:tr>
      <w:tr w:rsidR="00073758" w:rsidRPr="00AE4410" w:rsidTr="00431142">
        <w:trPr>
          <w:jc w:val="center"/>
        </w:trPr>
        <w:tc>
          <w:tcPr>
            <w:tcW w:w="3598" w:type="dxa"/>
          </w:tcPr>
          <w:p w:rsidR="00073758" w:rsidRPr="00AE4410" w:rsidRDefault="00073758" w:rsidP="00431142">
            <w:pPr>
              <w:pStyle w:val="EBBodyPara"/>
            </w:pPr>
          </w:p>
        </w:tc>
        <w:tc>
          <w:tcPr>
            <w:tcW w:w="1914" w:type="dxa"/>
          </w:tcPr>
          <w:p w:rsidR="00073758" w:rsidRPr="00B20B3D" w:rsidRDefault="00073758" w:rsidP="00431142">
            <w:pPr>
              <w:pStyle w:val="EBBodyPara"/>
              <w:rPr>
                <w:b/>
              </w:rPr>
            </w:pPr>
            <w:r w:rsidRPr="00B20B3D">
              <w:rPr>
                <w:b/>
              </w:rPr>
              <w:t>£ms</w:t>
            </w:r>
          </w:p>
        </w:tc>
        <w:tc>
          <w:tcPr>
            <w:tcW w:w="1914" w:type="dxa"/>
          </w:tcPr>
          <w:p w:rsidR="00073758" w:rsidRPr="00B20B3D" w:rsidRDefault="00073758" w:rsidP="00431142">
            <w:pPr>
              <w:pStyle w:val="EBBodyPara"/>
              <w:rPr>
                <w:b/>
              </w:rPr>
            </w:pPr>
            <w:r w:rsidRPr="00B20B3D">
              <w:rPr>
                <w:b/>
              </w:rPr>
              <w:t>£ms</w:t>
            </w:r>
          </w:p>
        </w:tc>
        <w:tc>
          <w:tcPr>
            <w:tcW w:w="1914" w:type="dxa"/>
          </w:tcPr>
          <w:p w:rsidR="00073758" w:rsidRPr="00B20B3D" w:rsidRDefault="00073758" w:rsidP="00431142">
            <w:pPr>
              <w:pStyle w:val="EBBodyPara"/>
              <w:rPr>
                <w:b/>
              </w:rPr>
            </w:pPr>
            <w:r w:rsidRPr="00B20B3D">
              <w:rPr>
                <w:b/>
              </w:rPr>
              <w:t>£ms</w:t>
            </w:r>
          </w:p>
        </w:tc>
      </w:tr>
      <w:tr w:rsidR="00073758" w:rsidRPr="00AE4410" w:rsidTr="00431142">
        <w:trPr>
          <w:jc w:val="center"/>
        </w:trPr>
        <w:tc>
          <w:tcPr>
            <w:tcW w:w="3598" w:type="dxa"/>
          </w:tcPr>
          <w:p w:rsidR="00073758" w:rsidRPr="00B20B3D" w:rsidRDefault="00073758" w:rsidP="00431142">
            <w:pPr>
              <w:pStyle w:val="EBBodyPara"/>
              <w:rPr>
                <w:b/>
              </w:rPr>
            </w:pPr>
            <w:r w:rsidRPr="00B20B3D">
              <w:rPr>
                <w:b/>
              </w:rPr>
              <w:t xml:space="preserve">Recoverable costs </w:t>
            </w:r>
          </w:p>
        </w:tc>
        <w:tc>
          <w:tcPr>
            <w:tcW w:w="1914" w:type="dxa"/>
          </w:tcPr>
          <w:p w:rsidR="00073758" w:rsidRPr="00AE4410" w:rsidRDefault="00073758" w:rsidP="00431142">
            <w:pPr>
              <w:pStyle w:val="EBBodyPara"/>
            </w:pPr>
            <w:r w:rsidRPr="00AE4410">
              <w:t>131</w:t>
            </w:r>
          </w:p>
        </w:tc>
        <w:tc>
          <w:tcPr>
            <w:tcW w:w="1914" w:type="dxa"/>
          </w:tcPr>
          <w:p w:rsidR="00073758" w:rsidRPr="00AE4410" w:rsidRDefault="00073758" w:rsidP="00431142">
            <w:pPr>
              <w:pStyle w:val="EBBodyPara"/>
            </w:pPr>
            <w:r w:rsidRPr="00AE4410">
              <w:t>195</w:t>
            </w:r>
          </w:p>
        </w:tc>
        <w:tc>
          <w:tcPr>
            <w:tcW w:w="1914" w:type="dxa"/>
          </w:tcPr>
          <w:p w:rsidR="00073758" w:rsidRPr="00AE4410" w:rsidRDefault="00073758" w:rsidP="00431142">
            <w:pPr>
              <w:pStyle w:val="EBBodyPara"/>
            </w:pPr>
            <w:r>
              <w:t>205</w:t>
            </w:r>
          </w:p>
        </w:tc>
      </w:tr>
      <w:tr w:rsidR="00073758" w:rsidRPr="00AE4410" w:rsidTr="00431142">
        <w:trPr>
          <w:jc w:val="center"/>
        </w:trPr>
        <w:tc>
          <w:tcPr>
            <w:tcW w:w="3598" w:type="dxa"/>
          </w:tcPr>
          <w:p w:rsidR="00073758" w:rsidRPr="00B20B3D" w:rsidRDefault="00073758" w:rsidP="00431142">
            <w:pPr>
              <w:pStyle w:val="EBBodyPara"/>
              <w:rPr>
                <w:b/>
              </w:rPr>
            </w:pPr>
            <w:r w:rsidRPr="00B20B3D">
              <w:rPr>
                <w:b/>
              </w:rPr>
              <w:t xml:space="preserve">Non-recoverable costs </w:t>
            </w:r>
          </w:p>
        </w:tc>
        <w:tc>
          <w:tcPr>
            <w:tcW w:w="1914" w:type="dxa"/>
          </w:tcPr>
          <w:p w:rsidR="00073758" w:rsidRPr="00AE4410" w:rsidRDefault="00073758" w:rsidP="00431142">
            <w:pPr>
              <w:pStyle w:val="EBBodyPara"/>
            </w:pPr>
            <w:r w:rsidRPr="00AE4410">
              <w:t>29</w:t>
            </w:r>
          </w:p>
        </w:tc>
        <w:tc>
          <w:tcPr>
            <w:tcW w:w="1914" w:type="dxa"/>
          </w:tcPr>
          <w:p w:rsidR="00073758" w:rsidRPr="00AE4410" w:rsidRDefault="00073758" w:rsidP="00431142">
            <w:pPr>
              <w:pStyle w:val="EBBodyPara"/>
            </w:pPr>
            <w:r w:rsidRPr="00AE4410">
              <w:t>29</w:t>
            </w:r>
          </w:p>
        </w:tc>
        <w:tc>
          <w:tcPr>
            <w:tcW w:w="1914" w:type="dxa"/>
          </w:tcPr>
          <w:p w:rsidR="00073758" w:rsidRPr="00AE4410" w:rsidRDefault="00073758" w:rsidP="00431142">
            <w:pPr>
              <w:pStyle w:val="EBBodyPara"/>
            </w:pPr>
            <w:r>
              <w:t>29</w:t>
            </w:r>
          </w:p>
        </w:tc>
      </w:tr>
      <w:tr w:rsidR="00073758" w:rsidRPr="00AE4410" w:rsidTr="00431142">
        <w:trPr>
          <w:jc w:val="center"/>
        </w:trPr>
        <w:tc>
          <w:tcPr>
            <w:tcW w:w="3598" w:type="dxa"/>
          </w:tcPr>
          <w:p w:rsidR="00073758" w:rsidRPr="00B20B3D" w:rsidRDefault="00073758" w:rsidP="00431142">
            <w:pPr>
              <w:pStyle w:val="EBBodyPara"/>
              <w:rPr>
                <w:b/>
              </w:rPr>
            </w:pPr>
            <w:r w:rsidRPr="00B20B3D">
              <w:rPr>
                <w:b/>
              </w:rPr>
              <w:t>Total</w:t>
            </w:r>
          </w:p>
        </w:tc>
        <w:tc>
          <w:tcPr>
            <w:tcW w:w="1914" w:type="dxa"/>
          </w:tcPr>
          <w:p w:rsidR="00073758" w:rsidRPr="00AE4410" w:rsidRDefault="00073758" w:rsidP="00431142">
            <w:pPr>
              <w:pStyle w:val="EBBodyPara"/>
            </w:pPr>
            <w:r w:rsidRPr="00AE4410">
              <w:t>160</w:t>
            </w:r>
          </w:p>
        </w:tc>
        <w:tc>
          <w:tcPr>
            <w:tcW w:w="1914" w:type="dxa"/>
          </w:tcPr>
          <w:p w:rsidR="00073758" w:rsidRPr="00AE4410" w:rsidRDefault="00073758" w:rsidP="00431142">
            <w:pPr>
              <w:pStyle w:val="EBBodyPara"/>
            </w:pPr>
            <w:r w:rsidRPr="00AE4410">
              <w:t>224</w:t>
            </w:r>
          </w:p>
        </w:tc>
        <w:tc>
          <w:tcPr>
            <w:tcW w:w="1914" w:type="dxa"/>
          </w:tcPr>
          <w:p w:rsidR="00073758" w:rsidRPr="00AE4410" w:rsidRDefault="00073758" w:rsidP="00431142">
            <w:pPr>
              <w:pStyle w:val="EBBodyPara"/>
            </w:pPr>
            <w:r>
              <w:t>233</w:t>
            </w:r>
          </w:p>
        </w:tc>
      </w:tr>
      <w:tr w:rsidR="00073758" w:rsidRPr="00AE4410" w:rsidTr="00431142">
        <w:trPr>
          <w:jc w:val="center"/>
        </w:trPr>
        <w:tc>
          <w:tcPr>
            <w:tcW w:w="3598" w:type="dxa"/>
          </w:tcPr>
          <w:p w:rsidR="00073758" w:rsidRPr="00B20B3D" w:rsidRDefault="00073758" w:rsidP="00431142">
            <w:pPr>
              <w:pStyle w:val="EBBodyPara"/>
              <w:rPr>
                <w:b/>
              </w:rPr>
            </w:pPr>
            <w:r w:rsidRPr="00B20B3D">
              <w:rPr>
                <w:b/>
              </w:rPr>
              <w:t>Funded by GIA (1)</w:t>
            </w:r>
          </w:p>
        </w:tc>
        <w:tc>
          <w:tcPr>
            <w:tcW w:w="1914" w:type="dxa"/>
          </w:tcPr>
          <w:p w:rsidR="00073758" w:rsidRPr="00AE4410" w:rsidRDefault="00073758" w:rsidP="00431142">
            <w:pPr>
              <w:pStyle w:val="EBBodyPara"/>
            </w:pPr>
            <w:r w:rsidRPr="00AE4410">
              <w:t>59</w:t>
            </w:r>
          </w:p>
        </w:tc>
        <w:tc>
          <w:tcPr>
            <w:tcW w:w="1914" w:type="dxa"/>
          </w:tcPr>
          <w:p w:rsidR="00073758" w:rsidRPr="00AE4410" w:rsidRDefault="00073758" w:rsidP="00431142">
            <w:pPr>
              <w:pStyle w:val="EBBodyPara"/>
            </w:pPr>
            <w:r w:rsidRPr="00AE4410">
              <w:t>120</w:t>
            </w:r>
          </w:p>
        </w:tc>
        <w:tc>
          <w:tcPr>
            <w:tcW w:w="1914" w:type="dxa"/>
          </w:tcPr>
          <w:p w:rsidR="00073758" w:rsidRPr="00AE4410" w:rsidRDefault="00073758" w:rsidP="00431142">
            <w:pPr>
              <w:pStyle w:val="EBBodyPara"/>
            </w:pPr>
            <w:r>
              <w:t>120</w:t>
            </w:r>
          </w:p>
        </w:tc>
      </w:tr>
      <w:tr w:rsidR="00073758" w:rsidRPr="00AE4410" w:rsidTr="00431142">
        <w:trPr>
          <w:jc w:val="center"/>
        </w:trPr>
        <w:tc>
          <w:tcPr>
            <w:tcW w:w="3598" w:type="dxa"/>
          </w:tcPr>
          <w:p w:rsidR="00073758" w:rsidRPr="00B20B3D" w:rsidRDefault="00073758" w:rsidP="00431142">
            <w:pPr>
              <w:pStyle w:val="EBBodyPara"/>
              <w:rPr>
                <w:b/>
              </w:rPr>
            </w:pPr>
            <w:r w:rsidRPr="00B20B3D">
              <w:rPr>
                <w:b/>
              </w:rPr>
              <w:t>% GIA of total</w:t>
            </w:r>
          </w:p>
        </w:tc>
        <w:tc>
          <w:tcPr>
            <w:tcW w:w="1914" w:type="dxa"/>
          </w:tcPr>
          <w:p w:rsidR="00073758" w:rsidRPr="00AE4410" w:rsidRDefault="00073758" w:rsidP="00431142">
            <w:pPr>
              <w:pStyle w:val="EBBodyPara"/>
            </w:pPr>
            <w:r>
              <w:t>37</w:t>
            </w:r>
            <w:r w:rsidRPr="00AE4410">
              <w:t>%</w:t>
            </w:r>
          </w:p>
        </w:tc>
        <w:tc>
          <w:tcPr>
            <w:tcW w:w="1914" w:type="dxa"/>
          </w:tcPr>
          <w:p w:rsidR="00073758" w:rsidRPr="00AE4410" w:rsidRDefault="00073758" w:rsidP="00431142">
            <w:pPr>
              <w:pStyle w:val="EBBodyPara"/>
            </w:pPr>
            <w:r w:rsidRPr="00AE4410">
              <w:t>54%</w:t>
            </w:r>
          </w:p>
        </w:tc>
        <w:tc>
          <w:tcPr>
            <w:tcW w:w="1914" w:type="dxa"/>
          </w:tcPr>
          <w:p w:rsidR="00073758" w:rsidRPr="00AE4410" w:rsidRDefault="00073758" w:rsidP="00431142">
            <w:pPr>
              <w:pStyle w:val="EBBodyPara"/>
            </w:pPr>
            <w:r>
              <w:t>52</w:t>
            </w:r>
            <w:r w:rsidRPr="00AE4410">
              <w:t>%</w:t>
            </w:r>
          </w:p>
        </w:tc>
      </w:tr>
      <w:tr w:rsidR="00073758" w:rsidRPr="00AE4410" w:rsidTr="00431142">
        <w:trPr>
          <w:jc w:val="center"/>
        </w:trPr>
        <w:tc>
          <w:tcPr>
            <w:tcW w:w="3598" w:type="dxa"/>
          </w:tcPr>
          <w:p w:rsidR="00073758" w:rsidRPr="00B20B3D" w:rsidRDefault="00073758" w:rsidP="00431142">
            <w:pPr>
              <w:pStyle w:val="EBBodyPara"/>
              <w:rPr>
                <w:b/>
              </w:rPr>
            </w:pPr>
            <w:r w:rsidRPr="00B20B3D">
              <w:rPr>
                <w:b/>
              </w:rPr>
              <w:t>Funded from fees (2)</w:t>
            </w:r>
          </w:p>
        </w:tc>
        <w:tc>
          <w:tcPr>
            <w:tcW w:w="1914" w:type="dxa"/>
          </w:tcPr>
          <w:p w:rsidR="00073758" w:rsidRPr="00AE4410" w:rsidRDefault="00073758" w:rsidP="00431142">
            <w:pPr>
              <w:pStyle w:val="EBBodyPara"/>
            </w:pPr>
            <w:r w:rsidRPr="00AE4410">
              <w:t>101</w:t>
            </w:r>
          </w:p>
        </w:tc>
        <w:tc>
          <w:tcPr>
            <w:tcW w:w="1914" w:type="dxa"/>
          </w:tcPr>
          <w:p w:rsidR="00073758" w:rsidRPr="00AE4410" w:rsidRDefault="00073758" w:rsidP="00431142">
            <w:pPr>
              <w:pStyle w:val="EBBodyPara"/>
            </w:pPr>
            <w:r w:rsidRPr="00AE4410">
              <w:t>104</w:t>
            </w:r>
          </w:p>
        </w:tc>
        <w:tc>
          <w:tcPr>
            <w:tcW w:w="1914" w:type="dxa"/>
          </w:tcPr>
          <w:p w:rsidR="00073758" w:rsidRPr="00AE4410" w:rsidRDefault="00073758" w:rsidP="00431142">
            <w:pPr>
              <w:pStyle w:val="EBBodyPara"/>
            </w:pPr>
            <w:r w:rsidRPr="00AE4410">
              <w:t>113</w:t>
            </w:r>
          </w:p>
        </w:tc>
      </w:tr>
      <w:tr w:rsidR="00073758" w:rsidRPr="00AE4410" w:rsidTr="00431142">
        <w:trPr>
          <w:jc w:val="center"/>
        </w:trPr>
        <w:tc>
          <w:tcPr>
            <w:tcW w:w="3598" w:type="dxa"/>
          </w:tcPr>
          <w:p w:rsidR="00073758" w:rsidRPr="00B20B3D" w:rsidRDefault="00073758" w:rsidP="00431142">
            <w:pPr>
              <w:pStyle w:val="EBBodyPara"/>
              <w:rPr>
                <w:b/>
              </w:rPr>
            </w:pPr>
            <w:r w:rsidRPr="00B20B3D">
              <w:rPr>
                <w:b/>
              </w:rPr>
              <w:t>% fee income of total</w:t>
            </w:r>
          </w:p>
        </w:tc>
        <w:tc>
          <w:tcPr>
            <w:tcW w:w="1914" w:type="dxa"/>
          </w:tcPr>
          <w:p w:rsidR="00073758" w:rsidRPr="00AE4410" w:rsidRDefault="00073758" w:rsidP="00431142">
            <w:pPr>
              <w:pStyle w:val="EBBodyPara"/>
            </w:pPr>
            <w:r w:rsidRPr="00AE4410">
              <w:t>63%</w:t>
            </w:r>
          </w:p>
        </w:tc>
        <w:tc>
          <w:tcPr>
            <w:tcW w:w="1914" w:type="dxa"/>
          </w:tcPr>
          <w:p w:rsidR="00073758" w:rsidRPr="00AE4410" w:rsidRDefault="00073758" w:rsidP="00431142">
            <w:pPr>
              <w:pStyle w:val="EBBodyPara"/>
            </w:pPr>
            <w:r w:rsidRPr="00AE4410">
              <w:t>46%</w:t>
            </w:r>
          </w:p>
        </w:tc>
        <w:tc>
          <w:tcPr>
            <w:tcW w:w="1914" w:type="dxa"/>
          </w:tcPr>
          <w:p w:rsidR="00073758" w:rsidRPr="00AE4410" w:rsidRDefault="00073758" w:rsidP="00431142">
            <w:pPr>
              <w:pStyle w:val="EBBodyPara"/>
            </w:pPr>
            <w:r w:rsidRPr="00AE4410">
              <w:t>48%</w:t>
            </w:r>
          </w:p>
        </w:tc>
      </w:tr>
      <w:tr w:rsidR="00073758" w:rsidRPr="00AE4410" w:rsidTr="00431142">
        <w:trPr>
          <w:jc w:val="center"/>
        </w:trPr>
        <w:tc>
          <w:tcPr>
            <w:tcW w:w="3598" w:type="dxa"/>
          </w:tcPr>
          <w:p w:rsidR="00073758" w:rsidRPr="00B20B3D" w:rsidRDefault="00073758" w:rsidP="00431142">
            <w:pPr>
              <w:pStyle w:val="EBBodyPara"/>
              <w:rPr>
                <w:b/>
              </w:rPr>
            </w:pPr>
            <w:r w:rsidRPr="00B20B3D">
              <w:rPr>
                <w:b/>
              </w:rPr>
              <w:t>% of costs recovered by fees (3)</w:t>
            </w:r>
          </w:p>
        </w:tc>
        <w:tc>
          <w:tcPr>
            <w:tcW w:w="1914" w:type="dxa"/>
          </w:tcPr>
          <w:p w:rsidR="00073758" w:rsidRPr="00AE4410" w:rsidRDefault="00073758" w:rsidP="00431142">
            <w:pPr>
              <w:pStyle w:val="EBBodyPara"/>
            </w:pPr>
            <w:r w:rsidRPr="00AE4410">
              <w:t>77%</w:t>
            </w:r>
          </w:p>
        </w:tc>
        <w:tc>
          <w:tcPr>
            <w:tcW w:w="1914" w:type="dxa"/>
          </w:tcPr>
          <w:p w:rsidR="00073758" w:rsidRPr="00AE4410" w:rsidRDefault="00073758" w:rsidP="00431142">
            <w:pPr>
              <w:pStyle w:val="EBBodyPara"/>
            </w:pPr>
            <w:r w:rsidRPr="00AE4410">
              <w:t>53%</w:t>
            </w:r>
          </w:p>
        </w:tc>
        <w:tc>
          <w:tcPr>
            <w:tcW w:w="1914" w:type="dxa"/>
          </w:tcPr>
          <w:p w:rsidR="00073758" w:rsidRPr="00AE4410" w:rsidRDefault="00073758" w:rsidP="00431142">
            <w:pPr>
              <w:pStyle w:val="EBBodyPara"/>
            </w:pPr>
            <w:r w:rsidRPr="00AE4410">
              <w:t>55%</w:t>
            </w:r>
          </w:p>
        </w:tc>
      </w:tr>
      <w:tr w:rsidR="00073758" w:rsidRPr="00AE4410" w:rsidTr="00431142">
        <w:trPr>
          <w:jc w:val="center"/>
        </w:trPr>
        <w:tc>
          <w:tcPr>
            <w:tcW w:w="9340" w:type="dxa"/>
            <w:gridSpan w:val="4"/>
          </w:tcPr>
          <w:p w:rsidR="00073758" w:rsidRPr="00B20B3D" w:rsidRDefault="00073758" w:rsidP="00431142">
            <w:pPr>
              <w:rPr>
                <w:rFonts w:cstheme="minorHAnsi"/>
                <w:b/>
                <w:sz w:val="18"/>
              </w:rPr>
            </w:pPr>
            <w:r w:rsidRPr="00B20B3D">
              <w:rPr>
                <w:rFonts w:cstheme="minorHAnsi"/>
                <w:b/>
                <w:sz w:val="18"/>
              </w:rPr>
              <w:t>Notes</w:t>
            </w:r>
          </w:p>
          <w:p w:rsidR="00073758" w:rsidRPr="00B20B3D" w:rsidRDefault="00073758" w:rsidP="00431142">
            <w:pPr>
              <w:pStyle w:val="EBNumber"/>
              <w:numPr>
                <w:ilvl w:val="0"/>
                <w:numId w:val="25"/>
              </w:numPr>
              <w:spacing w:after="0"/>
              <w:rPr>
                <w:sz w:val="18"/>
              </w:rPr>
            </w:pPr>
            <w:r w:rsidRPr="00B20B3D">
              <w:rPr>
                <w:sz w:val="18"/>
              </w:rPr>
              <w:t xml:space="preserve">In 2013/14 an additional £20m GIA was provided non-recurrently to cover one-off transformation costs. In 2015/16 a drawdown facility of £16m non-recurrent has been identified to support </w:t>
            </w:r>
            <w:r w:rsidR="008D6D38">
              <w:rPr>
                <w:sz w:val="18"/>
              </w:rPr>
              <w:t xml:space="preserve">the </w:t>
            </w:r>
            <w:r w:rsidRPr="00B20B3D">
              <w:rPr>
                <w:sz w:val="18"/>
              </w:rPr>
              <w:t>CQC in the recruitment of its inspector workforce. Both payments have been excluded from GIA for accounting purposes.</w:t>
            </w:r>
          </w:p>
          <w:p w:rsidR="00073758" w:rsidRPr="00B20B3D" w:rsidRDefault="00073758" w:rsidP="00431142">
            <w:pPr>
              <w:pStyle w:val="EBNumber"/>
              <w:numPr>
                <w:ilvl w:val="0"/>
                <w:numId w:val="25"/>
              </w:numPr>
              <w:spacing w:after="0"/>
              <w:rPr>
                <w:sz w:val="18"/>
              </w:rPr>
            </w:pPr>
            <w:r w:rsidRPr="00B20B3D">
              <w:rPr>
                <w:sz w:val="18"/>
              </w:rPr>
              <w:t>2015/16 fee income reflects the 9% increase introduced across all sectors, except Dentists who are at full cost recovery.</w:t>
            </w:r>
          </w:p>
          <w:p w:rsidR="00073758" w:rsidRPr="00B20B3D" w:rsidRDefault="00073758" w:rsidP="00431142">
            <w:pPr>
              <w:pStyle w:val="EBNumber"/>
              <w:numPr>
                <w:ilvl w:val="0"/>
                <w:numId w:val="25"/>
              </w:numPr>
              <w:spacing w:after="0"/>
              <w:rPr>
                <w:sz w:val="18"/>
              </w:rPr>
            </w:pPr>
            <w:r w:rsidRPr="00B20B3D">
              <w:rPr>
                <w:sz w:val="18"/>
              </w:rPr>
              <w:t>Calculated as percentage of recoverable costs</w:t>
            </w:r>
          </w:p>
        </w:tc>
      </w:tr>
    </w:tbl>
    <w:p w:rsidR="00073758" w:rsidRDefault="00073758" w:rsidP="00073758">
      <w:pPr>
        <w:pStyle w:val="EBNumber"/>
        <w:numPr>
          <w:ilvl w:val="0"/>
          <w:numId w:val="0"/>
        </w:numPr>
      </w:pPr>
    </w:p>
    <w:p w:rsidR="00073758" w:rsidRDefault="00073758" w:rsidP="00073758">
      <w:pPr>
        <w:pStyle w:val="EBNumber"/>
        <w:numPr>
          <w:ilvl w:val="1"/>
          <w:numId w:val="11"/>
        </w:numPr>
      </w:pPr>
      <w:r>
        <w:t xml:space="preserve">Following the introduction of </w:t>
      </w:r>
      <w:r w:rsidR="003757D5">
        <w:t xml:space="preserve">the </w:t>
      </w:r>
      <w:r>
        <w:t xml:space="preserve">CQC’s new approach to inspections in 2014/15, Grant in Aid Funding from the Department has increased by £61m, causing the proportion of cost recovery through fees to fall from 77% in 2013/14 to 53% in 2014/15. </w:t>
      </w:r>
    </w:p>
    <w:p w:rsidR="00073758" w:rsidRDefault="003757D5" w:rsidP="00073758">
      <w:pPr>
        <w:pStyle w:val="Heading5"/>
      </w:pPr>
      <w:r>
        <w:t xml:space="preserve">The </w:t>
      </w:r>
      <w:r w:rsidR="00073758">
        <w:t>CQC’s current fee raising powers</w:t>
      </w:r>
    </w:p>
    <w:p w:rsidR="00073758" w:rsidRDefault="003757D5" w:rsidP="00073758">
      <w:pPr>
        <w:pStyle w:val="EBNumber"/>
        <w:numPr>
          <w:ilvl w:val="1"/>
          <w:numId w:val="11"/>
        </w:numPr>
      </w:pPr>
      <w:r>
        <w:t xml:space="preserve">The </w:t>
      </w:r>
      <w:r w:rsidR="00073758">
        <w:t xml:space="preserve">CQC’s powers to charge fees are set out in The Health and Social Care Act 2008 (the 2008 Act).  Fee setting powers extend only to its registration functions under the 2008 Act. </w:t>
      </w:r>
    </w:p>
    <w:p w:rsidR="00073758" w:rsidRDefault="00073758" w:rsidP="00073758">
      <w:pPr>
        <w:pStyle w:val="EBNumber"/>
        <w:numPr>
          <w:ilvl w:val="1"/>
          <w:numId w:val="11"/>
        </w:numPr>
      </w:pPr>
      <w:r>
        <w:t xml:space="preserve">Section 85 of the 2008 Act gives </w:t>
      </w:r>
      <w:r w:rsidR="003757D5">
        <w:t xml:space="preserve">the </w:t>
      </w:r>
      <w:r>
        <w:t xml:space="preserve">CQC the power, with the consent of the Secretary of State, to charge a fee for the registration of providers. Section 85(1)(a) states that </w:t>
      </w:r>
      <w:r w:rsidR="003757D5">
        <w:t xml:space="preserve">the </w:t>
      </w:r>
      <w:r>
        <w:t xml:space="preserve">CQC has power to charge for: </w:t>
      </w:r>
    </w:p>
    <w:p w:rsidR="00073758" w:rsidRDefault="00073758" w:rsidP="00073758">
      <w:pPr>
        <w:pStyle w:val="EBBullet"/>
        <w:numPr>
          <w:ilvl w:val="0"/>
          <w:numId w:val="15"/>
        </w:numPr>
        <w:tabs>
          <w:tab w:val="clear" w:pos="284"/>
          <w:tab w:val="num" w:pos="993"/>
        </w:tabs>
        <w:ind w:left="993"/>
      </w:pPr>
      <w:r>
        <w:t>an application for registration;</w:t>
      </w:r>
    </w:p>
    <w:p w:rsidR="00073758" w:rsidRDefault="00073758" w:rsidP="00073758">
      <w:pPr>
        <w:pStyle w:val="EBBullet"/>
        <w:numPr>
          <w:ilvl w:val="0"/>
          <w:numId w:val="15"/>
        </w:numPr>
        <w:tabs>
          <w:tab w:val="clear" w:pos="284"/>
          <w:tab w:val="num" w:pos="993"/>
        </w:tabs>
        <w:ind w:left="993"/>
      </w:pPr>
      <w:r>
        <w:t xml:space="preserve">the grant or subsistence of such registration; and </w:t>
      </w:r>
    </w:p>
    <w:p w:rsidR="00073758" w:rsidRDefault="00073758" w:rsidP="00073758">
      <w:pPr>
        <w:pStyle w:val="EBBullet"/>
        <w:numPr>
          <w:ilvl w:val="0"/>
          <w:numId w:val="15"/>
        </w:numPr>
        <w:tabs>
          <w:tab w:val="clear" w:pos="284"/>
          <w:tab w:val="num" w:pos="993"/>
        </w:tabs>
        <w:ind w:left="993"/>
      </w:pPr>
      <w:r>
        <w:t>a</w:t>
      </w:r>
      <w:r w:rsidR="00E35F59">
        <w:t>n</w:t>
      </w:r>
      <w:r>
        <w:t xml:space="preserve"> application to vary the terms of registration.</w:t>
      </w:r>
    </w:p>
    <w:p w:rsidR="00073758" w:rsidRDefault="00073758" w:rsidP="00073758">
      <w:pPr>
        <w:pStyle w:val="EBNumber"/>
        <w:numPr>
          <w:ilvl w:val="1"/>
          <w:numId w:val="11"/>
        </w:numPr>
      </w:pPr>
      <w:r>
        <w:t xml:space="preserve">However, as discussed above, </w:t>
      </w:r>
      <w:r w:rsidR="003757D5">
        <w:t xml:space="preserve">the </w:t>
      </w:r>
      <w:r>
        <w:t>CQC have recently made changes to its inspection process to introduce a much more comprehensive set of inspections which seek to provide a more robust judgement of the quality of care provided and to support</w:t>
      </w:r>
      <w:r w:rsidR="003757D5">
        <w:t xml:space="preserve"> the</w:t>
      </w:r>
      <w:r>
        <w:t xml:space="preserve"> CQC’s new duty to rate providers. The Department has received l</w:t>
      </w:r>
      <w:r w:rsidRPr="00AE4410">
        <w:t xml:space="preserve">egal advice that </w:t>
      </w:r>
      <w:r w:rsidR="003757D5">
        <w:t xml:space="preserve">the </w:t>
      </w:r>
      <w:r w:rsidRPr="00AE4410">
        <w:t xml:space="preserve">CQC’s powers in relation to its new type of </w:t>
      </w:r>
      <w:r w:rsidRPr="00AE4410">
        <w:lastRenderedPageBreak/>
        <w:t xml:space="preserve">comprehensive inspections and ratings </w:t>
      </w:r>
      <w:r w:rsidR="00804F66">
        <w:t>may</w:t>
      </w:r>
      <w:r w:rsidRPr="00AE4410">
        <w:t xml:space="preserve"> </w:t>
      </w:r>
      <w:r w:rsidRPr="00EF4A85">
        <w:rPr>
          <w:b/>
        </w:rPr>
        <w:t>not</w:t>
      </w:r>
      <w:r w:rsidRPr="00AE4410">
        <w:t xml:space="preserve"> </w:t>
      </w:r>
      <w:r w:rsidR="00804F66">
        <w:t xml:space="preserve">be </w:t>
      </w:r>
      <w:r w:rsidRPr="00AE4410">
        <w:t>covered by the powers to charge under section 85(1)(a) of the H</w:t>
      </w:r>
      <w:r>
        <w:t>ealth and Social Care Act 2008</w:t>
      </w:r>
      <w:r w:rsidRPr="00AE4410">
        <w:t>. </w:t>
      </w:r>
    </w:p>
    <w:p w:rsidR="00073758" w:rsidRDefault="00073758" w:rsidP="00073758">
      <w:pPr>
        <w:pStyle w:val="EBNumber"/>
        <w:numPr>
          <w:ilvl w:val="1"/>
          <w:numId w:val="11"/>
        </w:numPr>
      </w:pPr>
      <w:r>
        <w:t xml:space="preserve">The current power for </w:t>
      </w:r>
      <w:r w:rsidR="003757D5">
        <w:t xml:space="preserve">the </w:t>
      </w:r>
      <w:r>
        <w:t>CQC to charge a fee relates to the registration of providers and therefore inspection against the registration requirements. It is arguable that this fee charging power</w:t>
      </w:r>
      <w:r w:rsidR="0012176B">
        <w:t xml:space="preserve"> </w:t>
      </w:r>
      <w:r w:rsidR="00804F66">
        <w:t xml:space="preserve">may </w:t>
      </w:r>
      <w:r>
        <w:t xml:space="preserve"> not apply to the new model of comprehensive inspections since these inspections look beyond whether a provider is complying with the registration requirements.</w:t>
      </w:r>
    </w:p>
    <w:p w:rsidR="00073758" w:rsidRDefault="00073758" w:rsidP="00073758">
      <w:pPr>
        <w:pStyle w:val="EBNumber"/>
        <w:numPr>
          <w:ilvl w:val="1"/>
          <w:numId w:val="11"/>
        </w:numPr>
      </w:pPr>
      <w:r>
        <w:t xml:space="preserve">The Department proposes to make regulations to clarify that comprehensive inspections are within scope of </w:t>
      </w:r>
      <w:r w:rsidR="003757D5">
        <w:t xml:space="preserve">the </w:t>
      </w:r>
      <w:r>
        <w:t xml:space="preserve">CQC’s fee raising powers. This would be done through a regulation that enables </w:t>
      </w:r>
      <w:r w:rsidR="003757D5">
        <w:t xml:space="preserve">the </w:t>
      </w:r>
      <w:r>
        <w:t>CQC to charge a fee for reviews and performance assessments under section 46 of the 2008 Act.</w:t>
      </w:r>
      <w:r w:rsidRPr="00AE4410">
        <w:t> </w:t>
      </w:r>
    </w:p>
    <w:p w:rsidR="00073758" w:rsidRPr="00AE4410" w:rsidRDefault="00073758" w:rsidP="00073758">
      <w:pPr>
        <w:pStyle w:val="EBNumber"/>
        <w:numPr>
          <w:ilvl w:val="1"/>
          <w:numId w:val="11"/>
        </w:numPr>
      </w:pPr>
      <w:r w:rsidRPr="00AE4410">
        <w:t xml:space="preserve">Without such regulations, </w:t>
      </w:r>
      <w:r w:rsidR="003757D5">
        <w:t xml:space="preserve">the </w:t>
      </w:r>
      <w:r w:rsidRPr="00AE4410">
        <w:t xml:space="preserve">CQC would need to distinguish between its costs relating to registration and its costs relating to ratings, and ensure that the fees only applied to registration functions.  This would require the Department to continue providing grant-in-aid for some parts of </w:t>
      </w:r>
      <w:r w:rsidR="003757D5">
        <w:t xml:space="preserve">the </w:t>
      </w:r>
      <w:r w:rsidRPr="00AE4410">
        <w:t xml:space="preserve">CQC’s inspection costs. </w:t>
      </w:r>
    </w:p>
    <w:p w:rsidR="00073758" w:rsidRDefault="00073758" w:rsidP="00073758">
      <w:pPr>
        <w:pStyle w:val="EBNumber"/>
        <w:numPr>
          <w:ilvl w:val="1"/>
          <w:numId w:val="11"/>
        </w:numPr>
      </w:pPr>
      <w:r>
        <w:t xml:space="preserve">As the inspection process is not linear, it would be very difficult for </w:t>
      </w:r>
      <w:r w:rsidR="003757D5">
        <w:t xml:space="preserve">the </w:t>
      </w:r>
      <w:r>
        <w:t>CQC to separate out its inspection costs associated with registration and assessing compliance against those related to providing a more rounded and comprehensive judgement of the quality of care provided, and generating a rating for the provider. Much of the evidence required to make a rounded judgement about the quality of care and generate the performance rating will be the same evidence required to make a judgement of compliance with the regulatory standards. Similarly, the move towards more specialist inspection teams improves both the effectiveness of</w:t>
      </w:r>
      <w:r w:rsidR="003757D5">
        <w:t xml:space="preserve"> the</w:t>
      </w:r>
      <w:r>
        <w:t xml:space="preserve"> CQC’s judgements about a provider’s compliance as well as their overall performance. </w:t>
      </w:r>
    </w:p>
    <w:p w:rsidR="00073758" w:rsidRDefault="00073758" w:rsidP="00073758">
      <w:pPr>
        <w:pStyle w:val="EBNumber"/>
        <w:numPr>
          <w:ilvl w:val="1"/>
          <w:numId w:val="11"/>
        </w:numPr>
      </w:pPr>
      <w:r>
        <w:t xml:space="preserve">This practical difficulty in apportioning costs may create the risk of further legal challenge for </w:t>
      </w:r>
      <w:r w:rsidR="003757D5">
        <w:t xml:space="preserve">the </w:t>
      </w:r>
      <w:r>
        <w:t xml:space="preserve">CQC which could impact on their ability to move towards full cost recovery even on the areas they already have powers to charge for. There is a potential risk that providers would seek to oppose any future fee increase on the basis that </w:t>
      </w:r>
      <w:r w:rsidR="003757D5">
        <w:t xml:space="preserve">the </w:t>
      </w:r>
      <w:r>
        <w:t>CQC do not have the legal power to charge for it.</w:t>
      </w:r>
    </w:p>
    <w:p w:rsidR="00073758" w:rsidRDefault="00073758" w:rsidP="00073758">
      <w:pPr>
        <w:pStyle w:val="EBNumber"/>
        <w:numPr>
          <w:ilvl w:val="1"/>
          <w:numId w:val="11"/>
        </w:numPr>
      </w:pPr>
      <w:r>
        <w:t xml:space="preserve">Government intervention is required to grant </w:t>
      </w:r>
      <w:r w:rsidR="003757D5">
        <w:t xml:space="preserve">the </w:t>
      </w:r>
      <w:r>
        <w:t>CQC powers to charge a fee in relation to all aspects of their inspection process.</w:t>
      </w:r>
    </w:p>
    <w:p w:rsidR="00073758" w:rsidRPr="00F006F4" w:rsidRDefault="00073758" w:rsidP="00073758">
      <w:pPr>
        <w:pStyle w:val="Heading3"/>
      </w:pPr>
      <w:r w:rsidRPr="00F006F4">
        <w:t>Section B: Policy objectives and intended effects</w:t>
      </w:r>
    </w:p>
    <w:p w:rsidR="00073758" w:rsidRDefault="00073758" w:rsidP="00073758">
      <w:pPr>
        <w:pStyle w:val="EBNumber"/>
        <w:numPr>
          <w:ilvl w:val="1"/>
          <w:numId w:val="11"/>
        </w:numPr>
      </w:pPr>
      <w:r>
        <w:t xml:space="preserve">The ultimate policy objective is to ensure that the CQC has the funding it requires to carry out its prescribed duties and that it acts as a responsible and efficient organisation, in accordance with the principles outlined in the HM Treasury Managing Public Money guidance. </w:t>
      </w:r>
    </w:p>
    <w:p w:rsidR="00073758" w:rsidRDefault="00073758" w:rsidP="00073758">
      <w:pPr>
        <w:pStyle w:val="EBNumber"/>
        <w:numPr>
          <w:ilvl w:val="1"/>
          <w:numId w:val="11"/>
        </w:numPr>
      </w:pPr>
      <w:r>
        <w:t xml:space="preserve">Specifically, the aim of this particular policy is to enable </w:t>
      </w:r>
      <w:r w:rsidR="003757D5">
        <w:t xml:space="preserve">the </w:t>
      </w:r>
      <w:r>
        <w:t xml:space="preserve">CQC to move to a position of full cost recovery through its fees (in accordance of Chapter 6 of Managing Public Money) by granting the CQC with fee raising powers over all aspects of their inspection process. This will ensure that </w:t>
      </w:r>
      <w:r w:rsidR="003757D5">
        <w:t xml:space="preserve">the </w:t>
      </w:r>
      <w:r>
        <w:t>CQC fees reflect the full cost of regulating quality in the health and adult social care sectors.</w:t>
      </w:r>
    </w:p>
    <w:p w:rsidR="00073758" w:rsidRPr="00F006F4" w:rsidRDefault="00073758" w:rsidP="00073758">
      <w:pPr>
        <w:pStyle w:val="Heading3"/>
      </w:pPr>
      <w:r>
        <w:t xml:space="preserve">  </w:t>
      </w:r>
      <w:r w:rsidRPr="00F006F4">
        <w:t>Section C: Description of the options</w:t>
      </w:r>
    </w:p>
    <w:p w:rsidR="00073758" w:rsidRDefault="00073758" w:rsidP="00073758">
      <w:pPr>
        <w:pStyle w:val="Heading5"/>
      </w:pPr>
      <w:r>
        <w:t>Option 1: Do nothing</w:t>
      </w:r>
    </w:p>
    <w:p w:rsidR="00073758" w:rsidRDefault="00073758" w:rsidP="00073758">
      <w:pPr>
        <w:pStyle w:val="EBNumber"/>
        <w:numPr>
          <w:ilvl w:val="1"/>
          <w:numId w:val="11"/>
        </w:numPr>
      </w:pPr>
      <w:r>
        <w:t xml:space="preserve">Under this option </w:t>
      </w:r>
      <w:r w:rsidR="003757D5">
        <w:t xml:space="preserve">the </w:t>
      </w:r>
      <w:r>
        <w:t xml:space="preserve">CQC's fee raising powers would only cover inspection costs directly related to assessing compliance with the registration requirements. As discussed above, this would mean that the CQC would need to </w:t>
      </w:r>
      <w:r w:rsidRPr="00AE4410">
        <w:t xml:space="preserve">distinguish between its costs relating to registration and its costs relating to ratings, and ensure that the fees only applied to registration functions.  This would require the Department to continue providing grant-in-aid for some </w:t>
      </w:r>
      <w:r>
        <w:t xml:space="preserve">parts of </w:t>
      </w:r>
      <w:r w:rsidR="003757D5">
        <w:t xml:space="preserve">the </w:t>
      </w:r>
      <w:r>
        <w:t xml:space="preserve">CQC’s inspection costs. There remains a risk of legal challenge on the basis of how </w:t>
      </w:r>
      <w:r w:rsidR="003757D5">
        <w:t xml:space="preserve">the </w:t>
      </w:r>
      <w:r>
        <w:t>CQC apportion these costs, which may serve to hinder their ability to move to full cost recovery even on those elements of inspections they already have the power to charge for.</w:t>
      </w:r>
    </w:p>
    <w:p w:rsidR="00073758" w:rsidRDefault="00073758" w:rsidP="00073758">
      <w:pPr>
        <w:pStyle w:val="Heading5"/>
      </w:pPr>
      <w:r>
        <w:t xml:space="preserve">Option 2: amend the regulations to allow </w:t>
      </w:r>
      <w:r w:rsidR="003757D5">
        <w:t xml:space="preserve">the </w:t>
      </w:r>
      <w:r>
        <w:t>CQC to charge for all aspects of its inspection process</w:t>
      </w:r>
    </w:p>
    <w:p w:rsidR="00073758" w:rsidRPr="00A31A67" w:rsidRDefault="00073758" w:rsidP="00073758">
      <w:pPr>
        <w:pStyle w:val="EBNumber"/>
        <w:numPr>
          <w:ilvl w:val="1"/>
          <w:numId w:val="11"/>
        </w:numPr>
      </w:pPr>
      <w:r>
        <w:t xml:space="preserve">Section 46 of the 2008 Act places a duty on </w:t>
      </w:r>
      <w:r w:rsidR="003757D5">
        <w:t xml:space="preserve">the </w:t>
      </w:r>
      <w:r>
        <w:t xml:space="preserve">CQC to carry out reviews and performance assessments of providers and services that are set out in regulations. </w:t>
      </w:r>
      <w:r w:rsidRPr="00A31A67">
        <w:t xml:space="preserve">However, since </w:t>
      </w:r>
      <w:r>
        <w:t xml:space="preserve">such </w:t>
      </w:r>
      <w:r w:rsidRPr="00A31A67">
        <w:t xml:space="preserve">inspections look beyond compliance with registration requirements, </w:t>
      </w:r>
      <w:r>
        <w:t>some components of</w:t>
      </w:r>
      <w:r w:rsidR="003757D5">
        <w:t xml:space="preserve"> the</w:t>
      </w:r>
      <w:r>
        <w:t xml:space="preserve"> CQC’s </w:t>
      </w:r>
      <w:r>
        <w:lastRenderedPageBreak/>
        <w:t>comprehensive</w:t>
      </w:r>
      <w:r w:rsidRPr="00A31A67">
        <w:t xml:space="preserve"> inspection</w:t>
      </w:r>
      <w:r>
        <w:t>s</w:t>
      </w:r>
      <w:r w:rsidRPr="00A31A67">
        <w:t xml:space="preserve"> </w:t>
      </w:r>
      <w:r>
        <w:t>may</w:t>
      </w:r>
      <w:r w:rsidRPr="00A31A67">
        <w:t xml:space="preserve"> not</w:t>
      </w:r>
      <w:r>
        <w:t xml:space="preserve"> be</w:t>
      </w:r>
      <w:r w:rsidRPr="00A31A67">
        <w:t xml:space="preserve"> covered by the fee</w:t>
      </w:r>
      <w:r>
        <w:t xml:space="preserve"> </w:t>
      </w:r>
      <w:r w:rsidRPr="00A31A67">
        <w:t xml:space="preserve">raising power. </w:t>
      </w:r>
      <w:r>
        <w:t xml:space="preserve">The Department propose to make regulations which will bring the comprehensive inspections within scope of </w:t>
      </w:r>
      <w:r w:rsidR="003757D5">
        <w:t xml:space="preserve">the </w:t>
      </w:r>
      <w:r>
        <w:t xml:space="preserve">CQC’s fee raising powers. This would be achieved through a new regulation that enables </w:t>
      </w:r>
      <w:r w:rsidR="003757D5">
        <w:t xml:space="preserve">the </w:t>
      </w:r>
      <w:r>
        <w:t xml:space="preserve">CQC to charge a fee for reviews and performance assessments under Chapter 3, section 46 of the 2008 Act. </w:t>
      </w:r>
    </w:p>
    <w:p w:rsidR="00073758" w:rsidRDefault="00073758" w:rsidP="00073758">
      <w:pPr>
        <w:pStyle w:val="EBNumber"/>
        <w:numPr>
          <w:ilvl w:val="1"/>
          <w:numId w:val="11"/>
        </w:numPr>
      </w:pPr>
      <w:r>
        <w:t>This proposal is not about extending the remit of</w:t>
      </w:r>
      <w:r w:rsidR="003757D5">
        <w:t xml:space="preserve"> the</w:t>
      </w:r>
      <w:r>
        <w:t xml:space="preserve"> CQC’s activity or about extending the scope of reviews of performance assessments to additional providers or services. It is purely about giving </w:t>
      </w:r>
      <w:r w:rsidR="003757D5">
        <w:t xml:space="preserve">the </w:t>
      </w:r>
      <w:r>
        <w:t>CQC a power to charge a fee for such reviews and performance assessments</w:t>
      </w:r>
      <w:r>
        <w:rPr>
          <w:lang w:eastAsia="en-US"/>
        </w:rPr>
        <w:t>.</w:t>
      </w:r>
    </w:p>
    <w:p w:rsidR="00073758" w:rsidRDefault="00073758" w:rsidP="00073758">
      <w:pPr>
        <w:pStyle w:val="EBNumber"/>
        <w:numPr>
          <w:ilvl w:val="1"/>
          <w:numId w:val="11"/>
        </w:numPr>
      </w:pPr>
      <w:r>
        <w:t xml:space="preserve">Whilst this proposed regulation would give </w:t>
      </w:r>
      <w:r w:rsidR="003757D5">
        <w:t xml:space="preserve">the </w:t>
      </w:r>
      <w:r>
        <w:t xml:space="preserve">CQC the power to charge a fee over all aspects of its inspection process, it will not prescribe any particular trajectory for changes to fees or the move towards full cost recovery. The proposed regulation would be an enabling power to allow </w:t>
      </w:r>
      <w:r w:rsidR="003757D5">
        <w:t xml:space="preserve">the </w:t>
      </w:r>
      <w:r>
        <w:t xml:space="preserve">CQC to charge a fee in respect of its comprehensive inspection and ratings process. It will remain up to </w:t>
      </w:r>
      <w:r w:rsidR="003757D5">
        <w:t xml:space="preserve">the </w:t>
      </w:r>
      <w:r>
        <w:t xml:space="preserve">CQC in conjunction with DH and HM Treasury to determine </w:t>
      </w:r>
      <w:r w:rsidR="003757D5">
        <w:t xml:space="preserve">the </w:t>
      </w:r>
      <w:r>
        <w:t xml:space="preserve">CQC’s annual fee level. </w:t>
      </w:r>
      <w:r w:rsidRPr="007C005A">
        <w:t xml:space="preserve">All proposed fee increases </w:t>
      </w:r>
      <w:r>
        <w:t>will continue to be subject to a public</w:t>
      </w:r>
      <w:r w:rsidRPr="007C005A">
        <w:t xml:space="preserve"> consultation, Managing Public Money requirements, and </w:t>
      </w:r>
      <w:r>
        <w:t>the agreement of</w:t>
      </w:r>
      <w:r w:rsidRPr="007C005A">
        <w:t xml:space="preserve"> the Secretary of State.</w:t>
      </w:r>
      <w:r>
        <w:t xml:space="preserve"> </w:t>
      </w:r>
      <w:r w:rsidR="003757D5">
        <w:t xml:space="preserve">The </w:t>
      </w:r>
      <w:r>
        <w:t xml:space="preserve">CQC are considering a number of options for the proposed fee trajectory, the implications of which are examined further in Section D of this Impact Assessment. </w:t>
      </w:r>
    </w:p>
    <w:p w:rsidR="00073758" w:rsidRDefault="00073758" w:rsidP="00073758">
      <w:pPr>
        <w:pStyle w:val="Heading5"/>
      </w:pPr>
      <w:r>
        <w:t>Alternatives to Regulation and Other Options</w:t>
      </w:r>
    </w:p>
    <w:p w:rsidR="00073758" w:rsidRDefault="00073758" w:rsidP="00073758">
      <w:pPr>
        <w:pStyle w:val="EBNumber"/>
        <w:numPr>
          <w:ilvl w:val="1"/>
          <w:numId w:val="11"/>
        </w:numPr>
      </w:pPr>
      <w:r>
        <w:t xml:space="preserve">The policy objective is to close a gap in </w:t>
      </w:r>
      <w:r w:rsidR="003757D5">
        <w:t xml:space="preserve">the </w:t>
      </w:r>
      <w:r>
        <w:t>CQC’s fee raising powers to allow them to charge a fee in relation to all aspects of its inspection process. As regulation is the only way that this legislative gap can be closed, no alternatives to regulation were considered.</w:t>
      </w:r>
    </w:p>
    <w:p w:rsidR="00073758" w:rsidRDefault="00073758" w:rsidP="00073758">
      <w:pPr>
        <w:pStyle w:val="EBNumber"/>
        <w:numPr>
          <w:ilvl w:val="1"/>
          <w:numId w:val="11"/>
        </w:numPr>
      </w:pPr>
      <w:r>
        <w:t xml:space="preserve">As previously discussed, the only alternative option would be </w:t>
      </w:r>
      <w:r w:rsidR="003757D5">
        <w:t xml:space="preserve">for the </w:t>
      </w:r>
      <w:r>
        <w:t xml:space="preserve">CQC to distinguish between its </w:t>
      </w:r>
      <w:r w:rsidRPr="00AE4410">
        <w:t>costs relating to registration and its costs relating to inspection ratings, and ensure that the fees only applied to registration functions</w:t>
      </w:r>
      <w:r>
        <w:t xml:space="preserve"> – something that would be very difficult in practice to achieve</w:t>
      </w:r>
      <w:r w:rsidRPr="00AE4410">
        <w:t xml:space="preserve">.  This would require the Department to continue providing grant-in-aid for some </w:t>
      </w:r>
      <w:r>
        <w:t xml:space="preserve">parts of </w:t>
      </w:r>
      <w:r w:rsidR="003757D5">
        <w:t xml:space="preserve">the </w:t>
      </w:r>
      <w:r>
        <w:t>CQC’s inspection costs. There remains a risk of legal challenge on the basis of how</w:t>
      </w:r>
      <w:r w:rsidR="003757D5">
        <w:t xml:space="preserve"> the</w:t>
      </w:r>
      <w:r>
        <w:t xml:space="preserve"> CQC apportion these costs, which may serve to hinder their ability to move to full cost recovery even on those elements of inspections they already have the power to charge for.</w:t>
      </w:r>
    </w:p>
    <w:p w:rsidR="00073758" w:rsidRDefault="00073758" w:rsidP="00073758">
      <w:pPr>
        <w:pStyle w:val="Heading3"/>
      </w:pPr>
      <w:r w:rsidRPr="00F006F4">
        <w:t>Section D: Costs and benefits assessment of the options (including specific impacts)</w:t>
      </w:r>
    </w:p>
    <w:p w:rsidR="00073758" w:rsidRDefault="008D6D38" w:rsidP="00073758">
      <w:pPr>
        <w:pStyle w:val="Heading5"/>
      </w:pPr>
      <w:r>
        <w:t>P</w:t>
      </w:r>
      <w:r w:rsidR="00073758">
        <w:t xml:space="preserve">roposed fee trajectory </w:t>
      </w:r>
    </w:p>
    <w:p w:rsidR="00073758" w:rsidRDefault="00073758" w:rsidP="00073758">
      <w:pPr>
        <w:pStyle w:val="EBNumber"/>
        <w:numPr>
          <w:ilvl w:val="1"/>
          <w:numId w:val="11"/>
        </w:numPr>
      </w:pPr>
      <w:r>
        <w:t xml:space="preserve">The main costs associated with the proposal would be the increased fees providers would need to pay. As </w:t>
      </w:r>
      <w:r w:rsidR="003757D5">
        <w:t xml:space="preserve">the </w:t>
      </w:r>
      <w:r>
        <w:t xml:space="preserve">CQC already charge fees to all their registered providers, we do not anticipate that there would be any additional administrative costs associated with the changes in fee levels. </w:t>
      </w:r>
    </w:p>
    <w:p w:rsidR="00073758" w:rsidRDefault="00073758" w:rsidP="00073758">
      <w:pPr>
        <w:pStyle w:val="EBNumber"/>
        <w:numPr>
          <w:ilvl w:val="1"/>
          <w:numId w:val="11"/>
        </w:numPr>
      </w:pPr>
      <w:r>
        <w:t xml:space="preserve">As previously discussed, the proposed regulation would simply allow </w:t>
      </w:r>
      <w:r w:rsidR="003757D5">
        <w:t xml:space="preserve">the </w:t>
      </w:r>
      <w:r>
        <w:t xml:space="preserve">CQC to charge a fee in relation to all of its inspection </w:t>
      </w:r>
      <w:r w:rsidRPr="000253E6">
        <w:t>process, but it would be up to</w:t>
      </w:r>
      <w:r w:rsidR="003757D5">
        <w:t xml:space="preserve"> the</w:t>
      </w:r>
      <w:r w:rsidRPr="000253E6">
        <w:t xml:space="preserve"> CQC to determine the level of future fees. There is a set process by which </w:t>
      </w:r>
      <w:r w:rsidR="003757D5">
        <w:t xml:space="preserve">the </w:t>
      </w:r>
      <w:r w:rsidRPr="000253E6">
        <w:t xml:space="preserve">CQC sets its fees, which has been in place for several years and would remain unchanged. </w:t>
      </w:r>
      <w:r w:rsidR="000B200A" w:rsidRPr="000253E6">
        <w:t xml:space="preserve">The CQC </w:t>
      </w:r>
      <w:r w:rsidR="000B200A">
        <w:t xml:space="preserve">completed </w:t>
      </w:r>
      <w:r w:rsidR="00C07983">
        <w:t>its</w:t>
      </w:r>
      <w:r w:rsidR="000B200A">
        <w:t xml:space="preserve"> consultation </w:t>
      </w:r>
      <w:r w:rsidR="000B200A" w:rsidRPr="000253E6">
        <w:t xml:space="preserve">on proposals for its 2016-17 fee structure </w:t>
      </w:r>
      <w:r w:rsidR="000B200A">
        <w:t>on 15 January</w:t>
      </w:r>
      <w:r w:rsidR="000B200A" w:rsidRPr="000253E6">
        <w:t xml:space="preserve"> 201</w:t>
      </w:r>
      <w:r w:rsidR="000B200A">
        <w:t>6</w:t>
      </w:r>
      <w:r w:rsidR="00431142">
        <w:rPr>
          <w:rStyle w:val="FootnoteReference"/>
        </w:rPr>
        <w:footnoteReference w:id="5"/>
      </w:r>
      <w:r w:rsidRPr="000253E6">
        <w:t>. Following consultation,</w:t>
      </w:r>
      <w:r w:rsidR="003757D5">
        <w:t xml:space="preserve"> the</w:t>
      </w:r>
      <w:r w:rsidRPr="000253E6">
        <w:t xml:space="preserve"> CQC’s Board will make a recommendation to the Secretary of State for his decision. The fees scheme will come into effect on 1 April 2016, subject to that decision. As such, </w:t>
      </w:r>
      <w:r>
        <w:t xml:space="preserve">the information presented below represents </w:t>
      </w:r>
      <w:r w:rsidR="00272314">
        <w:t>an</w:t>
      </w:r>
      <w:r>
        <w:t xml:space="preserve"> estimate of</w:t>
      </w:r>
      <w:r w:rsidR="00272314">
        <w:t xml:space="preserve"> what</w:t>
      </w:r>
      <w:r>
        <w:t xml:space="preserve"> the trajectory to full cost recovery </w:t>
      </w:r>
      <w:r w:rsidR="00272314">
        <w:t>may look like</w:t>
      </w:r>
      <w:r>
        <w:t>, and we recognise that the final agreed position may differ to this.</w:t>
      </w:r>
    </w:p>
    <w:p w:rsidR="00272314" w:rsidRDefault="007F674E" w:rsidP="007F674E">
      <w:pPr>
        <w:pStyle w:val="EBNumber"/>
        <w:numPr>
          <w:ilvl w:val="1"/>
          <w:numId w:val="11"/>
        </w:numPr>
        <w:spacing w:before="240"/>
      </w:pPr>
      <w:r>
        <w:t xml:space="preserve">Within </w:t>
      </w:r>
      <w:r w:rsidR="00B5444D">
        <w:t>its</w:t>
      </w:r>
      <w:r>
        <w:t xml:space="preserve"> consultation,</w:t>
      </w:r>
      <w:r w:rsidR="003757D5">
        <w:t xml:space="preserve"> the</w:t>
      </w:r>
      <w:r>
        <w:t xml:space="preserve"> </w:t>
      </w:r>
      <w:r w:rsidR="00073758">
        <w:t xml:space="preserve">CQC </w:t>
      </w:r>
      <w:r>
        <w:t>consider</w:t>
      </w:r>
      <w:r w:rsidR="000B200A">
        <w:t xml:space="preserve">ed two possible options </w:t>
      </w:r>
      <w:r w:rsidR="00073758">
        <w:t>for increasing fees to reach full cost recovery</w:t>
      </w:r>
      <w:r w:rsidR="000B200A">
        <w:t xml:space="preserve"> – a two year trajectory and a four year trajectory</w:t>
      </w:r>
      <w:r w:rsidR="00073758">
        <w:t>.</w:t>
      </w:r>
      <w:r w:rsidR="00272314">
        <w:t xml:space="preserve"> At the time of writing, n</w:t>
      </w:r>
      <w:r w:rsidR="000B200A">
        <w:t>o final decision has been made on which of these options will go ahead</w:t>
      </w:r>
      <w:r w:rsidR="00272314">
        <w:t xml:space="preserve">. Although in the </w:t>
      </w:r>
      <w:r w:rsidR="00B5444D">
        <w:t xml:space="preserve">Department’s </w:t>
      </w:r>
      <w:r w:rsidR="00272314">
        <w:t xml:space="preserve">consultation stage IA, costs were modelled based on the four year trajectory, </w:t>
      </w:r>
      <w:r w:rsidR="00B5444D">
        <w:t>these are now presented</w:t>
      </w:r>
      <w:r w:rsidR="00272314">
        <w:t xml:space="preserve"> on </w:t>
      </w:r>
      <w:r w:rsidR="00B5444D">
        <w:t>a</w:t>
      </w:r>
      <w:r w:rsidR="00272314">
        <w:t xml:space="preserve"> two year trajectory. The </w:t>
      </w:r>
      <w:r w:rsidR="00B5444D">
        <w:t xml:space="preserve">two year trajectory will </w:t>
      </w:r>
      <w:r w:rsidR="00272314">
        <w:t xml:space="preserve"> generate slightly higher cost estimates, and as such, </w:t>
      </w:r>
      <w:r w:rsidR="00B5444D">
        <w:t>a</w:t>
      </w:r>
      <w:r w:rsidR="00272314">
        <w:t>re felt to provide a more prudent upper bound on our estimate of the potential costs.</w:t>
      </w:r>
      <w:r w:rsidR="000B200A">
        <w:t xml:space="preserve"> </w:t>
      </w:r>
    </w:p>
    <w:p w:rsidR="00475124" w:rsidRDefault="00073758" w:rsidP="007F674E">
      <w:pPr>
        <w:pStyle w:val="EBNumber"/>
        <w:numPr>
          <w:ilvl w:val="1"/>
          <w:numId w:val="11"/>
        </w:numPr>
        <w:spacing w:before="240"/>
      </w:pPr>
      <w:r>
        <w:lastRenderedPageBreak/>
        <w:t xml:space="preserve">Based on the </w:t>
      </w:r>
      <w:r w:rsidR="000B200A">
        <w:t>two</w:t>
      </w:r>
      <w:r w:rsidR="007F674E">
        <w:t xml:space="preserve"> year trajectory set out in the consultation, and </w:t>
      </w:r>
      <w:r>
        <w:t>assum</w:t>
      </w:r>
      <w:r w:rsidR="007F674E">
        <w:t>ing</w:t>
      </w:r>
      <w:r>
        <w:t xml:space="preserve"> that</w:t>
      </w:r>
      <w:r w:rsidR="003757D5">
        <w:t xml:space="preserve"> the</w:t>
      </w:r>
      <w:r>
        <w:t xml:space="preserve"> </w:t>
      </w:r>
      <w:r w:rsidRPr="00EF0CDE">
        <w:t>CQC</w:t>
      </w:r>
      <w:r>
        <w:t>’s</w:t>
      </w:r>
      <w:r w:rsidRPr="00EF0CDE">
        <w:t xml:space="preserve"> annual cost base remains at the 2015/16 level i</w:t>
      </w:r>
      <w:r>
        <w:t>.</w:t>
      </w:r>
      <w:r w:rsidRPr="00EF0CDE">
        <w:t>e</w:t>
      </w:r>
      <w:r>
        <w:t>.</w:t>
      </w:r>
      <w:r w:rsidRPr="00EF0CDE">
        <w:t xml:space="preserve"> approx. £2</w:t>
      </w:r>
      <w:r>
        <w:t>49.3</w:t>
      </w:r>
      <w:r w:rsidRPr="00EF0CDE">
        <w:t>m</w:t>
      </w:r>
      <w:r>
        <w:t xml:space="preserve"> (</w:t>
      </w:r>
      <w:r w:rsidR="007F674E">
        <w:t xml:space="preserve">this </w:t>
      </w:r>
      <w:r>
        <w:t>includ</w:t>
      </w:r>
      <w:r w:rsidR="007F674E">
        <w:t>es a</w:t>
      </w:r>
      <w:r>
        <w:t xml:space="preserve"> £16m draw down facility</w:t>
      </w:r>
      <w:r w:rsidR="007F674E">
        <w:t xml:space="preserve"> which is discussed below</w:t>
      </w:r>
      <w:r>
        <w:t>)</w:t>
      </w:r>
      <w:r w:rsidRPr="00EF0CDE">
        <w:t xml:space="preserve">, additional fee income of </w:t>
      </w:r>
      <w:r>
        <w:t xml:space="preserve">just </w:t>
      </w:r>
      <w:r w:rsidRPr="00EF0CDE">
        <w:t>over £1</w:t>
      </w:r>
      <w:r>
        <w:t>1</w:t>
      </w:r>
      <w:r w:rsidRPr="00EF0CDE">
        <w:t>0m is required to achieve full cost recovery</w:t>
      </w:r>
      <w:r w:rsidR="00272314">
        <w:t>,</w:t>
      </w:r>
      <w:r w:rsidR="00475124">
        <w:t xml:space="preserve"> </w:t>
      </w:r>
      <w:r w:rsidR="00272314">
        <w:t>we have estimated that the total net present cost over a 10 year period of fee increases to be approximately £902m</w:t>
      </w:r>
    </w:p>
    <w:p w:rsidR="007F674E" w:rsidRDefault="007F674E" w:rsidP="007F674E">
      <w:pPr>
        <w:pStyle w:val="EBNumber"/>
        <w:numPr>
          <w:ilvl w:val="1"/>
          <w:numId w:val="11"/>
        </w:numPr>
        <w:spacing w:before="240"/>
      </w:pPr>
      <w:r>
        <w:t>For the purpose of this Impact Assessment, the CQC budget value has included the non-recurrent £16m, as discussed in the table at paragraph 13. It is not clear at present the extent to which</w:t>
      </w:r>
      <w:r w:rsidR="003757D5">
        <w:t xml:space="preserve"> the</w:t>
      </w:r>
      <w:r>
        <w:t xml:space="preserve"> CQC will utilise the £16m draw down facility. As a prudent assumption, we have included the £16m in the modelled fee increases and so they represent the maximum possible increase. </w:t>
      </w:r>
      <w:r w:rsidR="000B200A">
        <w:t>The total fee increase required for each sector has changed slightly since the Consultation Stage IA to reflect the updated modelling conducted by the CQC.</w:t>
      </w:r>
    </w:p>
    <w:p w:rsidR="00073758" w:rsidRDefault="000B200A" w:rsidP="00073758">
      <w:pPr>
        <w:pStyle w:val="EBNumber"/>
        <w:numPr>
          <w:ilvl w:val="1"/>
          <w:numId w:val="11"/>
        </w:numPr>
        <w:spacing w:before="240"/>
      </w:pPr>
      <w:r>
        <w:t>It is important to note that these figures</w:t>
      </w:r>
      <w:r w:rsidR="00073758">
        <w:t xml:space="preserve"> do not take into account the potential for additional efficiencies to be made to</w:t>
      </w:r>
      <w:r w:rsidR="003757D5">
        <w:t xml:space="preserve"> the</w:t>
      </w:r>
      <w:r w:rsidR="00073758">
        <w:t xml:space="preserve"> CQC’s operating model, which would serve to reduce the amount required through fees.</w:t>
      </w:r>
      <w:r w:rsidR="003757D5">
        <w:t xml:space="preserve"> The </w:t>
      </w:r>
      <w:r w:rsidR="00073758">
        <w:t xml:space="preserve">CQC are currently working to determine how they will be able to build in further efficiencies and economies into its programme of work, and as a result, the current scope of these potential savings is not yet known. </w:t>
      </w:r>
    </w:p>
    <w:p w:rsidR="00073758" w:rsidRDefault="00073758" w:rsidP="00073758">
      <w:pPr>
        <w:pStyle w:val="EBNumber"/>
        <w:numPr>
          <w:ilvl w:val="1"/>
          <w:numId w:val="11"/>
        </w:numPr>
      </w:pPr>
      <w:r>
        <w:t xml:space="preserve">In addition, it is unlikely that these required fee increases to reach full cost recovery would necessarily reflect the additional cost of the proposed new fee raising power. This is because it is likely that even in the absence of the additional power, </w:t>
      </w:r>
      <w:r w:rsidR="003757D5">
        <w:t xml:space="preserve">the </w:t>
      </w:r>
      <w:r>
        <w:t xml:space="preserve">CQC would still be required to make some increases in its fee level to move towards full cost recovery in the areas it already has the power to charge fees for. It is important to note that in 13/14, prior to the introduction of </w:t>
      </w:r>
      <w:r w:rsidR="003757D5">
        <w:t xml:space="preserve">the </w:t>
      </w:r>
      <w:r>
        <w:t xml:space="preserve">CQC’s new inspection model, cost recovery through fees was still only at 77%. </w:t>
      </w:r>
    </w:p>
    <w:p w:rsidR="00073758" w:rsidRDefault="00073758" w:rsidP="00073758">
      <w:pPr>
        <w:pStyle w:val="EBNumber"/>
        <w:numPr>
          <w:ilvl w:val="1"/>
          <w:numId w:val="11"/>
        </w:numPr>
      </w:pPr>
      <w:r>
        <w:t xml:space="preserve">However, due to the difficulties discussed previously in attempting to apportion costs into those that </w:t>
      </w:r>
      <w:r w:rsidR="003757D5">
        <w:t xml:space="preserve">the </w:t>
      </w:r>
      <w:r>
        <w:t>CQC have the power to charge for and those they have not, it is not possible to estimate what the trajectory of fee increases might look like in the absence of the proposed new fee raising power. As a result, the figure</w:t>
      </w:r>
      <w:r w:rsidR="00475124">
        <w:t>s</w:t>
      </w:r>
      <w:r>
        <w:t xml:space="preserve"> presented above should be considered the </w:t>
      </w:r>
      <w:r w:rsidRPr="00C6112B">
        <w:rPr>
          <w:u w:val="single"/>
        </w:rPr>
        <w:t>upper bound</w:t>
      </w:r>
      <w:r>
        <w:t xml:space="preserve"> of the additional impact of proposed fee raising power over and above the do nothing option.</w:t>
      </w:r>
    </w:p>
    <w:p w:rsidR="00073758" w:rsidRDefault="00073758" w:rsidP="00073758">
      <w:pPr>
        <w:pStyle w:val="Heading5"/>
      </w:pPr>
      <w:r>
        <w:t>Impact on private sector and OITO status</w:t>
      </w:r>
    </w:p>
    <w:p w:rsidR="00073758" w:rsidRPr="0072429C" w:rsidRDefault="00073758" w:rsidP="00073758">
      <w:pPr>
        <w:pStyle w:val="EBNumber"/>
        <w:numPr>
          <w:ilvl w:val="1"/>
          <w:numId w:val="11"/>
        </w:numPr>
        <w:spacing w:before="240"/>
        <w:rPr>
          <w:rFonts w:eastAsia="Calibri"/>
        </w:rPr>
      </w:pPr>
      <w:r>
        <w:t xml:space="preserve">In terms of the impact of these fee rises on private and third sector organisations specifically, </w:t>
      </w:r>
      <w:r w:rsidRPr="0072429C">
        <w:rPr>
          <w:rFonts w:eastAsia="Calibri"/>
        </w:rPr>
        <w:t xml:space="preserve">we use the following assumptions about the split of public and private organisations within each sector that </w:t>
      </w:r>
      <w:r w:rsidR="003757D5">
        <w:rPr>
          <w:rFonts w:eastAsia="Calibri"/>
        </w:rPr>
        <w:t xml:space="preserve">the </w:t>
      </w:r>
      <w:r w:rsidRPr="0072429C">
        <w:rPr>
          <w:rFonts w:eastAsia="Calibri"/>
        </w:rPr>
        <w:t>CQC regulates:</w:t>
      </w:r>
    </w:p>
    <w:tbl>
      <w:tblPr>
        <w:tblW w:w="0" w:type="auto"/>
        <w:tblInd w:w="93" w:type="dxa"/>
        <w:tblLook w:val="04A0" w:firstRow="1" w:lastRow="0" w:firstColumn="1" w:lastColumn="0" w:noHBand="0" w:noVBand="1"/>
      </w:tblPr>
      <w:tblGrid>
        <w:gridCol w:w="1434"/>
        <w:gridCol w:w="1076"/>
        <w:gridCol w:w="7818"/>
      </w:tblGrid>
      <w:tr w:rsidR="00073758" w:rsidRPr="00C32466" w:rsidTr="00431142">
        <w:trPr>
          <w:trHeight w:val="315"/>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73758" w:rsidRPr="00C32466" w:rsidRDefault="00073758" w:rsidP="00431142">
            <w:pPr>
              <w:rPr>
                <w:rFonts w:ascii="Calibri" w:hAnsi="Calibri" w:cs="Calibri"/>
                <w:b/>
                <w:color w:val="000000"/>
                <w:sz w:val="22"/>
                <w:szCs w:val="22"/>
                <w:lang w:eastAsia="en-GB"/>
              </w:rPr>
            </w:pPr>
            <w:r w:rsidRPr="00C32466">
              <w:rPr>
                <w:rFonts w:ascii="Calibri" w:hAnsi="Calibri" w:cs="Calibri"/>
                <w:color w:val="000000"/>
                <w:sz w:val="22"/>
                <w:szCs w:val="22"/>
                <w:lang w:eastAsia="en-GB"/>
              </w:rPr>
              <w:t> </w:t>
            </w:r>
            <w:r w:rsidRPr="00C32466">
              <w:rPr>
                <w:rFonts w:ascii="Calibri" w:hAnsi="Calibri" w:cs="Calibri"/>
                <w:b/>
                <w:color w:val="000000"/>
                <w:sz w:val="22"/>
                <w:szCs w:val="22"/>
                <w:lang w:eastAsia="en-GB"/>
              </w:rPr>
              <w:t>Sector</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rsidR="00073758" w:rsidRPr="00C32466" w:rsidRDefault="00073758" w:rsidP="00431142">
            <w:pPr>
              <w:rPr>
                <w:rFonts w:ascii="Calibri" w:hAnsi="Calibri" w:cs="Calibri"/>
                <w:b/>
                <w:color w:val="000000"/>
                <w:sz w:val="22"/>
                <w:szCs w:val="22"/>
                <w:lang w:eastAsia="en-GB"/>
              </w:rPr>
            </w:pPr>
            <w:r w:rsidRPr="00C32466">
              <w:rPr>
                <w:rFonts w:ascii="Calibri" w:hAnsi="Calibri" w:cs="Calibri"/>
                <w:b/>
                <w:color w:val="000000"/>
                <w:sz w:val="22"/>
                <w:szCs w:val="22"/>
                <w:lang w:eastAsia="en-GB"/>
              </w:rPr>
              <w:t>% Private</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rsidR="00073758" w:rsidRPr="00C32466" w:rsidRDefault="00073758" w:rsidP="00431142">
            <w:pPr>
              <w:rPr>
                <w:rFonts w:ascii="Calibri" w:hAnsi="Calibri" w:cs="Calibri"/>
                <w:b/>
                <w:color w:val="000000"/>
                <w:sz w:val="22"/>
                <w:szCs w:val="22"/>
                <w:lang w:eastAsia="en-GB"/>
              </w:rPr>
            </w:pPr>
            <w:r w:rsidRPr="00C32466">
              <w:rPr>
                <w:rFonts w:ascii="Calibri" w:hAnsi="Calibri" w:cs="Calibri"/>
                <w:b/>
                <w:color w:val="000000"/>
                <w:sz w:val="22"/>
                <w:szCs w:val="22"/>
                <w:lang w:eastAsia="en-GB"/>
              </w:rPr>
              <w:t>Rationale</w:t>
            </w:r>
          </w:p>
        </w:tc>
      </w:tr>
      <w:tr w:rsidR="00073758" w:rsidRPr="00C32466" w:rsidTr="00431142">
        <w:trPr>
          <w:trHeight w:val="315"/>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73758" w:rsidRPr="00C32466" w:rsidRDefault="00073758" w:rsidP="00431142">
            <w:pPr>
              <w:rPr>
                <w:rFonts w:cs="Arial"/>
                <w:color w:val="000000"/>
                <w:sz w:val="20"/>
                <w:szCs w:val="20"/>
                <w:lang w:eastAsia="en-GB"/>
              </w:rPr>
            </w:pPr>
            <w:r w:rsidRPr="00C32466">
              <w:rPr>
                <w:rFonts w:cs="Arial"/>
                <w:color w:val="000000"/>
                <w:sz w:val="20"/>
                <w:szCs w:val="22"/>
                <w:lang w:eastAsia="en-GB"/>
              </w:rPr>
              <w:t>NHS Trusts</w:t>
            </w:r>
          </w:p>
        </w:tc>
        <w:tc>
          <w:tcPr>
            <w:tcW w:w="0" w:type="auto"/>
            <w:tcBorders>
              <w:top w:val="nil"/>
              <w:left w:val="nil"/>
              <w:bottom w:val="single" w:sz="8" w:space="0" w:color="auto"/>
              <w:right w:val="single" w:sz="8" w:space="0" w:color="auto"/>
            </w:tcBorders>
            <w:shd w:val="clear" w:color="auto" w:fill="auto"/>
            <w:noWrap/>
            <w:vAlign w:val="center"/>
            <w:hideMark/>
          </w:tcPr>
          <w:p w:rsidR="00073758" w:rsidRPr="00C32466" w:rsidRDefault="00073758" w:rsidP="00431142">
            <w:pPr>
              <w:jc w:val="right"/>
              <w:rPr>
                <w:rFonts w:ascii="Calibri" w:hAnsi="Calibri" w:cs="Calibri"/>
                <w:color w:val="000000"/>
                <w:sz w:val="22"/>
                <w:szCs w:val="22"/>
                <w:lang w:eastAsia="en-GB"/>
              </w:rPr>
            </w:pPr>
            <w:r w:rsidRPr="00C32466">
              <w:rPr>
                <w:rFonts w:ascii="Calibri" w:hAnsi="Calibri" w:cs="Calibri"/>
                <w:color w:val="000000"/>
                <w:sz w:val="22"/>
                <w:szCs w:val="22"/>
                <w:lang w:eastAsia="en-GB"/>
              </w:rPr>
              <w:t>0%</w:t>
            </w:r>
          </w:p>
        </w:tc>
        <w:tc>
          <w:tcPr>
            <w:tcW w:w="0" w:type="auto"/>
            <w:tcBorders>
              <w:top w:val="nil"/>
              <w:left w:val="nil"/>
              <w:bottom w:val="single" w:sz="8" w:space="0" w:color="auto"/>
              <w:right w:val="single" w:sz="8" w:space="0" w:color="auto"/>
            </w:tcBorders>
            <w:shd w:val="clear" w:color="auto" w:fill="auto"/>
            <w:vAlign w:val="center"/>
            <w:hideMark/>
          </w:tcPr>
          <w:p w:rsidR="00073758" w:rsidRPr="000A2C16" w:rsidRDefault="00073758" w:rsidP="00431142">
            <w:pPr>
              <w:rPr>
                <w:rFonts w:cs="Arial"/>
                <w:color w:val="000000"/>
                <w:sz w:val="20"/>
                <w:szCs w:val="20"/>
                <w:lang w:eastAsia="en-GB"/>
              </w:rPr>
            </w:pPr>
            <w:r w:rsidRPr="000A2C16">
              <w:rPr>
                <w:rFonts w:cs="Arial"/>
                <w:color w:val="000000"/>
                <w:sz w:val="20"/>
                <w:szCs w:val="22"/>
                <w:lang w:eastAsia="en-GB"/>
              </w:rPr>
              <w:t>Entirely funded and operated by the NHS</w:t>
            </w:r>
          </w:p>
        </w:tc>
      </w:tr>
      <w:tr w:rsidR="00073758" w:rsidRPr="00C32466" w:rsidTr="00431142">
        <w:trPr>
          <w:trHeight w:val="315"/>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73758" w:rsidRPr="00C32466" w:rsidRDefault="00073758" w:rsidP="00431142">
            <w:pPr>
              <w:rPr>
                <w:rFonts w:cs="Arial"/>
                <w:color w:val="000000"/>
                <w:sz w:val="20"/>
                <w:szCs w:val="20"/>
                <w:lang w:eastAsia="en-GB"/>
              </w:rPr>
            </w:pPr>
            <w:r w:rsidRPr="00C32466">
              <w:rPr>
                <w:rFonts w:cs="Arial"/>
                <w:color w:val="000000"/>
                <w:sz w:val="20"/>
                <w:szCs w:val="22"/>
                <w:lang w:eastAsia="en-GB"/>
              </w:rPr>
              <w:t>IHC – Hospitals</w:t>
            </w:r>
          </w:p>
        </w:tc>
        <w:tc>
          <w:tcPr>
            <w:tcW w:w="0" w:type="auto"/>
            <w:tcBorders>
              <w:top w:val="nil"/>
              <w:left w:val="nil"/>
              <w:bottom w:val="nil"/>
              <w:right w:val="single" w:sz="8" w:space="0" w:color="auto"/>
            </w:tcBorders>
            <w:shd w:val="clear" w:color="auto" w:fill="auto"/>
            <w:noWrap/>
            <w:vAlign w:val="center"/>
            <w:hideMark/>
          </w:tcPr>
          <w:p w:rsidR="00073758" w:rsidRPr="00C32466" w:rsidRDefault="00073758" w:rsidP="00431142">
            <w:pPr>
              <w:jc w:val="right"/>
              <w:rPr>
                <w:rFonts w:ascii="Calibri" w:hAnsi="Calibri" w:cs="Calibri"/>
                <w:color w:val="000000"/>
                <w:sz w:val="22"/>
                <w:szCs w:val="22"/>
                <w:lang w:eastAsia="en-GB"/>
              </w:rPr>
            </w:pPr>
            <w:r w:rsidRPr="00C32466">
              <w:rPr>
                <w:rFonts w:ascii="Calibri" w:hAnsi="Calibri" w:cs="Calibri"/>
                <w:color w:val="000000"/>
                <w:sz w:val="22"/>
                <w:szCs w:val="22"/>
                <w:lang w:eastAsia="en-GB"/>
              </w:rPr>
              <w:t>100%</w:t>
            </w:r>
          </w:p>
        </w:tc>
        <w:tc>
          <w:tcPr>
            <w:tcW w:w="0" w:type="auto"/>
            <w:vMerge w:val="restart"/>
            <w:tcBorders>
              <w:top w:val="nil"/>
              <w:left w:val="nil"/>
              <w:bottom w:val="single" w:sz="8" w:space="0" w:color="000000"/>
              <w:right w:val="single" w:sz="8" w:space="0" w:color="auto"/>
            </w:tcBorders>
            <w:shd w:val="clear" w:color="auto" w:fill="auto"/>
            <w:vAlign w:val="center"/>
            <w:hideMark/>
          </w:tcPr>
          <w:p w:rsidR="00073758" w:rsidRPr="000A2C16" w:rsidRDefault="00073758" w:rsidP="00431142">
            <w:pPr>
              <w:rPr>
                <w:rFonts w:cs="Arial"/>
                <w:color w:val="000000"/>
                <w:sz w:val="20"/>
                <w:szCs w:val="20"/>
                <w:lang w:eastAsia="en-GB"/>
              </w:rPr>
            </w:pPr>
            <w:r w:rsidRPr="000A2C16">
              <w:rPr>
                <w:rFonts w:cs="Arial"/>
                <w:color w:val="000000"/>
                <w:sz w:val="20"/>
                <w:szCs w:val="22"/>
                <w:lang w:eastAsia="en-GB"/>
              </w:rPr>
              <w:t xml:space="preserve">In the absence of further information it is assumed that 100% of the independent healthcare and private ambulance market is privately run. </w:t>
            </w:r>
          </w:p>
        </w:tc>
      </w:tr>
      <w:tr w:rsidR="00073758" w:rsidRPr="00C32466" w:rsidTr="00431142">
        <w:trPr>
          <w:trHeight w:val="315"/>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73758" w:rsidRPr="00C32466" w:rsidRDefault="00073758" w:rsidP="00431142">
            <w:pPr>
              <w:rPr>
                <w:rFonts w:cs="Arial"/>
                <w:color w:val="000000"/>
                <w:sz w:val="20"/>
                <w:szCs w:val="20"/>
                <w:lang w:eastAsia="en-GB"/>
              </w:rPr>
            </w:pPr>
            <w:r w:rsidRPr="00C32466">
              <w:rPr>
                <w:rFonts w:cs="Arial"/>
                <w:color w:val="000000"/>
                <w:sz w:val="20"/>
                <w:szCs w:val="22"/>
                <w:lang w:eastAsia="en-GB"/>
              </w:rPr>
              <w:t>IHC – Single Specialty</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rsidR="00073758" w:rsidRPr="00C32466" w:rsidRDefault="00073758" w:rsidP="00431142">
            <w:pPr>
              <w:jc w:val="right"/>
              <w:rPr>
                <w:rFonts w:ascii="Calibri" w:hAnsi="Calibri" w:cs="Calibri"/>
                <w:color w:val="000000"/>
                <w:sz w:val="22"/>
                <w:szCs w:val="22"/>
                <w:lang w:eastAsia="en-GB"/>
              </w:rPr>
            </w:pPr>
            <w:r w:rsidRPr="00C32466">
              <w:rPr>
                <w:rFonts w:ascii="Calibri" w:hAnsi="Calibri" w:cs="Calibri"/>
                <w:color w:val="000000"/>
                <w:sz w:val="22"/>
                <w:szCs w:val="22"/>
                <w:lang w:eastAsia="en-GB"/>
              </w:rPr>
              <w:t>100%</w:t>
            </w:r>
          </w:p>
        </w:tc>
        <w:tc>
          <w:tcPr>
            <w:tcW w:w="0" w:type="auto"/>
            <w:vMerge/>
            <w:tcBorders>
              <w:top w:val="nil"/>
              <w:left w:val="nil"/>
              <w:bottom w:val="single" w:sz="8" w:space="0" w:color="000000"/>
              <w:right w:val="single" w:sz="8" w:space="0" w:color="auto"/>
            </w:tcBorders>
            <w:vAlign w:val="center"/>
            <w:hideMark/>
          </w:tcPr>
          <w:p w:rsidR="00073758" w:rsidRPr="000A2C16" w:rsidRDefault="00073758" w:rsidP="00431142">
            <w:pPr>
              <w:rPr>
                <w:rFonts w:cs="Arial"/>
                <w:color w:val="000000"/>
                <w:sz w:val="20"/>
                <w:szCs w:val="20"/>
                <w:lang w:eastAsia="en-GB"/>
              </w:rPr>
            </w:pPr>
          </w:p>
        </w:tc>
      </w:tr>
      <w:tr w:rsidR="00073758" w:rsidRPr="00C32466" w:rsidTr="00431142">
        <w:trPr>
          <w:trHeight w:val="315"/>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73758" w:rsidRPr="00C32466" w:rsidRDefault="00073758" w:rsidP="00431142">
            <w:pPr>
              <w:rPr>
                <w:rFonts w:cs="Arial"/>
                <w:color w:val="000000"/>
                <w:sz w:val="20"/>
                <w:szCs w:val="20"/>
                <w:lang w:eastAsia="en-GB"/>
              </w:rPr>
            </w:pPr>
            <w:r w:rsidRPr="00C32466">
              <w:rPr>
                <w:rFonts w:cs="Arial"/>
                <w:color w:val="000000"/>
                <w:sz w:val="20"/>
                <w:szCs w:val="22"/>
                <w:lang w:eastAsia="en-GB"/>
              </w:rPr>
              <w:t>IHC – Community</w:t>
            </w:r>
          </w:p>
        </w:tc>
        <w:tc>
          <w:tcPr>
            <w:tcW w:w="0" w:type="auto"/>
            <w:tcBorders>
              <w:top w:val="nil"/>
              <w:left w:val="nil"/>
              <w:bottom w:val="nil"/>
              <w:right w:val="single" w:sz="8" w:space="0" w:color="auto"/>
            </w:tcBorders>
            <w:shd w:val="clear" w:color="auto" w:fill="auto"/>
            <w:noWrap/>
            <w:vAlign w:val="center"/>
            <w:hideMark/>
          </w:tcPr>
          <w:p w:rsidR="00073758" w:rsidRPr="00C32466" w:rsidRDefault="00073758" w:rsidP="00431142">
            <w:pPr>
              <w:jc w:val="right"/>
              <w:rPr>
                <w:rFonts w:ascii="Calibri" w:hAnsi="Calibri" w:cs="Calibri"/>
                <w:color w:val="000000"/>
                <w:sz w:val="22"/>
                <w:szCs w:val="22"/>
                <w:lang w:eastAsia="en-GB"/>
              </w:rPr>
            </w:pPr>
            <w:r w:rsidRPr="00C32466">
              <w:rPr>
                <w:rFonts w:ascii="Calibri" w:hAnsi="Calibri" w:cs="Calibri"/>
                <w:color w:val="000000"/>
                <w:sz w:val="22"/>
                <w:szCs w:val="22"/>
                <w:lang w:eastAsia="en-GB"/>
              </w:rPr>
              <w:t>100%</w:t>
            </w:r>
          </w:p>
        </w:tc>
        <w:tc>
          <w:tcPr>
            <w:tcW w:w="0" w:type="auto"/>
            <w:vMerge/>
            <w:tcBorders>
              <w:top w:val="nil"/>
              <w:left w:val="nil"/>
              <w:bottom w:val="single" w:sz="8" w:space="0" w:color="000000"/>
              <w:right w:val="single" w:sz="8" w:space="0" w:color="auto"/>
            </w:tcBorders>
            <w:vAlign w:val="center"/>
            <w:hideMark/>
          </w:tcPr>
          <w:p w:rsidR="00073758" w:rsidRPr="000A2C16" w:rsidRDefault="00073758" w:rsidP="00431142">
            <w:pPr>
              <w:rPr>
                <w:rFonts w:cs="Arial"/>
                <w:color w:val="000000"/>
                <w:sz w:val="20"/>
                <w:szCs w:val="20"/>
                <w:lang w:eastAsia="en-GB"/>
              </w:rPr>
            </w:pPr>
          </w:p>
        </w:tc>
      </w:tr>
      <w:tr w:rsidR="00073758" w:rsidRPr="00C32466" w:rsidTr="00431142">
        <w:trPr>
          <w:trHeight w:val="66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73758" w:rsidRPr="00C32466" w:rsidRDefault="00073758" w:rsidP="00431142">
            <w:pPr>
              <w:rPr>
                <w:rFonts w:cs="Arial"/>
                <w:color w:val="000000"/>
                <w:sz w:val="20"/>
                <w:szCs w:val="20"/>
                <w:lang w:eastAsia="en-GB"/>
              </w:rPr>
            </w:pPr>
            <w:r w:rsidRPr="00C32466">
              <w:rPr>
                <w:rFonts w:cs="Arial"/>
                <w:color w:val="000000"/>
                <w:sz w:val="20"/>
                <w:szCs w:val="22"/>
                <w:lang w:eastAsia="en-GB"/>
              </w:rPr>
              <w:t>ASC Residential</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rsidR="00073758" w:rsidRPr="00C32466" w:rsidRDefault="00073758" w:rsidP="00431142">
            <w:pPr>
              <w:jc w:val="right"/>
              <w:rPr>
                <w:rFonts w:ascii="Calibri" w:hAnsi="Calibri" w:cs="Calibri"/>
                <w:color w:val="000000"/>
                <w:sz w:val="22"/>
                <w:szCs w:val="22"/>
                <w:lang w:eastAsia="en-GB"/>
              </w:rPr>
            </w:pPr>
            <w:r w:rsidRPr="00C32466">
              <w:rPr>
                <w:rFonts w:ascii="Calibri" w:hAnsi="Calibri" w:cs="Calibri"/>
                <w:color w:val="000000"/>
                <w:sz w:val="22"/>
                <w:szCs w:val="22"/>
                <w:lang w:eastAsia="en-GB"/>
              </w:rPr>
              <w:t>90%</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rsidR="00073758" w:rsidRPr="000A2C16" w:rsidRDefault="00073758" w:rsidP="00431142">
            <w:pPr>
              <w:rPr>
                <w:rFonts w:cs="Arial"/>
                <w:color w:val="000000"/>
                <w:sz w:val="20"/>
                <w:szCs w:val="20"/>
                <w:lang w:eastAsia="en-GB"/>
              </w:rPr>
            </w:pPr>
            <w:r w:rsidRPr="000A2C16">
              <w:rPr>
                <w:rFonts w:cs="Arial"/>
                <w:color w:val="000000"/>
                <w:sz w:val="20"/>
                <w:szCs w:val="22"/>
                <w:lang w:eastAsia="en-GB"/>
              </w:rPr>
              <w:t>Data from 31st March 2010 (under CSA care sector) on providers by ownership type in the adult social suggests that approximately 90% of adult social care providers are voluntary or private organisations. Similarly the Laing and Buisson 2013/14 Healthcare Market Review estimated that between 6% and 13% of adult social care providers were Local Authority or NHS run organisations.</w:t>
            </w:r>
          </w:p>
        </w:tc>
      </w:tr>
      <w:tr w:rsidR="00073758" w:rsidRPr="00C32466" w:rsidTr="00431142">
        <w:trPr>
          <w:trHeight w:val="660"/>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73758" w:rsidRPr="00C32466" w:rsidRDefault="00073758" w:rsidP="002B2036">
            <w:pPr>
              <w:rPr>
                <w:rFonts w:cs="Arial"/>
                <w:color w:val="000000"/>
                <w:sz w:val="20"/>
                <w:szCs w:val="20"/>
                <w:lang w:eastAsia="en-GB"/>
              </w:rPr>
            </w:pPr>
            <w:r w:rsidRPr="00C32466">
              <w:rPr>
                <w:rFonts w:cs="Arial"/>
                <w:color w:val="000000"/>
                <w:sz w:val="20"/>
                <w:szCs w:val="22"/>
                <w:lang w:eastAsia="en-GB"/>
              </w:rPr>
              <w:t xml:space="preserve">ASC </w:t>
            </w:r>
            <w:r w:rsidR="002B2036">
              <w:rPr>
                <w:rFonts w:cs="Arial"/>
                <w:color w:val="000000"/>
                <w:sz w:val="20"/>
                <w:szCs w:val="22"/>
                <w:lang w:eastAsia="en-GB"/>
              </w:rPr>
              <w:t>Community</w:t>
            </w:r>
          </w:p>
        </w:tc>
        <w:tc>
          <w:tcPr>
            <w:tcW w:w="0" w:type="auto"/>
            <w:tcBorders>
              <w:top w:val="nil"/>
              <w:left w:val="nil"/>
              <w:bottom w:val="nil"/>
              <w:right w:val="single" w:sz="8" w:space="0" w:color="auto"/>
            </w:tcBorders>
            <w:shd w:val="clear" w:color="auto" w:fill="auto"/>
            <w:noWrap/>
            <w:vAlign w:val="center"/>
            <w:hideMark/>
          </w:tcPr>
          <w:p w:rsidR="00073758" w:rsidRPr="00C32466" w:rsidRDefault="00073758" w:rsidP="00431142">
            <w:pPr>
              <w:jc w:val="right"/>
              <w:rPr>
                <w:rFonts w:ascii="Calibri" w:hAnsi="Calibri" w:cs="Calibri"/>
                <w:color w:val="000000"/>
                <w:sz w:val="22"/>
                <w:szCs w:val="22"/>
                <w:lang w:eastAsia="en-GB"/>
              </w:rPr>
            </w:pPr>
            <w:r w:rsidRPr="00C32466">
              <w:rPr>
                <w:rFonts w:ascii="Calibri" w:hAnsi="Calibri" w:cs="Calibri"/>
                <w:color w:val="000000"/>
                <w:sz w:val="22"/>
                <w:szCs w:val="22"/>
                <w:lang w:eastAsia="en-GB"/>
              </w:rPr>
              <w:t>90%</w:t>
            </w:r>
          </w:p>
        </w:tc>
        <w:tc>
          <w:tcPr>
            <w:tcW w:w="0" w:type="auto"/>
            <w:vMerge/>
            <w:tcBorders>
              <w:top w:val="nil"/>
              <w:left w:val="single" w:sz="8" w:space="0" w:color="auto"/>
              <w:bottom w:val="single" w:sz="8" w:space="0" w:color="000000"/>
              <w:right w:val="single" w:sz="8" w:space="0" w:color="auto"/>
            </w:tcBorders>
            <w:vAlign w:val="center"/>
            <w:hideMark/>
          </w:tcPr>
          <w:p w:rsidR="00073758" w:rsidRPr="000A2C16" w:rsidRDefault="00073758" w:rsidP="00431142">
            <w:pPr>
              <w:rPr>
                <w:rFonts w:cs="Arial"/>
                <w:color w:val="000000"/>
                <w:sz w:val="20"/>
                <w:szCs w:val="20"/>
                <w:lang w:eastAsia="en-GB"/>
              </w:rPr>
            </w:pPr>
          </w:p>
        </w:tc>
      </w:tr>
      <w:tr w:rsidR="00073758" w:rsidRPr="00C32466" w:rsidTr="00431142">
        <w:trPr>
          <w:trHeight w:val="525"/>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73758" w:rsidRPr="00C32466" w:rsidRDefault="00073758" w:rsidP="00431142">
            <w:pPr>
              <w:rPr>
                <w:rFonts w:cs="Arial"/>
                <w:color w:val="000000"/>
                <w:sz w:val="20"/>
                <w:szCs w:val="20"/>
                <w:lang w:eastAsia="en-GB"/>
              </w:rPr>
            </w:pPr>
            <w:r w:rsidRPr="00C32466">
              <w:rPr>
                <w:rFonts w:cs="Arial"/>
                <w:color w:val="000000"/>
                <w:sz w:val="20"/>
                <w:szCs w:val="22"/>
                <w:lang w:eastAsia="en-GB"/>
              </w:rPr>
              <w:t>GPs</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rsidR="00073758" w:rsidRPr="00C32466" w:rsidRDefault="00073758" w:rsidP="00431142">
            <w:pPr>
              <w:jc w:val="right"/>
              <w:rPr>
                <w:rFonts w:ascii="Calibri" w:hAnsi="Calibri" w:cs="Calibri"/>
                <w:color w:val="000000"/>
                <w:sz w:val="22"/>
                <w:szCs w:val="22"/>
                <w:lang w:eastAsia="en-GB"/>
              </w:rPr>
            </w:pPr>
            <w:r w:rsidRPr="00C32466">
              <w:rPr>
                <w:rFonts w:ascii="Calibri" w:hAnsi="Calibri" w:cs="Calibri"/>
                <w:color w:val="000000"/>
                <w:sz w:val="22"/>
                <w:szCs w:val="22"/>
                <w:lang w:eastAsia="en-GB"/>
              </w:rPr>
              <w:t>6%</w:t>
            </w:r>
          </w:p>
        </w:tc>
        <w:tc>
          <w:tcPr>
            <w:tcW w:w="0" w:type="auto"/>
            <w:tcBorders>
              <w:top w:val="nil"/>
              <w:left w:val="nil"/>
              <w:bottom w:val="single" w:sz="8" w:space="0" w:color="auto"/>
              <w:right w:val="single" w:sz="8" w:space="0" w:color="auto"/>
            </w:tcBorders>
            <w:shd w:val="clear" w:color="auto" w:fill="auto"/>
            <w:vAlign w:val="center"/>
            <w:hideMark/>
          </w:tcPr>
          <w:p w:rsidR="00073758" w:rsidRPr="000A2C16" w:rsidRDefault="00073758" w:rsidP="00431142">
            <w:pPr>
              <w:rPr>
                <w:rFonts w:cs="Arial"/>
                <w:color w:val="000000"/>
                <w:sz w:val="20"/>
                <w:szCs w:val="20"/>
                <w:lang w:eastAsia="en-GB"/>
              </w:rPr>
            </w:pPr>
            <w:r w:rsidRPr="000A2C16">
              <w:rPr>
                <w:rFonts w:cs="Arial"/>
                <w:color w:val="000000"/>
                <w:sz w:val="20"/>
                <w:szCs w:val="22"/>
                <w:lang w:eastAsia="en-GB"/>
              </w:rPr>
              <w:t>Laing and Buisson 2013/14 Healthcare Market Review found 6% of GPs worked entirely outside of the NHS</w:t>
            </w:r>
          </w:p>
        </w:tc>
      </w:tr>
      <w:tr w:rsidR="00073758" w:rsidRPr="00C32466" w:rsidTr="00431142">
        <w:trPr>
          <w:trHeight w:val="525"/>
        </w:trPr>
        <w:tc>
          <w:tcPr>
            <w:tcW w:w="0" w:type="auto"/>
            <w:tcBorders>
              <w:top w:val="nil"/>
              <w:left w:val="single" w:sz="8" w:space="0" w:color="auto"/>
              <w:bottom w:val="single" w:sz="8" w:space="0" w:color="auto"/>
              <w:right w:val="single" w:sz="8" w:space="0" w:color="auto"/>
            </w:tcBorders>
            <w:shd w:val="clear" w:color="auto" w:fill="auto"/>
            <w:vAlign w:val="center"/>
            <w:hideMark/>
          </w:tcPr>
          <w:p w:rsidR="00073758" w:rsidRPr="00C32466" w:rsidRDefault="00073758" w:rsidP="00431142">
            <w:pPr>
              <w:rPr>
                <w:rFonts w:cs="Arial"/>
                <w:color w:val="000000"/>
                <w:sz w:val="20"/>
                <w:szCs w:val="20"/>
                <w:lang w:eastAsia="en-GB"/>
              </w:rPr>
            </w:pPr>
            <w:r w:rsidRPr="00C32466">
              <w:rPr>
                <w:rFonts w:cs="Arial"/>
                <w:color w:val="000000"/>
                <w:sz w:val="20"/>
                <w:szCs w:val="22"/>
                <w:lang w:eastAsia="en-GB"/>
              </w:rPr>
              <w:t>Dentists</w:t>
            </w:r>
          </w:p>
        </w:tc>
        <w:tc>
          <w:tcPr>
            <w:tcW w:w="0" w:type="auto"/>
            <w:tcBorders>
              <w:top w:val="nil"/>
              <w:left w:val="nil"/>
              <w:bottom w:val="single" w:sz="8" w:space="0" w:color="auto"/>
              <w:right w:val="single" w:sz="8" w:space="0" w:color="auto"/>
            </w:tcBorders>
            <w:shd w:val="clear" w:color="auto" w:fill="auto"/>
            <w:noWrap/>
            <w:vAlign w:val="center"/>
            <w:hideMark/>
          </w:tcPr>
          <w:p w:rsidR="00073758" w:rsidRPr="00C32466" w:rsidRDefault="00073758" w:rsidP="00431142">
            <w:pPr>
              <w:jc w:val="right"/>
              <w:rPr>
                <w:rFonts w:ascii="Calibri" w:hAnsi="Calibri" w:cs="Calibri"/>
                <w:color w:val="000000"/>
                <w:sz w:val="22"/>
                <w:szCs w:val="22"/>
                <w:lang w:eastAsia="en-GB"/>
              </w:rPr>
            </w:pPr>
            <w:r w:rsidRPr="00C32466">
              <w:rPr>
                <w:rFonts w:ascii="Calibri" w:hAnsi="Calibri" w:cs="Calibri"/>
                <w:color w:val="000000"/>
                <w:sz w:val="22"/>
                <w:szCs w:val="22"/>
                <w:lang w:eastAsia="en-GB"/>
              </w:rPr>
              <w:t>30%</w:t>
            </w:r>
          </w:p>
        </w:tc>
        <w:tc>
          <w:tcPr>
            <w:tcW w:w="0" w:type="auto"/>
            <w:tcBorders>
              <w:top w:val="nil"/>
              <w:left w:val="nil"/>
              <w:bottom w:val="single" w:sz="8" w:space="0" w:color="auto"/>
              <w:right w:val="single" w:sz="8" w:space="0" w:color="auto"/>
            </w:tcBorders>
            <w:shd w:val="clear" w:color="auto" w:fill="auto"/>
            <w:vAlign w:val="center"/>
            <w:hideMark/>
          </w:tcPr>
          <w:p w:rsidR="00073758" w:rsidRPr="000A2C16" w:rsidRDefault="00073758" w:rsidP="00431142">
            <w:pPr>
              <w:rPr>
                <w:rFonts w:cs="Arial"/>
                <w:color w:val="000000"/>
                <w:sz w:val="20"/>
                <w:szCs w:val="20"/>
                <w:lang w:eastAsia="en-GB"/>
              </w:rPr>
            </w:pPr>
            <w:r w:rsidRPr="000A2C16">
              <w:rPr>
                <w:rFonts w:cs="Arial"/>
                <w:color w:val="000000"/>
                <w:sz w:val="20"/>
                <w:szCs w:val="22"/>
                <w:lang w:eastAsia="en-GB"/>
              </w:rPr>
              <w:t>Analysis of Dental Contracts found that approximately 30% of dental practices did not contract with the NHS</w:t>
            </w:r>
          </w:p>
        </w:tc>
      </w:tr>
    </w:tbl>
    <w:p w:rsidR="00073758" w:rsidRDefault="00073758" w:rsidP="00073758">
      <w:pPr>
        <w:pStyle w:val="EBNumber"/>
        <w:numPr>
          <w:ilvl w:val="1"/>
          <w:numId w:val="11"/>
        </w:numPr>
        <w:spacing w:before="240"/>
      </w:pPr>
      <w:r>
        <w:t xml:space="preserve">As is currently the case, </w:t>
      </w:r>
      <w:r w:rsidR="003757D5">
        <w:t xml:space="preserve">the </w:t>
      </w:r>
      <w:r>
        <w:t xml:space="preserve">CQC are likely to charge a varying fee to providers depending on the size or number of locations of the provider. It is not possible to determine whether private sector providers are likely to be smaller or larger on average than public sector providers within the same sector. In the absence of other information, we therefore assume that there is no difference in the </w:t>
      </w:r>
      <w:r>
        <w:lastRenderedPageBreak/>
        <w:t>average size of these providers, and so the proportion of the total fee increase that will fall on private sector organisations is equivalent to the proportion of private sector organisations within the sector</w:t>
      </w:r>
      <w:r w:rsidR="00272314">
        <w:t>. This suggests a total net present cost to business of just over £319m over the assumed 10 year lifespan of the policy.</w:t>
      </w:r>
    </w:p>
    <w:p w:rsidR="00073758" w:rsidRDefault="00073758" w:rsidP="00073758">
      <w:pPr>
        <w:pStyle w:val="EBNumber"/>
        <w:numPr>
          <w:ilvl w:val="1"/>
          <w:numId w:val="11"/>
        </w:numPr>
        <w:spacing w:before="240"/>
      </w:pPr>
      <w:r>
        <w:t>Using the May 2015 BIS Impact Assessment Calculator, the Equivalent Net Cost to Business is estimated to be £3</w:t>
      </w:r>
      <w:r w:rsidR="002B2036">
        <w:t>5</w:t>
      </w:r>
      <w:r>
        <w:t>.</w:t>
      </w:r>
      <w:r w:rsidR="002B2036">
        <w:t>2</w:t>
      </w:r>
      <w:r>
        <w:t>m.</w:t>
      </w:r>
    </w:p>
    <w:p w:rsidR="006A1AC1" w:rsidRDefault="00F07AE1" w:rsidP="006A1AC1">
      <w:pPr>
        <w:pStyle w:val="EBNumber"/>
      </w:pPr>
      <w:r>
        <w:t>Under section 1.9.9</w:t>
      </w:r>
      <w:r w:rsidR="006A1AC1">
        <w:t xml:space="preserve"> vii of the </w:t>
      </w:r>
      <w:r>
        <w:t xml:space="preserve">March 2015 </w:t>
      </w:r>
      <w:r w:rsidR="006A1AC1">
        <w:t xml:space="preserve">Better Regulation Framework Manual, policies relating to fees and chargers are considered to be out of scope of OITO, unless the change in the level of fees and chargers relates to an expansion or reduction in the scope of regulatory activity. It has been agreed with the Regulatory Policy Committee that, </w:t>
      </w:r>
      <w:r w:rsidR="000E785D">
        <w:t>for the most part</w:t>
      </w:r>
      <w:r w:rsidR="006A1AC1">
        <w:t>, the potential fee increases outlined in this IA relate to an expansion of regulatory activity that took place prior to the relevant period of time for the Business Impact Target and so will be considered to be out of scope. Only elements of the fe</w:t>
      </w:r>
      <w:r w:rsidR="000E785D">
        <w:t>e changes relating to expansion</w:t>
      </w:r>
      <w:r w:rsidR="006A1AC1">
        <w:t xml:space="preserve"> of the inspection regime since </w:t>
      </w:r>
      <w:r w:rsidR="000E785D">
        <w:t>May 2015 will</w:t>
      </w:r>
      <w:r w:rsidR="006A1AC1">
        <w:t xml:space="preserve"> be considered in scope of the Business Impact Target</w:t>
      </w:r>
      <w:r w:rsidR="000E785D">
        <w:t>.</w:t>
      </w:r>
    </w:p>
    <w:p w:rsidR="000E785D" w:rsidRDefault="003757D5" w:rsidP="006A1AC1">
      <w:pPr>
        <w:pStyle w:val="EBNumber"/>
      </w:pPr>
      <w:r>
        <w:t xml:space="preserve">The </w:t>
      </w:r>
      <w:r w:rsidR="000E785D">
        <w:t xml:space="preserve">CQC advise that all of providers who were not subject to new style inspections as at May 2015 (see paragraph 10)  would fit within the IHC – Single Specialty or IHC – Community category in their fees modelling. This would suggest that, </w:t>
      </w:r>
      <w:r w:rsidR="000E785D" w:rsidRPr="005F5BC7">
        <w:rPr>
          <w:b/>
        </w:rPr>
        <w:t>at most</w:t>
      </w:r>
      <w:r w:rsidR="000E785D">
        <w:t>, the proposed policy m</w:t>
      </w:r>
      <w:r w:rsidR="002B2036">
        <w:t>ight generate an additional £27</w:t>
      </w:r>
      <w:r w:rsidR="000E785D">
        <w:t>m NPV cost for these providers. Using the July 2015 BIS Impact Assessment Calculator, in EAN</w:t>
      </w:r>
      <w:r w:rsidR="002B2036">
        <w:t>CB terms this would equate to £</w:t>
      </w:r>
      <w:r w:rsidR="000E785D">
        <w:t>3</w:t>
      </w:r>
      <w:r w:rsidR="002B2036">
        <w:t>.0</w:t>
      </w:r>
      <w:r w:rsidR="000E785D">
        <w:t>m being in scope of the Business Impact Target.</w:t>
      </w:r>
      <w:r w:rsidR="00C171EB">
        <w:t xml:space="preserve"> This figure is higher than that estimated in the Consultation Stage IA due to the CQC revising its estimates of the required fee increases for each sector.</w:t>
      </w:r>
    </w:p>
    <w:p w:rsidR="00073758" w:rsidRDefault="00073758" w:rsidP="00073758">
      <w:pPr>
        <w:pStyle w:val="Heading5"/>
      </w:pPr>
      <w:r>
        <w:t>Benefits of the proposal</w:t>
      </w:r>
    </w:p>
    <w:p w:rsidR="00073758" w:rsidRDefault="00073758" w:rsidP="00073758">
      <w:pPr>
        <w:pStyle w:val="EBNumber"/>
        <w:numPr>
          <w:ilvl w:val="1"/>
          <w:numId w:val="11"/>
        </w:numPr>
      </w:pPr>
      <w:r>
        <w:t xml:space="preserve">The main benefit of the proposal would be the reduction in the level of Grant in Aid funding from the Department required by the CQC. As we do not anticipate there being any substantial administrative costs associated with any future changes in the fee level, this saving to the Department is anticipated to be equivalent to the increases in provider fees discussed above. </w:t>
      </w:r>
    </w:p>
    <w:p w:rsidR="00073758" w:rsidRDefault="00073758" w:rsidP="00073758">
      <w:pPr>
        <w:pStyle w:val="Heading5"/>
      </w:pPr>
      <w:r>
        <w:t>Other non-monetised benefits</w:t>
      </w:r>
    </w:p>
    <w:p w:rsidR="00073758" w:rsidRDefault="00073758" w:rsidP="00073758">
      <w:pPr>
        <w:pStyle w:val="EBNumber"/>
        <w:numPr>
          <w:ilvl w:val="1"/>
          <w:numId w:val="11"/>
        </w:numPr>
      </w:pPr>
      <w:r>
        <w:t xml:space="preserve">Shifting the cost of </w:t>
      </w:r>
      <w:r w:rsidR="008D6D38">
        <w:t xml:space="preserve">the </w:t>
      </w:r>
      <w:r>
        <w:t xml:space="preserve">CQC regulation onto providers may have additional benefits. For example, by making providers pay the full cost of </w:t>
      </w:r>
      <w:r w:rsidR="008D6D38">
        <w:t xml:space="preserve">the </w:t>
      </w:r>
      <w:r>
        <w:t xml:space="preserve">CQC regulation, this might serve to increase the pressure on </w:t>
      </w:r>
      <w:r w:rsidR="008D6D38">
        <w:t xml:space="preserve">the </w:t>
      </w:r>
      <w:r>
        <w:t xml:space="preserve">CQC to make efficiencies and economies to their regulatory process than a system subsidised by the taxpayer would have been able to. </w:t>
      </w:r>
    </w:p>
    <w:p w:rsidR="00073758" w:rsidRDefault="00073758" w:rsidP="00073758">
      <w:pPr>
        <w:pStyle w:val="EBNumber"/>
        <w:numPr>
          <w:ilvl w:val="1"/>
          <w:numId w:val="11"/>
        </w:numPr>
      </w:pPr>
      <w:r>
        <w:t xml:space="preserve">It is not possible to quantify this particular benefit as we do not know the level of efficiencies that </w:t>
      </w:r>
      <w:r w:rsidR="008D6D38">
        <w:t xml:space="preserve">the </w:t>
      </w:r>
      <w:r>
        <w:t xml:space="preserve">CQC might have sought to make under the two different models of funding. However, the results of </w:t>
      </w:r>
      <w:r w:rsidR="008D6D38">
        <w:t xml:space="preserve">the </w:t>
      </w:r>
      <w:r>
        <w:t xml:space="preserve">CQC’s consultation for 15/16 fee levels demonstrate that providers are using this avenue to put pressure on </w:t>
      </w:r>
      <w:r w:rsidR="008D6D38">
        <w:t xml:space="preserve">the </w:t>
      </w:r>
      <w:r>
        <w:t xml:space="preserve">CQC on consider their own efficiencies as part of the fee setting process. </w:t>
      </w:r>
    </w:p>
    <w:p w:rsidR="00073758" w:rsidRDefault="00073758" w:rsidP="00073758">
      <w:pPr>
        <w:pStyle w:val="Heading5"/>
      </w:pPr>
      <w:r>
        <w:t>Potential wider societal impacts of the changes</w:t>
      </w:r>
    </w:p>
    <w:p w:rsidR="00073758" w:rsidRDefault="00073758" w:rsidP="00073758">
      <w:pPr>
        <w:pStyle w:val="EBNumber"/>
        <w:numPr>
          <w:ilvl w:val="1"/>
          <w:numId w:val="11"/>
        </w:numPr>
      </w:pPr>
      <w:r>
        <w:t xml:space="preserve">Where policies have impacts on DH budgets, this will in turn affect the amount of funding available elsewhere for DH programmes, which in turn may have further health impacts elsewhere in the NHS or health system. For example, it has been estimated that an additional </w:t>
      </w:r>
      <w:r w:rsidRPr="00B50947">
        <w:t>£12,9</w:t>
      </w:r>
      <w:r>
        <w:t>36 of funding to the NHS, denominated in 2008 prices, would generate an additional Quality Adjusted Life Year (QALY)</w:t>
      </w:r>
      <w:r>
        <w:rPr>
          <w:rStyle w:val="FootnoteReference"/>
        </w:rPr>
        <w:footnoteReference w:id="6"/>
      </w:r>
      <w:r>
        <w:t>. Adjusting for inflation with the GDP deflator would give a value of approximately £15,000 additional funding to generate an additional Quality Adjusted Life Year in the NHS in 2015 prices.</w:t>
      </w:r>
    </w:p>
    <w:p w:rsidR="00073758" w:rsidRDefault="00073758" w:rsidP="00073758">
      <w:pPr>
        <w:pStyle w:val="EBNumber"/>
        <w:numPr>
          <w:ilvl w:val="1"/>
          <w:numId w:val="11"/>
        </w:numPr>
      </w:pPr>
      <w:r>
        <w:t>If we were to apply this estimate to the potential annual saving of £110m to the Department from reduced GIA funding to</w:t>
      </w:r>
      <w:r w:rsidR="008D6D38">
        <w:t xml:space="preserve"> the</w:t>
      </w:r>
      <w:r>
        <w:t xml:space="preserve"> CQC, this would imply that just over 7,300 additional Quality Adjusted Life Years could potentially be generated in the NHS every year. </w:t>
      </w:r>
    </w:p>
    <w:p w:rsidR="008D6D38" w:rsidRDefault="00073758" w:rsidP="008D6D38">
      <w:pPr>
        <w:pStyle w:val="EBNumber"/>
        <w:numPr>
          <w:ilvl w:val="0"/>
          <w:numId w:val="0"/>
        </w:numPr>
        <w:ind w:left="425"/>
      </w:pPr>
      <w:r>
        <w:t xml:space="preserve">However, this figure represents the potential gross annual health impact. To estimate the net annual health impact, we would also need to consider whether the increased fee costs for providers also </w:t>
      </w:r>
      <w:r>
        <w:lastRenderedPageBreak/>
        <w:t>result in any addit</w:t>
      </w:r>
      <w:r w:rsidR="00BE47F6">
        <w:t>ional health or societal impacts. This in turn will depend on how providers respond to the fee increases as follows:</w:t>
      </w:r>
    </w:p>
    <w:tbl>
      <w:tblPr>
        <w:tblStyle w:val="TableGrid"/>
        <w:tblW w:w="0" w:type="auto"/>
        <w:tblInd w:w="425" w:type="dxa"/>
        <w:tblLook w:val="04A0" w:firstRow="1" w:lastRow="0" w:firstColumn="1" w:lastColumn="0" w:noHBand="0" w:noVBand="1"/>
      </w:tblPr>
      <w:tblGrid>
        <w:gridCol w:w="3349"/>
        <w:gridCol w:w="6399"/>
      </w:tblGrid>
      <w:tr w:rsidR="00073758" w:rsidTr="00431142">
        <w:tc>
          <w:tcPr>
            <w:tcW w:w="3349" w:type="dxa"/>
            <w:vAlign w:val="center"/>
          </w:tcPr>
          <w:p w:rsidR="00073758" w:rsidRPr="00051B1E" w:rsidRDefault="00073758" w:rsidP="00431142">
            <w:pPr>
              <w:pStyle w:val="EBBodyPara"/>
              <w:rPr>
                <w:b/>
              </w:rPr>
            </w:pPr>
            <w:r w:rsidRPr="00051B1E">
              <w:rPr>
                <w:b/>
              </w:rPr>
              <w:t>Provider response</w:t>
            </w:r>
          </w:p>
        </w:tc>
        <w:tc>
          <w:tcPr>
            <w:tcW w:w="6399" w:type="dxa"/>
            <w:vAlign w:val="center"/>
          </w:tcPr>
          <w:p w:rsidR="00073758" w:rsidRPr="00051B1E" w:rsidRDefault="00073758" w:rsidP="00431142">
            <w:pPr>
              <w:pStyle w:val="EBBodyPara"/>
              <w:rPr>
                <w:b/>
              </w:rPr>
            </w:pPr>
            <w:r>
              <w:rPr>
                <w:b/>
              </w:rPr>
              <w:t>Additional health</w:t>
            </w:r>
            <w:r w:rsidRPr="00051B1E">
              <w:rPr>
                <w:b/>
              </w:rPr>
              <w:t xml:space="preserve"> impact</w:t>
            </w:r>
            <w:r>
              <w:rPr>
                <w:b/>
              </w:rPr>
              <w:t>s?</w:t>
            </w:r>
          </w:p>
        </w:tc>
      </w:tr>
      <w:tr w:rsidR="00073758" w:rsidTr="00431142">
        <w:tc>
          <w:tcPr>
            <w:tcW w:w="3349" w:type="dxa"/>
          </w:tcPr>
          <w:p w:rsidR="00073758" w:rsidRDefault="00073758" w:rsidP="00431142">
            <w:pPr>
              <w:pStyle w:val="EBBodyPara"/>
            </w:pPr>
            <w:r>
              <w:t>Pass on the increased fees to service users via higher prices</w:t>
            </w:r>
          </w:p>
        </w:tc>
        <w:tc>
          <w:tcPr>
            <w:tcW w:w="6399" w:type="dxa"/>
          </w:tcPr>
          <w:p w:rsidR="00073758" w:rsidRDefault="00073758" w:rsidP="00431142">
            <w:pPr>
              <w:pStyle w:val="EBBodyPara"/>
            </w:pPr>
            <w:r>
              <w:t>If purchasers choose to maintain the amount that they purchase, the societal impact is the increased cost of bu</w:t>
            </w:r>
            <w:r w:rsidR="00BE47F6">
              <w:t xml:space="preserve">ying the same level of services. There are no </w:t>
            </w:r>
            <w:r>
              <w:t>additional health impacts</w:t>
            </w:r>
            <w:r w:rsidR="00BE47F6">
              <w:t xml:space="preserve"> as the level of services remains unchanged</w:t>
            </w:r>
            <w:r>
              <w:t>.</w:t>
            </w:r>
          </w:p>
          <w:p w:rsidR="00073758" w:rsidRDefault="00A82251" w:rsidP="00A82251">
            <w:pPr>
              <w:pStyle w:val="EBBodyPara"/>
            </w:pPr>
            <w:r>
              <w:t xml:space="preserve">However, if the result of higher prices is that </w:t>
            </w:r>
            <w:r w:rsidR="00073758">
              <w:t>purchasers choose to reduce the amount of health/social care services that they buy, the</w:t>
            </w:r>
            <w:r>
              <w:t xml:space="preserve">re would be a health impact associated with this reduction.  </w:t>
            </w:r>
            <w:r w:rsidR="00073758">
              <w:t xml:space="preserve"> </w:t>
            </w:r>
          </w:p>
        </w:tc>
      </w:tr>
      <w:tr w:rsidR="00073758" w:rsidTr="00431142">
        <w:tc>
          <w:tcPr>
            <w:tcW w:w="3349" w:type="dxa"/>
          </w:tcPr>
          <w:p w:rsidR="00073758" w:rsidRDefault="00073758" w:rsidP="00431142">
            <w:pPr>
              <w:pStyle w:val="EBBodyPara"/>
            </w:pPr>
            <w:r>
              <w:t>Absorb the costs of increased fees via acceptance of lower profits</w:t>
            </w:r>
          </w:p>
        </w:tc>
        <w:tc>
          <w:tcPr>
            <w:tcW w:w="6399" w:type="dxa"/>
          </w:tcPr>
          <w:p w:rsidR="00073758" w:rsidRDefault="00073758" w:rsidP="00431142">
            <w:pPr>
              <w:pStyle w:val="EBBodyPara"/>
            </w:pPr>
            <w:r>
              <w:t>Lower profits impact on shareholders. The societal impact of lower profits for shareholders is assumed to be equal to the monetary value of the reduction in profits and there is no impact on health</w:t>
            </w:r>
          </w:p>
        </w:tc>
      </w:tr>
      <w:tr w:rsidR="00073758" w:rsidTr="00431142">
        <w:tc>
          <w:tcPr>
            <w:tcW w:w="3349" w:type="dxa"/>
          </w:tcPr>
          <w:p w:rsidR="00073758" w:rsidRDefault="00073758" w:rsidP="00431142">
            <w:pPr>
              <w:pStyle w:val="EBBodyPara"/>
            </w:pPr>
            <w:r>
              <w:t>A combination of the above</w:t>
            </w:r>
          </w:p>
        </w:tc>
        <w:tc>
          <w:tcPr>
            <w:tcW w:w="6399" w:type="dxa"/>
          </w:tcPr>
          <w:p w:rsidR="00073758" w:rsidRDefault="00073758" w:rsidP="00431142">
            <w:pPr>
              <w:pStyle w:val="EBBodyPara"/>
            </w:pPr>
            <w:r>
              <w:t xml:space="preserve">The ultimate societal impact would also lie somewhere between the societal impacts estimated above. </w:t>
            </w:r>
          </w:p>
        </w:tc>
      </w:tr>
      <w:tr w:rsidR="00073758" w:rsidTr="00431142">
        <w:tc>
          <w:tcPr>
            <w:tcW w:w="3349" w:type="dxa"/>
          </w:tcPr>
          <w:p w:rsidR="00073758" w:rsidRDefault="00073758" w:rsidP="00431142">
            <w:pPr>
              <w:pStyle w:val="EBBodyPara"/>
            </w:pPr>
            <w:r>
              <w:t>Choosing to exit the market entirely if the increased costs are felt to be unsustainable</w:t>
            </w:r>
          </w:p>
        </w:tc>
        <w:tc>
          <w:tcPr>
            <w:tcW w:w="6399" w:type="dxa"/>
          </w:tcPr>
          <w:p w:rsidR="00073758" w:rsidRDefault="00073758" w:rsidP="00431142">
            <w:pPr>
              <w:pStyle w:val="EBBodyPara"/>
            </w:pPr>
            <w:r>
              <w:t>The ultimate impact would depend on the dynamics of the market. However this is not considered further as it is felt that the level of fee increases being discussed in this IA would make this an unlikely outcome. For example, a 28 bed care home is anticipated to see annual fee</w:t>
            </w:r>
            <w:r w:rsidRPr="005F5E9F">
              <w:rPr>
                <w:bCs w:val="0"/>
              </w:rPr>
              <w:t xml:space="preserve"> increases of</w:t>
            </w:r>
            <w:r>
              <w:rPr>
                <w:bCs w:val="0"/>
              </w:rPr>
              <w:t xml:space="preserve"> between £250 and £350 over the four year period</w:t>
            </w:r>
          </w:p>
        </w:tc>
      </w:tr>
      <w:tr w:rsidR="00073758" w:rsidTr="00431142">
        <w:tc>
          <w:tcPr>
            <w:tcW w:w="3349" w:type="dxa"/>
          </w:tcPr>
          <w:p w:rsidR="00073758" w:rsidRDefault="00073758" w:rsidP="00431142">
            <w:pPr>
              <w:pStyle w:val="EBBodyPara"/>
            </w:pPr>
            <w:r>
              <w:t>Demand increased funding from DH</w:t>
            </w:r>
          </w:p>
        </w:tc>
        <w:tc>
          <w:tcPr>
            <w:tcW w:w="6399" w:type="dxa"/>
          </w:tcPr>
          <w:p w:rsidR="00073758" w:rsidRDefault="00073758" w:rsidP="00431142">
            <w:pPr>
              <w:pStyle w:val="EBBodyPara"/>
            </w:pPr>
            <w:r>
              <w:t xml:space="preserve">If providers are partially funded by the Department (e.g. dentists), they may attempt to recuperate their fee increases through demands for additional funding from DH. Depending on their likelihood of success, this would have an additional health impact as discussed above. </w:t>
            </w:r>
          </w:p>
        </w:tc>
      </w:tr>
    </w:tbl>
    <w:p w:rsidR="00073758" w:rsidRDefault="00073758" w:rsidP="00073758">
      <w:pPr>
        <w:pStyle w:val="EBNumber"/>
        <w:numPr>
          <w:ilvl w:val="1"/>
          <w:numId w:val="11"/>
        </w:numPr>
        <w:spacing w:before="240"/>
      </w:pPr>
      <w:r>
        <w:t>The likelihood of providers taking each of these actions, and the subsequent impacts of these actions depends on the specifics of the sector being considered. Although it is not possible to fully quantify the net impacts, Annex A provides a fuller assessment of the likely impacts in each sector. By monetising the potential health impacts using a standard societal valuation of £60,000 per Quality Adjusted Life Year, we present below the potential rate of NPV estimates by sector, if these additional health impacts were also to be taken into consideration:</w:t>
      </w:r>
    </w:p>
    <w:tbl>
      <w:tblPr>
        <w:tblStyle w:val="TableGrid"/>
        <w:tblW w:w="0" w:type="auto"/>
        <w:tblInd w:w="425" w:type="dxa"/>
        <w:tblLook w:val="04A0" w:firstRow="1" w:lastRow="0" w:firstColumn="1" w:lastColumn="0" w:noHBand="0" w:noVBand="1"/>
      </w:tblPr>
      <w:tblGrid>
        <w:gridCol w:w="5002"/>
        <w:gridCol w:w="4994"/>
      </w:tblGrid>
      <w:tr w:rsidR="00073758" w:rsidTr="00431142">
        <w:tc>
          <w:tcPr>
            <w:tcW w:w="5002" w:type="dxa"/>
          </w:tcPr>
          <w:p w:rsidR="00073758" w:rsidRPr="00D10C85" w:rsidRDefault="00073758" w:rsidP="00431142">
            <w:pPr>
              <w:pStyle w:val="EBBodyPara"/>
              <w:rPr>
                <w:b/>
              </w:rPr>
            </w:pPr>
            <w:r w:rsidRPr="00D10C85">
              <w:rPr>
                <w:b/>
              </w:rPr>
              <w:t>Sector</w:t>
            </w:r>
          </w:p>
        </w:tc>
        <w:tc>
          <w:tcPr>
            <w:tcW w:w="4994" w:type="dxa"/>
          </w:tcPr>
          <w:p w:rsidR="00073758" w:rsidRPr="00D10C85" w:rsidRDefault="00073758" w:rsidP="00431142">
            <w:pPr>
              <w:pStyle w:val="EBBodyPara"/>
              <w:rPr>
                <w:b/>
              </w:rPr>
            </w:pPr>
            <w:r w:rsidRPr="00D10C85">
              <w:rPr>
                <w:b/>
              </w:rPr>
              <w:t>Estimated NPV</w:t>
            </w:r>
          </w:p>
        </w:tc>
      </w:tr>
      <w:tr w:rsidR="00073758" w:rsidTr="00431142">
        <w:tc>
          <w:tcPr>
            <w:tcW w:w="5002" w:type="dxa"/>
          </w:tcPr>
          <w:p w:rsidR="00073758" w:rsidRDefault="00073758" w:rsidP="00431142">
            <w:pPr>
              <w:pStyle w:val="EBBodyPara"/>
            </w:pPr>
            <w:r>
              <w:t>NHS Trusts</w:t>
            </w:r>
          </w:p>
        </w:tc>
        <w:tc>
          <w:tcPr>
            <w:tcW w:w="4994" w:type="dxa"/>
          </w:tcPr>
          <w:p w:rsidR="00073758" w:rsidRDefault="00073758" w:rsidP="00431142">
            <w:pPr>
              <w:pStyle w:val="EBBodyPara"/>
            </w:pPr>
            <w:r>
              <w:t>0</w:t>
            </w:r>
          </w:p>
        </w:tc>
      </w:tr>
      <w:tr w:rsidR="00073758" w:rsidTr="00431142">
        <w:tc>
          <w:tcPr>
            <w:tcW w:w="5002" w:type="dxa"/>
          </w:tcPr>
          <w:p w:rsidR="00073758" w:rsidRDefault="00073758" w:rsidP="00431142">
            <w:pPr>
              <w:pStyle w:val="EBBodyPara"/>
            </w:pPr>
            <w:r>
              <w:t>Independent Health Sector</w:t>
            </w:r>
          </w:p>
        </w:tc>
        <w:tc>
          <w:tcPr>
            <w:tcW w:w="4994" w:type="dxa"/>
          </w:tcPr>
          <w:p w:rsidR="00073758" w:rsidRDefault="002B2036" w:rsidP="002B2036">
            <w:pPr>
              <w:pStyle w:val="EBBodyPara"/>
            </w:pPr>
            <w:r>
              <w:t>£0-116</w:t>
            </w:r>
            <w:r w:rsidR="00073758">
              <w:t>m benefit</w:t>
            </w:r>
          </w:p>
        </w:tc>
      </w:tr>
      <w:tr w:rsidR="00073758" w:rsidTr="00431142">
        <w:tc>
          <w:tcPr>
            <w:tcW w:w="5002" w:type="dxa"/>
          </w:tcPr>
          <w:p w:rsidR="00073758" w:rsidRDefault="00073758" w:rsidP="00431142">
            <w:pPr>
              <w:pStyle w:val="EBBodyPara"/>
            </w:pPr>
            <w:r>
              <w:t>GPs</w:t>
            </w:r>
          </w:p>
        </w:tc>
        <w:tc>
          <w:tcPr>
            <w:tcW w:w="4994" w:type="dxa"/>
          </w:tcPr>
          <w:p w:rsidR="00073758" w:rsidRDefault="00073758" w:rsidP="00431142">
            <w:pPr>
              <w:pStyle w:val="EBBodyPara"/>
            </w:pPr>
            <w:r>
              <w:t>0</w:t>
            </w:r>
          </w:p>
        </w:tc>
      </w:tr>
      <w:tr w:rsidR="00073758" w:rsidTr="00431142">
        <w:tc>
          <w:tcPr>
            <w:tcW w:w="5002" w:type="dxa"/>
          </w:tcPr>
          <w:p w:rsidR="00073758" w:rsidRDefault="00073758" w:rsidP="00431142">
            <w:pPr>
              <w:pStyle w:val="EBBodyPara"/>
            </w:pPr>
            <w:r>
              <w:t>Social Care</w:t>
            </w:r>
          </w:p>
        </w:tc>
        <w:tc>
          <w:tcPr>
            <w:tcW w:w="4994" w:type="dxa"/>
          </w:tcPr>
          <w:p w:rsidR="00073758" w:rsidRDefault="00073758" w:rsidP="002B2036">
            <w:pPr>
              <w:pStyle w:val="EBBodyPara"/>
            </w:pPr>
            <w:r>
              <w:t>£0-</w:t>
            </w:r>
            <w:r w:rsidR="002B2036">
              <w:t>1,014</w:t>
            </w:r>
            <w:r>
              <w:t>m benefit</w:t>
            </w:r>
          </w:p>
        </w:tc>
      </w:tr>
      <w:tr w:rsidR="00073758" w:rsidTr="00431142">
        <w:tc>
          <w:tcPr>
            <w:tcW w:w="5002" w:type="dxa"/>
          </w:tcPr>
          <w:p w:rsidR="00073758" w:rsidRDefault="00073758" w:rsidP="00431142">
            <w:pPr>
              <w:pStyle w:val="EBBodyPara"/>
            </w:pPr>
            <w:r>
              <w:t>Total</w:t>
            </w:r>
            <w:r w:rsidR="00BE6231">
              <w:rPr>
                <w:rStyle w:val="FootnoteReference"/>
              </w:rPr>
              <w:footnoteReference w:id="7"/>
            </w:r>
          </w:p>
        </w:tc>
        <w:tc>
          <w:tcPr>
            <w:tcW w:w="4994" w:type="dxa"/>
          </w:tcPr>
          <w:p w:rsidR="00073758" w:rsidRDefault="002B2036" w:rsidP="00431142">
            <w:pPr>
              <w:pStyle w:val="EBBodyPara"/>
            </w:pPr>
            <w:r>
              <w:t>£0-1130</w:t>
            </w:r>
            <w:r w:rsidR="00073758">
              <w:t>m benefit</w:t>
            </w:r>
          </w:p>
        </w:tc>
      </w:tr>
    </w:tbl>
    <w:p w:rsidR="00073758" w:rsidRDefault="00073758" w:rsidP="00073758">
      <w:pPr>
        <w:pStyle w:val="EBNumber"/>
        <w:numPr>
          <w:ilvl w:val="1"/>
          <w:numId w:val="11"/>
        </w:numPr>
        <w:spacing w:before="240"/>
      </w:pPr>
      <w:r>
        <w:t xml:space="preserve">However, due to the difficulties in determining the likely behaviour of providers in response to fee increases, and the uncertainties of these potential health impacts, we do not seek to fully quantify these and include them in our final assessment of the monetised costs and benefits of the policy. Instead the potential ranges are simply presented for further information about the potential scale of additional impacts that might arise.    </w:t>
      </w:r>
    </w:p>
    <w:p w:rsidR="00C53D21" w:rsidRDefault="00C53D21" w:rsidP="00C53D21">
      <w:pPr>
        <w:pStyle w:val="EBNumber"/>
        <w:numPr>
          <w:ilvl w:val="0"/>
          <w:numId w:val="0"/>
        </w:numPr>
        <w:spacing w:before="240"/>
        <w:ind w:left="425"/>
      </w:pPr>
    </w:p>
    <w:p w:rsidR="00073758" w:rsidRDefault="00073758" w:rsidP="00073758">
      <w:pPr>
        <w:pStyle w:val="Heading5"/>
      </w:pPr>
      <w:r>
        <w:lastRenderedPageBreak/>
        <w:t>Risks and sensitivities</w:t>
      </w:r>
    </w:p>
    <w:p w:rsidR="00073758" w:rsidRDefault="00073758" w:rsidP="00073758">
      <w:pPr>
        <w:pStyle w:val="EBNumber"/>
        <w:numPr>
          <w:ilvl w:val="1"/>
          <w:numId w:val="11"/>
        </w:numPr>
      </w:pPr>
      <w:r>
        <w:t xml:space="preserve">As previously discussed, it is not possible to estimate the additional impact of the new fee raising power on </w:t>
      </w:r>
      <w:r w:rsidR="008D6D38">
        <w:t xml:space="preserve">the </w:t>
      </w:r>
      <w:r>
        <w:t xml:space="preserve">CQC fees as </w:t>
      </w:r>
      <w:r w:rsidR="008D6D38">
        <w:t xml:space="preserve">the </w:t>
      </w:r>
      <w:r>
        <w:t xml:space="preserve">CQC’s projected fee increases have been made under the assumption that they will be able to charge for all aspects of their inspection process. It is not clear what level of fee increases might be possible without this change. In addition, the estimated fee increases have been based on an assumption that </w:t>
      </w:r>
      <w:r w:rsidR="008D6D38">
        <w:t xml:space="preserve">the </w:t>
      </w:r>
      <w:r>
        <w:t>CQC’s costs will remain at their 15/16 levels. This does not take into account the potential for further efficiencies in their model, which will serve to reduce costs and therefore the level of fee increases. On this basis, the estimate of the additional costs in this Impact Assessment is likely to be the upper bound of the potential true costs.</w:t>
      </w:r>
    </w:p>
    <w:p w:rsidR="00073758" w:rsidRDefault="00073758" w:rsidP="00073758">
      <w:pPr>
        <w:pStyle w:val="EBNumber"/>
        <w:numPr>
          <w:ilvl w:val="1"/>
          <w:numId w:val="11"/>
        </w:numPr>
      </w:pPr>
      <w:r>
        <w:t xml:space="preserve">In addition, there is a risk that any increases in fees could have a destabilising effect on providers, as many providers are facing a tough financial climate, with increased running costs and reductions in income. During </w:t>
      </w:r>
      <w:r w:rsidR="008D6D38">
        <w:t xml:space="preserve">the </w:t>
      </w:r>
      <w:r>
        <w:t xml:space="preserve">CQC’s consultation into their fee levels for 15/16, 80% of providers opposed the proposed 9% fee increases for this reason. Although this proposed policy will not prescribe or require </w:t>
      </w:r>
      <w:r w:rsidR="008D6D38">
        <w:t xml:space="preserve">the </w:t>
      </w:r>
      <w:r>
        <w:t xml:space="preserve">CQC to make any changes in its fee levels, the policy intention is that this will allow </w:t>
      </w:r>
      <w:r w:rsidR="008D6D38">
        <w:t xml:space="preserve">the </w:t>
      </w:r>
      <w:r>
        <w:t xml:space="preserve">CQC to move towards a position of full cost recovery. The key mitigation for this risk will therefore be for </w:t>
      </w:r>
      <w:r w:rsidR="008D6D38">
        <w:t xml:space="preserve">the </w:t>
      </w:r>
      <w:r>
        <w:t xml:space="preserve">CQC to work closely with its stakeholders to ensure that its planned trajectory to full cost recovery is able to balance the financial risks to the sector against the need to reach full cost recovery in accordance with HM Treasury guidance. In addition, </w:t>
      </w:r>
      <w:r w:rsidR="008D6D38">
        <w:t xml:space="preserve">the </w:t>
      </w:r>
      <w:r>
        <w:t>CQC will need to work to identify potential efficiencies in its operating model that can work to reduce its costs and thus, the level of fee increases required to reach full cost recovery.</w:t>
      </w:r>
    </w:p>
    <w:p w:rsidR="00073758" w:rsidRPr="005649EF" w:rsidRDefault="00073758" w:rsidP="00073758">
      <w:pPr>
        <w:pStyle w:val="Heading3"/>
      </w:pPr>
      <w:r>
        <w:t>Section E: Summary of s</w:t>
      </w:r>
      <w:r w:rsidRPr="005649EF">
        <w:t xml:space="preserve">pecific </w:t>
      </w:r>
      <w:r>
        <w:t>i</w:t>
      </w:r>
      <w:r w:rsidRPr="005649EF">
        <w:t>mpact tests:</w:t>
      </w:r>
    </w:p>
    <w:p w:rsidR="00073758" w:rsidRPr="00597FC0" w:rsidRDefault="00073758" w:rsidP="00073758">
      <w:pPr>
        <w:pStyle w:val="Heading4"/>
      </w:pPr>
      <w:r w:rsidRPr="00597FC0">
        <w:t>Equality Impact Assessment</w:t>
      </w:r>
    </w:p>
    <w:p w:rsidR="00073758" w:rsidRPr="005649EF" w:rsidRDefault="00073758" w:rsidP="00073758">
      <w:pPr>
        <w:pStyle w:val="EBNumber"/>
        <w:numPr>
          <w:ilvl w:val="1"/>
          <w:numId w:val="11"/>
        </w:numPr>
        <w:tabs>
          <w:tab w:val="num" w:pos="1145"/>
        </w:tabs>
      </w:pPr>
      <w:r w:rsidRPr="005649EF">
        <w:t>This</w:t>
      </w:r>
      <w:r>
        <w:t xml:space="preserve"> </w:t>
      </w:r>
      <w:r w:rsidRPr="005649EF">
        <w:t>policy proposal impacts</w:t>
      </w:r>
      <w:r>
        <w:t xml:space="preserve"> all </w:t>
      </w:r>
      <w:r w:rsidR="008D6D38">
        <w:t xml:space="preserve">the </w:t>
      </w:r>
      <w:r>
        <w:t>CQC registered health and adult social care p</w:t>
      </w:r>
      <w:r w:rsidRPr="005649EF">
        <w:t>roviders</w:t>
      </w:r>
      <w:r>
        <w:t>.</w:t>
      </w:r>
      <w:r w:rsidRPr="005649EF">
        <w:t xml:space="preserve"> The costs will not impact service users or any group of individuals.</w:t>
      </w:r>
      <w:r>
        <w:t xml:space="preserve"> </w:t>
      </w:r>
      <w:r w:rsidRPr="005649EF">
        <w:t xml:space="preserve">This policy will </w:t>
      </w:r>
      <w:r>
        <w:t>n</w:t>
      </w:r>
      <w:r w:rsidRPr="005649EF">
        <w:t>ot disproportionately affect any one demographic or social group.</w:t>
      </w:r>
      <w:r>
        <w:t xml:space="preserve"> </w:t>
      </w:r>
      <w:r w:rsidRPr="005649EF">
        <w:t xml:space="preserve">In general, the </w:t>
      </w:r>
      <w:r>
        <w:t>users of healthcare services</w:t>
      </w:r>
      <w:r w:rsidRPr="005649EF">
        <w:t xml:space="preserve"> tend to be people from older age groups, lower income distribution and those with disabilities or long</w:t>
      </w:r>
      <w:r>
        <w:t xml:space="preserve"> </w:t>
      </w:r>
      <w:r w:rsidRPr="005649EF">
        <w:t>term conditions.</w:t>
      </w:r>
    </w:p>
    <w:p w:rsidR="00073758" w:rsidRPr="00597FC0" w:rsidRDefault="00073758" w:rsidP="00073758">
      <w:pPr>
        <w:pStyle w:val="Heading4"/>
      </w:pPr>
      <w:r w:rsidRPr="00597FC0">
        <w:t>Competition</w:t>
      </w:r>
    </w:p>
    <w:p w:rsidR="00073758" w:rsidRPr="005649EF" w:rsidRDefault="00073758" w:rsidP="00073758">
      <w:pPr>
        <w:pStyle w:val="Heading5"/>
      </w:pPr>
      <w:r w:rsidRPr="005649EF">
        <w:t xml:space="preserve">In any affected market, would the proposal: </w:t>
      </w:r>
    </w:p>
    <w:p w:rsidR="00073758" w:rsidRPr="005649EF" w:rsidRDefault="00073758" w:rsidP="00073758">
      <w:pPr>
        <w:pStyle w:val="Heading5"/>
      </w:pPr>
      <w:r w:rsidRPr="005649EF">
        <w:t xml:space="preserve">Directly limit the number or range of suppliers? </w:t>
      </w:r>
    </w:p>
    <w:p w:rsidR="00073758" w:rsidRPr="005649EF" w:rsidRDefault="00073758" w:rsidP="00073758">
      <w:pPr>
        <w:pStyle w:val="EBNumber"/>
        <w:numPr>
          <w:ilvl w:val="1"/>
          <w:numId w:val="11"/>
        </w:numPr>
        <w:tabs>
          <w:tab w:val="num" w:pos="1145"/>
        </w:tabs>
      </w:pPr>
      <w:r w:rsidRPr="005649EF">
        <w:t xml:space="preserve">No. The proposals do not involve the award of exclusive rights to supply services, procurement will not be from a single supplier or restricted group of suppliers. </w:t>
      </w:r>
    </w:p>
    <w:p w:rsidR="00073758" w:rsidRPr="005649EF" w:rsidRDefault="00073758" w:rsidP="00073758">
      <w:pPr>
        <w:pStyle w:val="Heading5"/>
      </w:pPr>
      <w:r w:rsidRPr="005649EF">
        <w:t xml:space="preserve">Indirectly limit the number or range of suppliers? </w:t>
      </w:r>
    </w:p>
    <w:p w:rsidR="00073758" w:rsidRPr="005649EF" w:rsidRDefault="008D6D38" w:rsidP="00073758">
      <w:pPr>
        <w:pStyle w:val="EBNumber"/>
        <w:numPr>
          <w:ilvl w:val="1"/>
          <w:numId w:val="11"/>
        </w:numPr>
      </w:pPr>
      <w:r>
        <w:t xml:space="preserve">The </w:t>
      </w:r>
      <w:r w:rsidR="00073758">
        <w:t xml:space="preserve">CQC already currently requires payment of an annual fee for all organisations that provide any of the regulated activities as defined in Schedule 1 of </w:t>
      </w:r>
      <w:r w:rsidR="00073758" w:rsidRPr="00704475">
        <w:t>The Health and Social Care Act 2008 (Regulated Activities) Regulations 2014</w:t>
      </w:r>
      <w:r w:rsidR="00073758">
        <w:t xml:space="preserve">. Increases in fee levels may have some impact on the decision or ability of providers to enter or remain in the market. Overall this effect is anticipated to be small, relative to the other potential factors that might influence decisions on such factors </w:t>
      </w:r>
    </w:p>
    <w:p w:rsidR="00073758" w:rsidRPr="005649EF" w:rsidRDefault="00073758" w:rsidP="00073758">
      <w:pPr>
        <w:pStyle w:val="Heading5"/>
      </w:pPr>
      <w:r w:rsidRPr="005649EF">
        <w:t xml:space="preserve">Limit the ability of suppliers to compete? </w:t>
      </w:r>
    </w:p>
    <w:p w:rsidR="00073758" w:rsidRPr="002D2017" w:rsidRDefault="00073758" w:rsidP="00073758">
      <w:pPr>
        <w:pStyle w:val="EBNumber"/>
        <w:numPr>
          <w:ilvl w:val="1"/>
          <w:numId w:val="11"/>
        </w:numPr>
        <w:tabs>
          <w:tab w:val="num" w:pos="1145"/>
        </w:tabs>
        <w:rPr>
          <w:strike/>
          <w:color w:val="auto"/>
        </w:rPr>
      </w:pPr>
      <w:r w:rsidRPr="002D2017">
        <w:rPr>
          <w:color w:val="auto"/>
        </w:rPr>
        <w:t xml:space="preserve">This duty is not expected to have any impact on suppliers. </w:t>
      </w:r>
      <w:r>
        <w:rPr>
          <w:color w:val="auto"/>
        </w:rPr>
        <w:t>A</w:t>
      </w:r>
      <w:r w:rsidRPr="002D2017">
        <w:rPr>
          <w:color w:val="auto"/>
        </w:rPr>
        <w:t xml:space="preserve">ll </w:t>
      </w:r>
      <w:r w:rsidR="008D6D38">
        <w:rPr>
          <w:color w:val="auto"/>
        </w:rPr>
        <w:t xml:space="preserve">providers </w:t>
      </w:r>
      <w:r w:rsidR="008D6D38" w:rsidRPr="002D2017">
        <w:rPr>
          <w:color w:val="auto"/>
        </w:rPr>
        <w:t>of health and adult social care</w:t>
      </w:r>
      <w:r w:rsidR="008D6D38">
        <w:rPr>
          <w:color w:val="auto"/>
        </w:rPr>
        <w:t xml:space="preserve"> registered with the </w:t>
      </w:r>
      <w:r w:rsidRPr="002D2017">
        <w:rPr>
          <w:color w:val="auto"/>
        </w:rPr>
        <w:t xml:space="preserve">CQC </w:t>
      </w:r>
      <w:r>
        <w:rPr>
          <w:color w:val="auto"/>
        </w:rPr>
        <w:t>will be affected</w:t>
      </w:r>
      <w:r w:rsidRPr="002D2017">
        <w:rPr>
          <w:color w:val="auto"/>
        </w:rPr>
        <w:t>.</w:t>
      </w:r>
    </w:p>
    <w:p w:rsidR="00073758" w:rsidRDefault="00073758" w:rsidP="00073758">
      <w:pPr>
        <w:pStyle w:val="EBNumber"/>
        <w:numPr>
          <w:ilvl w:val="1"/>
          <w:numId w:val="11"/>
        </w:numPr>
        <w:tabs>
          <w:tab w:val="num" w:pos="1145"/>
        </w:tabs>
      </w:pPr>
      <w:r w:rsidRPr="005649EF">
        <w:t>This duty does</w:t>
      </w:r>
      <w:r>
        <w:t xml:space="preserve"> </w:t>
      </w:r>
      <w:r w:rsidRPr="005649EF">
        <w:t>not limit the scope for innovation for the introduction of new products or supply existing products in new ways. It does</w:t>
      </w:r>
      <w:r>
        <w:t xml:space="preserve"> </w:t>
      </w:r>
      <w:r w:rsidRPr="005649EF">
        <w:t>not limit the sales channels a supplier can use, or the geographic area in which a supplier can operate. It does not limit the suppliers' freedoms to organise their own production processes or their choice of organisational form.</w:t>
      </w:r>
      <w:r>
        <w:t xml:space="preserve"> </w:t>
      </w:r>
      <w:r w:rsidRPr="005649EF">
        <w:t>It does</w:t>
      </w:r>
      <w:r>
        <w:t xml:space="preserve"> </w:t>
      </w:r>
      <w:r w:rsidRPr="005649EF">
        <w:t>not substantially restrict the ability of suppliers to advertise their products</w:t>
      </w:r>
      <w:r>
        <w:t>.</w:t>
      </w:r>
    </w:p>
    <w:p w:rsidR="00073758" w:rsidRPr="005649EF" w:rsidRDefault="00073758" w:rsidP="00073758">
      <w:pPr>
        <w:pStyle w:val="Heading5"/>
      </w:pPr>
      <w:r w:rsidRPr="005649EF">
        <w:t xml:space="preserve">Reduce suppliers' incentives to compete vigorously? </w:t>
      </w:r>
    </w:p>
    <w:p w:rsidR="00073758" w:rsidRDefault="00073758" w:rsidP="00073758">
      <w:pPr>
        <w:pStyle w:val="EBNumber"/>
        <w:numPr>
          <w:ilvl w:val="1"/>
          <w:numId w:val="11"/>
        </w:numPr>
        <w:tabs>
          <w:tab w:val="num" w:pos="1145"/>
        </w:tabs>
      </w:pPr>
      <w:r>
        <w:lastRenderedPageBreak/>
        <w:t>No. The proposal will allow</w:t>
      </w:r>
      <w:r w:rsidR="008D6D38">
        <w:t xml:space="preserve"> the</w:t>
      </w:r>
      <w:r>
        <w:t xml:space="preserve"> CQC to charge a fee for all aspects of its inspection process, and so facilitate their movement towards full cost recover via fees.</w:t>
      </w:r>
    </w:p>
    <w:p w:rsidR="00073758" w:rsidRDefault="00073758" w:rsidP="00073758">
      <w:pPr>
        <w:pStyle w:val="Heading4"/>
      </w:pPr>
      <w:r w:rsidRPr="00292B35">
        <w:t>Small and Micro Business Assessment</w:t>
      </w:r>
    </w:p>
    <w:p w:rsidR="00073758" w:rsidRPr="002D2017" w:rsidRDefault="00073758" w:rsidP="00073758">
      <w:pPr>
        <w:pStyle w:val="Heading5"/>
        <w:rPr>
          <w:u w:val="single"/>
        </w:rPr>
      </w:pPr>
      <w:r>
        <w:t xml:space="preserve">How does </w:t>
      </w:r>
      <w:r w:rsidRPr="002D2017">
        <w:t>the proposal affect small businesses, their customers or competitors?</w:t>
      </w:r>
    </w:p>
    <w:p w:rsidR="00626AB8" w:rsidRPr="00292B35" w:rsidRDefault="00626AB8" w:rsidP="00626AB8">
      <w:pPr>
        <w:pStyle w:val="EBNumber"/>
        <w:numPr>
          <w:ilvl w:val="1"/>
          <w:numId w:val="11"/>
        </w:numPr>
        <w:tabs>
          <w:tab w:val="num" w:pos="1145"/>
        </w:tabs>
      </w:pPr>
      <w:r w:rsidRPr="00292B35">
        <w:rPr>
          <w:color w:val="auto"/>
        </w:rPr>
        <w:t>Although CQC do not collect information about the size of the organisations it regulations, it has been possible to gain a sense of the size distribution of providers it regulates from other sources. The 2013 Skills of Care report on the size and structure of the adult social care workforce</w:t>
      </w:r>
      <w:r>
        <w:rPr>
          <w:rStyle w:val="FootnoteReference"/>
          <w:rFonts w:eastAsia="SimSun"/>
          <w:color w:val="auto"/>
        </w:rPr>
        <w:footnoteReference w:id="8"/>
      </w:r>
      <w:r w:rsidRPr="00292B35">
        <w:rPr>
          <w:color w:val="auto"/>
        </w:rPr>
        <w:t xml:space="preserve"> used ONS data to estimate that there were a total of 17,100 adult social care providers, of which 86% would be considered small or micro businesses.</w:t>
      </w:r>
    </w:p>
    <w:p w:rsidR="00626AB8" w:rsidRDefault="00626AB8" w:rsidP="00626AB8">
      <w:pPr>
        <w:pStyle w:val="EBNumber"/>
        <w:numPr>
          <w:ilvl w:val="0"/>
          <w:numId w:val="0"/>
        </w:numPr>
        <w:ind w:left="425"/>
      </w:pPr>
      <w:r>
        <w:rPr>
          <w:noProof/>
          <w:color w:val="auto"/>
        </w:rPr>
        <w:drawing>
          <wp:inline distT="0" distB="0" distL="0" distR="0" wp14:anchorId="140985FB" wp14:editId="4C65A8ED">
            <wp:extent cx="5731510" cy="13061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06195"/>
                    </a:xfrm>
                    <a:prstGeom prst="rect">
                      <a:avLst/>
                    </a:prstGeom>
                    <a:noFill/>
                    <a:ln>
                      <a:noFill/>
                    </a:ln>
                  </pic:spPr>
                </pic:pic>
              </a:graphicData>
            </a:graphic>
          </wp:inline>
        </w:drawing>
      </w:r>
    </w:p>
    <w:p w:rsidR="00626AB8" w:rsidRPr="00292B35" w:rsidRDefault="00626AB8" w:rsidP="00626AB8">
      <w:pPr>
        <w:pStyle w:val="EBNumber"/>
        <w:numPr>
          <w:ilvl w:val="1"/>
          <w:numId w:val="11"/>
        </w:numPr>
        <w:tabs>
          <w:tab w:val="num" w:pos="1145"/>
        </w:tabs>
      </w:pPr>
      <w:r>
        <w:t xml:space="preserve">This estimate is similar to that obtained from the BIS Annual Business Population Survey, which found that in 2013, there were approximately 50,000 employers in England with the Standard Industrial Classification (SIC2007) </w:t>
      </w:r>
      <w:r w:rsidRPr="00292B35">
        <w:rPr>
          <w:color w:val="auto"/>
        </w:rPr>
        <w:t>Human Health and Social Work Activities, of which 94% would be considered a small or micro business.</w:t>
      </w:r>
    </w:p>
    <w:tbl>
      <w:tblPr>
        <w:tblStyle w:val="TableGrid1"/>
        <w:tblW w:w="6590" w:type="dxa"/>
        <w:jc w:val="center"/>
        <w:tblInd w:w="669" w:type="dxa"/>
        <w:tblLook w:val="04A0" w:firstRow="1" w:lastRow="0" w:firstColumn="1" w:lastColumn="0" w:noHBand="0" w:noVBand="1"/>
      </w:tblPr>
      <w:tblGrid>
        <w:gridCol w:w="4337"/>
        <w:gridCol w:w="2253"/>
      </w:tblGrid>
      <w:tr w:rsidR="00626AB8" w:rsidRPr="00366EA0" w:rsidTr="00A47591">
        <w:trPr>
          <w:trHeight w:val="285"/>
          <w:jc w:val="center"/>
        </w:trPr>
        <w:tc>
          <w:tcPr>
            <w:tcW w:w="6590" w:type="dxa"/>
            <w:gridSpan w:val="2"/>
            <w:tcBorders>
              <w:top w:val="single" w:sz="4" w:space="0" w:color="FFFFFF" w:themeColor="background1"/>
              <w:left w:val="single" w:sz="4" w:space="0" w:color="FFFFFF" w:themeColor="background1"/>
              <w:right w:val="single" w:sz="4" w:space="0" w:color="FFFFFF" w:themeColor="background1"/>
            </w:tcBorders>
            <w:noWrap/>
          </w:tcPr>
          <w:p w:rsidR="00626AB8" w:rsidRPr="00D52350" w:rsidRDefault="00626AB8" w:rsidP="00A47591">
            <w:pPr>
              <w:rPr>
                <w:rFonts w:cs="Arial"/>
                <w:b/>
                <w:sz w:val="20"/>
                <w:szCs w:val="20"/>
                <w:lang w:eastAsia="en-GB"/>
              </w:rPr>
            </w:pPr>
            <w:r w:rsidRPr="00D52350">
              <w:rPr>
                <w:rFonts w:cs="Arial"/>
                <w:b/>
                <w:sz w:val="20"/>
                <w:szCs w:val="20"/>
                <w:lang w:eastAsia="en-GB"/>
              </w:rPr>
              <w:t>Count of number of private businesses within SIC2007 Q - Human Health and Social Work Activities in England</w:t>
            </w:r>
          </w:p>
        </w:tc>
      </w:tr>
      <w:tr w:rsidR="00626AB8" w:rsidRPr="00366EA0" w:rsidTr="00A47591">
        <w:trPr>
          <w:trHeight w:val="28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All employers</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50,295</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1</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5,285</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2-4</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14,305</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5-9</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10,025</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10-19</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9,505</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20-49</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8,115</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50-99</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1,975</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100-199</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650</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200-249</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110</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250-499</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175</w:t>
            </w:r>
          </w:p>
        </w:tc>
      </w:tr>
      <w:tr w:rsidR="00626AB8" w:rsidRPr="00366EA0" w:rsidTr="00A47591">
        <w:trPr>
          <w:trHeight w:val="255"/>
          <w:jc w:val="center"/>
        </w:trPr>
        <w:tc>
          <w:tcPr>
            <w:tcW w:w="4337" w:type="dxa"/>
            <w:noWrap/>
            <w:hideMark/>
          </w:tcPr>
          <w:p w:rsidR="00626AB8" w:rsidRPr="00366EA0" w:rsidRDefault="00626AB8" w:rsidP="00A47591">
            <w:pPr>
              <w:rPr>
                <w:rFonts w:cs="Arial"/>
                <w:sz w:val="20"/>
                <w:szCs w:val="20"/>
                <w:lang w:eastAsia="en-GB"/>
              </w:rPr>
            </w:pPr>
            <w:r w:rsidRPr="00366EA0">
              <w:rPr>
                <w:rFonts w:cs="Arial"/>
                <w:sz w:val="20"/>
                <w:szCs w:val="20"/>
                <w:lang w:eastAsia="en-GB"/>
              </w:rPr>
              <w:t xml:space="preserve">   500 or more</w:t>
            </w:r>
          </w:p>
        </w:tc>
        <w:tc>
          <w:tcPr>
            <w:tcW w:w="2253" w:type="dxa"/>
            <w:noWrap/>
            <w:hideMark/>
          </w:tcPr>
          <w:p w:rsidR="00626AB8" w:rsidRPr="00366EA0" w:rsidRDefault="00626AB8" w:rsidP="00A47591">
            <w:pPr>
              <w:jc w:val="right"/>
              <w:rPr>
                <w:rFonts w:cs="Arial"/>
                <w:sz w:val="20"/>
                <w:szCs w:val="20"/>
                <w:lang w:eastAsia="en-GB"/>
              </w:rPr>
            </w:pPr>
            <w:r w:rsidRPr="00366EA0">
              <w:rPr>
                <w:rFonts w:cs="Arial"/>
                <w:sz w:val="20"/>
                <w:szCs w:val="20"/>
                <w:lang w:eastAsia="en-GB"/>
              </w:rPr>
              <w:t>150</w:t>
            </w:r>
          </w:p>
        </w:tc>
      </w:tr>
      <w:tr w:rsidR="00626AB8" w:rsidRPr="00366EA0" w:rsidTr="00A47591">
        <w:trPr>
          <w:trHeight w:val="255"/>
          <w:jc w:val="center"/>
        </w:trPr>
        <w:tc>
          <w:tcPr>
            <w:tcW w:w="6590" w:type="dxa"/>
            <w:gridSpan w:val="2"/>
            <w:tcBorders>
              <w:left w:val="single" w:sz="4" w:space="0" w:color="FFFFFF" w:themeColor="background1"/>
              <w:bottom w:val="single" w:sz="4" w:space="0" w:color="FFFFFF" w:themeColor="background1"/>
              <w:right w:val="single" w:sz="4" w:space="0" w:color="FFFFFF" w:themeColor="background1"/>
            </w:tcBorders>
            <w:noWrap/>
          </w:tcPr>
          <w:p w:rsidR="00626AB8" w:rsidRPr="00366EA0" w:rsidRDefault="00626AB8" w:rsidP="00A47591">
            <w:pPr>
              <w:jc w:val="right"/>
              <w:rPr>
                <w:rFonts w:cs="Arial"/>
                <w:sz w:val="20"/>
                <w:szCs w:val="20"/>
                <w:lang w:eastAsia="en-GB"/>
              </w:rPr>
            </w:pPr>
            <w:r>
              <w:rPr>
                <w:rFonts w:cs="Arial"/>
                <w:sz w:val="20"/>
                <w:szCs w:val="20"/>
                <w:lang w:eastAsia="en-GB"/>
              </w:rPr>
              <w:t>Source 2013 BIS Business Population Survey</w:t>
            </w:r>
          </w:p>
        </w:tc>
      </w:tr>
    </w:tbl>
    <w:p w:rsidR="00C90C09" w:rsidRDefault="00C90C09" w:rsidP="00073758">
      <w:pPr>
        <w:pStyle w:val="EBNumber"/>
        <w:numPr>
          <w:ilvl w:val="1"/>
          <w:numId w:val="11"/>
        </w:numPr>
      </w:pPr>
      <w:r>
        <w:t>Although not an exact indicator of the number of employees, from CQC’s directory of registered providers as at 1</w:t>
      </w:r>
      <w:r w:rsidRPr="00C90C09">
        <w:rPr>
          <w:vertAlign w:val="superscript"/>
        </w:rPr>
        <w:t>st</w:t>
      </w:r>
      <w:r>
        <w:t xml:space="preserve"> January 2016, 85% of providers registered with CQC only had one registered location:</w:t>
      </w:r>
    </w:p>
    <w:tbl>
      <w:tblPr>
        <w:tblW w:w="4840" w:type="dxa"/>
        <w:jc w:val="center"/>
        <w:tblInd w:w="93" w:type="dxa"/>
        <w:tblLook w:val="04A0" w:firstRow="1" w:lastRow="0" w:firstColumn="1" w:lastColumn="0" w:noHBand="0" w:noVBand="1"/>
      </w:tblPr>
      <w:tblGrid>
        <w:gridCol w:w="2020"/>
        <w:gridCol w:w="1860"/>
        <w:gridCol w:w="960"/>
      </w:tblGrid>
      <w:tr w:rsidR="00C90C09" w:rsidRPr="00C90C09" w:rsidTr="00C90C09">
        <w:trPr>
          <w:trHeight w:val="300"/>
          <w:jc w:val="center"/>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b/>
                <w:bCs/>
                <w:color w:val="000000"/>
                <w:sz w:val="22"/>
                <w:szCs w:val="22"/>
                <w:lang w:eastAsia="en-GB"/>
              </w:rPr>
            </w:pPr>
            <w:r w:rsidRPr="00C90C09">
              <w:rPr>
                <w:rFonts w:ascii="Calibri" w:hAnsi="Calibri" w:cs="Calibri"/>
                <w:b/>
                <w:bCs/>
                <w:color w:val="000000"/>
                <w:sz w:val="22"/>
                <w:szCs w:val="22"/>
                <w:lang w:eastAsia="en-GB"/>
              </w:rPr>
              <w:t>Number of locations</w:t>
            </w:r>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b/>
                <w:bCs/>
                <w:color w:val="000000"/>
                <w:sz w:val="22"/>
                <w:szCs w:val="22"/>
                <w:lang w:eastAsia="en-GB"/>
              </w:rPr>
            </w:pPr>
            <w:r w:rsidRPr="00C90C09">
              <w:rPr>
                <w:rFonts w:ascii="Calibri" w:hAnsi="Calibri" w:cs="Calibri"/>
                <w:b/>
                <w:bCs/>
                <w:color w:val="000000"/>
                <w:sz w:val="22"/>
                <w:szCs w:val="22"/>
                <w:lang w:eastAsia="en-GB"/>
              </w:rPr>
              <w:t>Count of providers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b/>
                <w:bCs/>
                <w:color w:val="000000"/>
                <w:sz w:val="22"/>
                <w:szCs w:val="22"/>
                <w:lang w:eastAsia="en-GB"/>
              </w:rPr>
            </w:pPr>
            <w:r w:rsidRPr="00C90C09">
              <w:rPr>
                <w:rFonts w:ascii="Calibri" w:hAnsi="Calibri" w:cs="Calibri"/>
                <w:b/>
                <w:bCs/>
                <w:color w:val="000000"/>
                <w:sz w:val="22"/>
                <w:szCs w:val="22"/>
                <w:lang w:eastAsia="en-GB"/>
              </w:rPr>
              <w:t>%</w:t>
            </w:r>
          </w:p>
        </w:tc>
      </w:tr>
      <w:tr w:rsidR="00C90C09" w:rsidRPr="00C90C09" w:rsidTr="00C90C09">
        <w:trPr>
          <w:trHeight w:val="3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1</w:t>
            </w:r>
          </w:p>
        </w:tc>
        <w:tc>
          <w:tcPr>
            <w:tcW w:w="18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26070</w:t>
            </w:r>
          </w:p>
        </w:tc>
        <w:tc>
          <w:tcPr>
            <w:tcW w:w="9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85%</w:t>
            </w:r>
          </w:p>
        </w:tc>
      </w:tr>
      <w:tr w:rsidR="00C90C09" w:rsidRPr="00C90C09" w:rsidTr="00C90C09">
        <w:trPr>
          <w:trHeight w:val="3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2</w:t>
            </w:r>
          </w:p>
        </w:tc>
        <w:tc>
          <w:tcPr>
            <w:tcW w:w="18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2520</w:t>
            </w:r>
          </w:p>
        </w:tc>
        <w:tc>
          <w:tcPr>
            <w:tcW w:w="9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8%</w:t>
            </w:r>
          </w:p>
        </w:tc>
      </w:tr>
      <w:tr w:rsidR="00C90C09" w:rsidRPr="00C90C09" w:rsidTr="00C90C09">
        <w:trPr>
          <w:trHeight w:val="3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3</w:t>
            </w:r>
          </w:p>
        </w:tc>
        <w:tc>
          <w:tcPr>
            <w:tcW w:w="18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792</w:t>
            </w:r>
          </w:p>
        </w:tc>
        <w:tc>
          <w:tcPr>
            <w:tcW w:w="9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3%</w:t>
            </w:r>
          </w:p>
        </w:tc>
      </w:tr>
      <w:tr w:rsidR="00C90C09" w:rsidRPr="00C90C09" w:rsidTr="00C90C09">
        <w:trPr>
          <w:trHeight w:val="3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4</w:t>
            </w:r>
          </w:p>
        </w:tc>
        <w:tc>
          <w:tcPr>
            <w:tcW w:w="18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359</w:t>
            </w:r>
          </w:p>
        </w:tc>
        <w:tc>
          <w:tcPr>
            <w:tcW w:w="9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1%</w:t>
            </w:r>
          </w:p>
        </w:tc>
      </w:tr>
      <w:tr w:rsidR="00C90C09" w:rsidRPr="00C90C09" w:rsidTr="00C90C09">
        <w:trPr>
          <w:trHeight w:val="3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 xml:space="preserve">   5+</w:t>
            </w:r>
          </w:p>
        </w:tc>
        <w:tc>
          <w:tcPr>
            <w:tcW w:w="18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1080</w:t>
            </w:r>
          </w:p>
        </w:tc>
        <w:tc>
          <w:tcPr>
            <w:tcW w:w="960" w:type="dxa"/>
            <w:tcBorders>
              <w:top w:val="nil"/>
              <w:left w:val="nil"/>
              <w:bottom w:val="single" w:sz="4" w:space="0" w:color="auto"/>
              <w:right w:val="single" w:sz="4" w:space="0" w:color="auto"/>
            </w:tcBorders>
            <w:shd w:val="clear" w:color="auto" w:fill="auto"/>
            <w:noWrap/>
            <w:vAlign w:val="bottom"/>
            <w:hideMark/>
          </w:tcPr>
          <w:p w:rsidR="00C90C09" w:rsidRPr="00C90C09" w:rsidRDefault="00C90C09" w:rsidP="00C90C09">
            <w:pPr>
              <w:jc w:val="center"/>
              <w:rPr>
                <w:rFonts w:ascii="Calibri" w:hAnsi="Calibri" w:cs="Calibri"/>
                <w:color w:val="000000"/>
                <w:sz w:val="22"/>
                <w:szCs w:val="22"/>
                <w:lang w:eastAsia="en-GB"/>
              </w:rPr>
            </w:pPr>
            <w:r w:rsidRPr="00C90C09">
              <w:rPr>
                <w:rFonts w:ascii="Calibri" w:hAnsi="Calibri" w:cs="Calibri"/>
                <w:color w:val="000000"/>
                <w:sz w:val="22"/>
                <w:szCs w:val="22"/>
                <w:lang w:eastAsia="en-GB"/>
              </w:rPr>
              <w:t>4%</w:t>
            </w:r>
          </w:p>
        </w:tc>
      </w:tr>
    </w:tbl>
    <w:p w:rsidR="00C90C09" w:rsidRDefault="00C90C09" w:rsidP="00C90C09">
      <w:pPr>
        <w:pStyle w:val="EBNumber"/>
        <w:numPr>
          <w:ilvl w:val="0"/>
          <w:numId w:val="0"/>
        </w:numPr>
        <w:ind w:left="425"/>
      </w:pPr>
    </w:p>
    <w:p w:rsidR="00626AB8" w:rsidRDefault="00626AB8" w:rsidP="00073758">
      <w:pPr>
        <w:pStyle w:val="EBNumber"/>
        <w:numPr>
          <w:ilvl w:val="1"/>
          <w:numId w:val="11"/>
        </w:numPr>
      </w:pPr>
      <w:r>
        <w:t>Thus, it is likely that the large majority of private providers registered with CQC will be small or micro businesses.</w:t>
      </w:r>
    </w:p>
    <w:p w:rsidR="00073758" w:rsidRDefault="00073758" w:rsidP="00073758">
      <w:pPr>
        <w:pStyle w:val="EBNumber"/>
        <w:numPr>
          <w:ilvl w:val="1"/>
          <w:numId w:val="11"/>
        </w:numPr>
      </w:pPr>
      <w:r>
        <w:t xml:space="preserve">The proposed requirement would apply equally to providers of all sizes. The proposal would be to grant </w:t>
      </w:r>
      <w:r w:rsidR="008D6D38">
        <w:t xml:space="preserve">the </w:t>
      </w:r>
      <w:r>
        <w:t xml:space="preserve">CQC a fee raising power over all aspects of its inspection process. The regulations would </w:t>
      </w:r>
      <w:r>
        <w:lastRenderedPageBreak/>
        <w:t xml:space="preserve">not make any prescriptions over </w:t>
      </w:r>
      <w:r w:rsidR="008D6D38">
        <w:t xml:space="preserve">the </w:t>
      </w:r>
      <w:r>
        <w:t xml:space="preserve">CQC’s fees policy or its future fee levels.  </w:t>
      </w:r>
      <w:r w:rsidR="008D6D38">
        <w:t xml:space="preserve">The </w:t>
      </w:r>
      <w:r>
        <w:t>CQC already do take into account the size of the provider when setting fees, so that larger providers with more locations pay higher fees compared to smaller providers</w:t>
      </w:r>
      <w:r w:rsidR="00626AB8">
        <w:rPr>
          <w:rStyle w:val="FootnoteReference"/>
        </w:rPr>
        <w:footnoteReference w:id="9"/>
      </w:r>
      <w:r>
        <w:t xml:space="preserve">. The proposed regulation is not anticipated to change this policy. </w:t>
      </w:r>
    </w:p>
    <w:p w:rsidR="00073758" w:rsidRPr="000213AA" w:rsidRDefault="00073758" w:rsidP="00073758">
      <w:pPr>
        <w:pStyle w:val="EBNumber"/>
        <w:numPr>
          <w:ilvl w:val="1"/>
          <w:numId w:val="11"/>
        </w:numPr>
        <w:rPr>
          <w:color w:val="auto"/>
        </w:rPr>
      </w:pPr>
      <w:r>
        <w:t>In addition, the CQC are introducing other new measures which will further help to reduce the burden of fees on smaller providers. For example, t</w:t>
      </w:r>
      <w:r w:rsidRPr="000213AA">
        <w:rPr>
          <w:color w:val="auto"/>
        </w:rPr>
        <w:t>he CQC has introduced the facility for registered providers to pay their fees in instalments. This facility commenced in June for all providers billed in June, and will be followed by a phased, monthly, roll-out. This means that by May 2016, all providers will have been offered the option to pay by this method. This may provide a buffer for smaller, private businesses, which may already be operating in financially challenging circumstances.</w:t>
      </w:r>
    </w:p>
    <w:p w:rsidR="00073758" w:rsidRDefault="008D6D38" w:rsidP="00073758">
      <w:pPr>
        <w:pStyle w:val="EBNumber"/>
        <w:numPr>
          <w:ilvl w:val="1"/>
          <w:numId w:val="11"/>
        </w:numPr>
        <w:tabs>
          <w:tab w:val="num" w:pos="1145"/>
        </w:tabs>
        <w:ind w:left="426" w:hanging="426"/>
        <w:rPr>
          <w:color w:val="auto"/>
        </w:rPr>
      </w:pPr>
      <w:r>
        <w:rPr>
          <w:color w:val="auto"/>
        </w:rPr>
        <w:t xml:space="preserve">The </w:t>
      </w:r>
      <w:r w:rsidR="00073758">
        <w:rPr>
          <w:color w:val="auto"/>
        </w:rPr>
        <w:t>CQC will also continue to review its inspection processes to ensure that additional efficiencies and economies can be built in, which will serve to reduce the burden of fees and the move to full cost recovery for providers of all sizes.</w:t>
      </w:r>
    </w:p>
    <w:p w:rsidR="00073758" w:rsidRPr="002D2017" w:rsidRDefault="00073758" w:rsidP="00073758">
      <w:pPr>
        <w:pStyle w:val="Heading4"/>
        <w:rPr>
          <w:color w:val="auto"/>
        </w:rPr>
      </w:pPr>
      <w:r w:rsidRPr="002D2017">
        <w:rPr>
          <w:color w:val="auto"/>
        </w:rPr>
        <w:t>Legal Aid/ Justice Impact</w:t>
      </w:r>
    </w:p>
    <w:p w:rsidR="00073758" w:rsidRDefault="00073758" w:rsidP="00073758">
      <w:pPr>
        <w:pStyle w:val="EBNumber"/>
        <w:numPr>
          <w:ilvl w:val="1"/>
          <w:numId w:val="11"/>
        </w:numPr>
        <w:tabs>
          <w:tab w:val="num" w:pos="1145"/>
        </w:tabs>
      </w:pPr>
      <w:r w:rsidRPr="005649EF">
        <w:t>The following have been considered in the main impact assessment above and in the Ministry of Justice impact test</w:t>
      </w:r>
      <w:r>
        <w:t xml:space="preserve"> </w:t>
      </w:r>
      <w:r w:rsidRPr="005649EF">
        <w:t>provided alongside this document:</w:t>
      </w:r>
    </w:p>
    <w:p w:rsidR="00073758" w:rsidRPr="005649EF" w:rsidRDefault="00073758" w:rsidP="00073758">
      <w:pPr>
        <w:pStyle w:val="EBBullet"/>
        <w:numPr>
          <w:ilvl w:val="0"/>
          <w:numId w:val="15"/>
        </w:numPr>
        <w:tabs>
          <w:tab w:val="num" w:pos="709"/>
        </w:tabs>
        <w:ind w:left="1570" w:hanging="425"/>
      </w:pPr>
      <w:r w:rsidRPr="005649EF">
        <w:t>Will the proposals create new civil sanctions, fixed penalties or civil orders with criminal sanctions or creating or amending criminal offences?</w:t>
      </w:r>
      <w:r>
        <w:t xml:space="preserve"> </w:t>
      </w:r>
      <w:r>
        <w:rPr>
          <w:b/>
        </w:rPr>
        <w:t>No</w:t>
      </w:r>
    </w:p>
    <w:p w:rsidR="00073758" w:rsidRPr="00557267" w:rsidRDefault="00073758" w:rsidP="00073758">
      <w:pPr>
        <w:pStyle w:val="EBBullet"/>
        <w:numPr>
          <w:ilvl w:val="0"/>
          <w:numId w:val="15"/>
        </w:numPr>
        <w:tabs>
          <w:tab w:val="num" w:pos="709"/>
        </w:tabs>
        <w:ind w:left="1570" w:hanging="425"/>
        <w:rPr>
          <w:b/>
        </w:rPr>
      </w:pPr>
      <w:r w:rsidRPr="005649EF">
        <w:t xml:space="preserve">Any impact on HM Courts services or on Tribunals services through the creation of or an increase in application cases? </w:t>
      </w:r>
      <w:r>
        <w:rPr>
          <w:b/>
        </w:rPr>
        <w:t>No</w:t>
      </w:r>
    </w:p>
    <w:p w:rsidR="00073758" w:rsidRDefault="00073758" w:rsidP="00073758">
      <w:pPr>
        <w:pStyle w:val="EBBullet"/>
        <w:numPr>
          <w:ilvl w:val="0"/>
          <w:numId w:val="15"/>
        </w:numPr>
        <w:tabs>
          <w:tab w:val="num" w:pos="709"/>
        </w:tabs>
        <w:ind w:left="1570" w:hanging="425"/>
      </w:pPr>
      <w:r w:rsidRPr="005649EF">
        <w:t xml:space="preserve">Create a </w:t>
      </w:r>
      <w:r>
        <w:t>new right of appeal or route to</w:t>
      </w:r>
      <w:r w:rsidRPr="005649EF">
        <w:t xml:space="preserve"> judicial review? </w:t>
      </w:r>
      <w:r>
        <w:rPr>
          <w:b/>
        </w:rPr>
        <w:t>No</w:t>
      </w:r>
    </w:p>
    <w:p w:rsidR="00073758" w:rsidRPr="005649EF" w:rsidRDefault="00073758" w:rsidP="00073758">
      <w:pPr>
        <w:pStyle w:val="EBBullet"/>
        <w:numPr>
          <w:ilvl w:val="0"/>
          <w:numId w:val="15"/>
        </w:numPr>
        <w:tabs>
          <w:tab w:val="num" w:pos="709"/>
        </w:tabs>
        <w:ind w:left="1570" w:hanging="425"/>
      </w:pPr>
      <w:r w:rsidRPr="005649EF">
        <w:t xml:space="preserve">Enforcement mechanisms for civil debts, </w:t>
      </w:r>
      <w:r>
        <w:t>c</w:t>
      </w:r>
      <w:r w:rsidRPr="005649EF">
        <w:t>ivil sanctions or criminal penalties?</w:t>
      </w:r>
      <w:r>
        <w:t xml:space="preserve"> </w:t>
      </w:r>
      <w:r w:rsidRPr="00557267">
        <w:rPr>
          <w:b/>
        </w:rPr>
        <w:t>No</w:t>
      </w:r>
      <w:r w:rsidRPr="005649EF">
        <w:t xml:space="preserve"> </w:t>
      </w:r>
    </w:p>
    <w:p w:rsidR="00073758" w:rsidRDefault="00073758" w:rsidP="00073758">
      <w:pPr>
        <w:pStyle w:val="EBBullet"/>
        <w:numPr>
          <w:ilvl w:val="0"/>
          <w:numId w:val="15"/>
        </w:numPr>
        <w:tabs>
          <w:tab w:val="num" w:pos="709"/>
        </w:tabs>
        <w:ind w:left="1570" w:hanging="425"/>
      </w:pPr>
      <w:r w:rsidRPr="005649EF">
        <w:t xml:space="preserve">Amendment of Court and/or tribunal rules? </w:t>
      </w:r>
      <w:r w:rsidRPr="00557267">
        <w:rPr>
          <w:b/>
        </w:rPr>
        <w:t>No</w:t>
      </w:r>
    </w:p>
    <w:p w:rsidR="00073758" w:rsidRPr="005649EF" w:rsidRDefault="00073758" w:rsidP="00073758">
      <w:pPr>
        <w:pStyle w:val="EBBullet"/>
        <w:numPr>
          <w:ilvl w:val="0"/>
          <w:numId w:val="15"/>
        </w:numPr>
        <w:tabs>
          <w:tab w:val="num" w:pos="709"/>
        </w:tabs>
        <w:ind w:left="1570" w:hanging="425"/>
      </w:pPr>
      <w:r w:rsidRPr="005649EF">
        <w:t>Amendment of sentencing or penalty guidelines?</w:t>
      </w:r>
      <w:r>
        <w:t xml:space="preserve"> </w:t>
      </w:r>
      <w:r w:rsidRPr="00557267">
        <w:rPr>
          <w:b/>
        </w:rPr>
        <w:t>No</w:t>
      </w:r>
    </w:p>
    <w:p w:rsidR="00073758" w:rsidRPr="005649EF" w:rsidRDefault="00073758" w:rsidP="00073758">
      <w:pPr>
        <w:pStyle w:val="EBBullet"/>
        <w:numPr>
          <w:ilvl w:val="0"/>
          <w:numId w:val="15"/>
        </w:numPr>
        <w:tabs>
          <w:tab w:val="num" w:pos="709"/>
        </w:tabs>
        <w:ind w:left="1570" w:hanging="425"/>
      </w:pPr>
      <w:r w:rsidRPr="005649EF">
        <w:t xml:space="preserve">Any impact (increase or reduction on costs) on Legal Aid fund? (criminal, civil and family, asylum) </w:t>
      </w:r>
      <w:r w:rsidRPr="00557267">
        <w:rPr>
          <w:b/>
        </w:rPr>
        <w:t>No</w:t>
      </w:r>
    </w:p>
    <w:p w:rsidR="00073758" w:rsidRPr="005649EF" w:rsidRDefault="00073758" w:rsidP="00073758">
      <w:pPr>
        <w:pStyle w:val="EBBullet"/>
        <w:numPr>
          <w:ilvl w:val="0"/>
          <w:numId w:val="15"/>
        </w:numPr>
        <w:tabs>
          <w:tab w:val="num" w:pos="709"/>
        </w:tabs>
        <w:ind w:left="1570" w:hanging="425"/>
      </w:pPr>
      <w:r w:rsidRPr="005649EF">
        <w:t>Any increase in the number of offenders being committed to custody (including on remand) or probation?</w:t>
      </w:r>
      <w:r>
        <w:t xml:space="preserve"> </w:t>
      </w:r>
      <w:r w:rsidRPr="00557267">
        <w:rPr>
          <w:b/>
        </w:rPr>
        <w:t>No</w:t>
      </w:r>
    </w:p>
    <w:p w:rsidR="00073758" w:rsidRPr="00557267" w:rsidRDefault="00073758" w:rsidP="00073758">
      <w:pPr>
        <w:pStyle w:val="EBBullet"/>
        <w:numPr>
          <w:ilvl w:val="0"/>
          <w:numId w:val="15"/>
        </w:numPr>
        <w:tabs>
          <w:tab w:val="num" w:pos="709"/>
        </w:tabs>
        <w:ind w:left="1570" w:hanging="425"/>
        <w:rPr>
          <w:sz w:val="18"/>
          <w:szCs w:val="18"/>
        </w:rPr>
      </w:pPr>
      <w:r w:rsidRPr="005649EF">
        <w:t xml:space="preserve">Any increase in the length of custodial sentences? Will proposals create a new custodial sentence? </w:t>
      </w:r>
      <w:r w:rsidRPr="00557267">
        <w:rPr>
          <w:b/>
        </w:rPr>
        <w:t>No</w:t>
      </w:r>
    </w:p>
    <w:p w:rsidR="00073758" w:rsidRPr="00143C1A" w:rsidRDefault="00073758" w:rsidP="00073758">
      <w:pPr>
        <w:pStyle w:val="EBBullet"/>
        <w:numPr>
          <w:ilvl w:val="0"/>
          <w:numId w:val="15"/>
        </w:numPr>
        <w:tabs>
          <w:tab w:val="num" w:pos="709"/>
        </w:tabs>
        <w:ind w:left="1570" w:hanging="425"/>
      </w:pPr>
      <w:r w:rsidRPr="005649EF">
        <w:t>Any impact of the proposals on probation services?</w:t>
      </w:r>
      <w:r>
        <w:t xml:space="preserve"> </w:t>
      </w:r>
      <w:r w:rsidRPr="00557267">
        <w:rPr>
          <w:b/>
        </w:rPr>
        <w:t>No</w:t>
      </w:r>
    </w:p>
    <w:p w:rsidR="00073758" w:rsidRPr="0066239F" w:rsidRDefault="00073758" w:rsidP="00073758">
      <w:pPr>
        <w:pStyle w:val="Heading4"/>
      </w:pPr>
      <w:r w:rsidRPr="0066239F">
        <w:t>Sustainable Development</w:t>
      </w:r>
    </w:p>
    <w:p w:rsidR="00073758" w:rsidRDefault="00073758" w:rsidP="00073758">
      <w:pPr>
        <w:pStyle w:val="EBNumber"/>
        <w:numPr>
          <w:ilvl w:val="1"/>
          <w:numId w:val="11"/>
        </w:numPr>
        <w:tabs>
          <w:tab w:val="num" w:pos="1145"/>
        </w:tabs>
      </w:pPr>
      <w:r w:rsidRPr="005649EF">
        <w:t>The proposals are not expected to have a wider impact on sustainable development. There will be no impact on climate change, waste management, air quality, landscape appearance, habitat, wildlife, levels of noise exposure or water pollution, abstraction or exposure to flood.</w:t>
      </w:r>
    </w:p>
    <w:p w:rsidR="00073758" w:rsidRPr="0066239F" w:rsidRDefault="00073758" w:rsidP="00073758">
      <w:pPr>
        <w:pStyle w:val="Heading4"/>
      </w:pPr>
      <w:r w:rsidRPr="0066239F">
        <w:t xml:space="preserve">Health Impact </w:t>
      </w:r>
    </w:p>
    <w:p w:rsidR="00073758" w:rsidRDefault="00073758" w:rsidP="00073758">
      <w:pPr>
        <w:pStyle w:val="Heading5"/>
      </w:pPr>
      <w:r w:rsidRPr="005649EF">
        <w:t>Do the proposals have a significant effect on human health by vir</w:t>
      </w:r>
      <w:r>
        <w:t xml:space="preserve">tue of their effects on certain </w:t>
      </w:r>
      <w:r w:rsidRPr="005649EF">
        <w:t>determinants of health, or a significant demand on health service? (primary care, community services, hospital care, need for medicines, accident or emergency services,</w:t>
      </w:r>
      <w:r>
        <w:t xml:space="preserve"> </w:t>
      </w:r>
      <w:r w:rsidRPr="005649EF">
        <w:t xml:space="preserve">social services, health </w:t>
      </w:r>
      <w:r>
        <w:t>p</w:t>
      </w:r>
      <w:r w:rsidRPr="005649EF">
        <w:t>rotection and preparedness response)</w:t>
      </w:r>
    </w:p>
    <w:p w:rsidR="00073758" w:rsidRPr="005649EF" w:rsidRDefault="00073758" w:rsidP="00073758">
      <w:pPr>
        <w:pStyle w:val="EBNumber"/>
        <w:numPr>
          <w:ilvl w:val="1"/>
          <w:numId w:val="11"/>
        </w:numPr>
        <w:tabs>
          <w:tab w:val="num" w:pos="1145"/>
        </w:tabs>
      </w:pPr>
      <w:r w:rsidRPr="005649EF">
        <w:t>The</w:t>
      </w:r>
      <w:r>
        <w:t xml:space="preserve"> </w:t>
      </w:r>
      <w:r w:rsidRPr="005649EF">
        <w:t>potential impacts on</w:t>
      </w:r>
      <w:r>
        <w:t xml:space="preserve"> </w:t>
      </w:r>
      <w:r w:rsidRPr="005649EF">
        <w:t>health have been considered above in the</w:t>
      </w:r>
      <w:r>
        <w:t xml:space="preserve"> </w:t>
      </w:r>
      <w:r w:rsidRPr="005649EF">
        <w:t xml:space="preserve">cost benefit analysis of this impact </w:t>
      </w:r>
      <w:r>
        <w:t>a</w:t>
      </w:r>
      <w:r w:rsidRPr="005649EF">
        <w:t>ssessment</w:t>
      </w:r>
      <w:r>
        <w:t xml:space="preserve">, </w:t>
      </w:r>
      <w:r w:rsidRPr="005649EF">
        <w:t>see Section D above</w:t>
      </w:r>
    </w:p>
    <w:p w:rsidR="00073758" w:rsidRDefault="00073758" w:rsidP="00073758">
      <w:pPr>
        <w:pStyle w:val="EBNumber"/>
        <w:numPr>
          <w:ilvl w:val="1"/>
          <w:numId w:val="11"/>
        </w:numPr>
        <w:tabs>
          <w:tab w:val="num" w:pos="1145"/>
        </w:tabs>
      </w:pPr>
      <w:r w:rsidRPr="005649EF">
        <w:t>There are no expected health risks in association with, diet, lifestyle, tobacco and alcohol consumption, psycho-social environment, housing conditions, accidents and safety, pollution, exposure to chemicals, infection, geophysical and economic factors, as a result of the proposals</w:t>
      </w:r>
    </w:p>
    <w:p w:rsidR="00073758" w:rsidRPr="0066239F" w:rsidRDefault="00073758" w:rsidP="00073758">
      <w:pPr>
        <w:pStyle w:val="Heading4"/>
      </w:pPr>
      <w:r w:rsidRPr="0066239F">
        <w:lastRenderedPageBreak/>
        <w:t>Rural Proofing</w:t>
      </w:r>
    </w:p>
    <w:p w:rsidR="00073758" w:rsidRDefault="00073758" w:rsidP="00073758">
      <w:pPr>
        <w:pStyle w:val="Heading5"/>
      </w:pPr>
      <w:r w:rsidRPr="005649EF">
        <w:t>Rural proofing</w:t>
      </w:r>
      <w:r>
        <w:t xml:space="preserve"> </w:t>
      </w:r>
      <w:r w:rsidRPr="005649EF">
        <w:t xml:space="preserve">is a commitment by Government to ensure domestic policies take account of rural </w:t>
      </w:r>
      <w:r>
        <w:t>c</w:t>
      </w:r>
      <w:r w:rsidRPr="005649EF">
        <w:t xml:space="preserve">ircumstances and needs. It is a mandatory part of the policy process, which means as policies are </w:t>
      </w:r>
      <w:r>
        <w:t>d</w:t>
      </w:r>
      <w:r w:rsidRPr="005649EF">
        <w:t>eveloped, policy makers should:</w:t>
      </w:r>
      <w:r>
        <w:t xml:space="preserve"> </w:t>
      </w:r>
      <w:r w:rsidRPr="005649EF">
        <w:t xml:space="preserve">consider whether their policy is likely to have a different impact in </w:t>
      </w:r>
      <w:r>
        <w:t>r</w:t>
      </w:r>
      <w:r w:rsidRPr="005649EF">
        <w:t>ural areas</w:t>
      </w:r>
      <w:r>
        <w:t xml:space="preserve"> </w:t>
      </w:r>
      <w:r w:rsidRPr="005649EF">
        <w:t xml:space="preserve">because of particular circumstances or needs, make proper assessment of those impacts, if </w:t>
      </w:r>
      <w:r>
        <w:t>th</w:t>
      </w:r>
      <w:r w:rsidRPr="005649EF">
        <w:t xml:space="preserve">ey’re likely to be significant, adjust the policy where </w:t>
      </w:r>
      <w:r>
        <w:t>a</w:t>
      </w:r>
      <w:r w:rsidRPr="005649EF">
        <w:t xml:space="preserve">ppropriate, with solutions to meet rural needs </w:t>
      </w:r>
      <w:r>
        <w:t>a</w:t>
      </w:r>
      <w:r w:rsidRPr="005649EF">
        <w:t>nd circumstances.</w:t>
      </w:r>
    </w:p>
    <w:p w:rsidR="00073758" w:rsidRDefault="00073758" w:rsidP="00073758">
      <w:pPr>
        <w:pStyle w:val="EBNumber"/>
        <w:numPr>
          <w:ilvl w:val="1"/>
          <w:numId w:val="11"/>
        </w:numPr>
        <w:tabs>
          <w:tab w:val="num" w:pos="1145"/>
        </w:tabs>
      </w:pPr>
      <w:r w:rsidRPr="005649EF">
        <w:t>The proposals will not lead to potentially different impacts for rural areas or people.</w:t>
      </w:r>
    </w:p>
    <w:p w:rsidR="00073758" w:rsidRPr="0066239F" w:rsidRDefault="00073758" w:rsidP="00073758">
      <w:pPr>
        <w:pStyle w:val="Heading4"/>
      </w:pPr>
      <w:r w:rsidRPr="0066239F">
        <w:t>Economic impacts</w:t>
      </w:r>
    </w:p>
    <w:p w:rsidR="00073758" w:rsidRDefault="00073758" w:rsidP="00073758">
      <w:pPr>
        <w:pStyle w:val="EBNumber"/>
        <w:numPr>
          <w:ilvl w:val="1"/>
          <w:numId w:val="11"/>
        </w:numPr>
        <w:tabs>
          <w:tab w:val="num" w:pos="1145"/>
        </w:tabs>
      </w:pPr>
      <w:r w:rsidRPr="005649EF">
        <w:t xml:space="preserve">The costs and benefits of the proposals on businesses have been considered in the main cost benefit </w:t>
      </w:r>
      <w:r>
        <w:t>a</w:t>
      </w:r>
      <w:r w:rsidRPr="005649EF">
        <w:t xml:space="preserve">nalysis of this impact assessments, see Section D above. </w:t>
      </w:r>
    </w:p>
    <w:p w:rsidR="00073758" w:rsidRPr="0066239F" w:rsidRDefault="00073758" w:rsidP="00073758">
      <w:pPr>
        <w:pStyle w:val="Heading4"/>
      </w:pPr>
      <w:r w:rsidRPr="0066239F">
        <w:t>Environmental impacts and sustainable development</w:t>
      </w:r>
    </w:p>
    <w:p w:rsidR="00073758" w:rsidRDefault="00073758" w:rsidP="00073758">
      <w:pPr>
        <w:pStyle w:val="EBNumber"/>
        <w:numPr>
          <w:ilvl w:val="1"/>
          <w:numId w:val="11"/>
        </w:numPr>
        <w:tabs>
          <w:tab w:val="clear" w:pos="425"/>
          <w:tab w:val="left" w:pos="426"/>
          <w:tab w:val="num" w:pos="1145"/>
        </w:tabs>
      </w:pPr>
      <w:r w:rsidRPr="005649EF">
        <w:t xml:space="preserve">The proposals have not identified any wider effects on environmental issues including on carbon and </w:t>
      </w:r>
      <w:r>
        <w:t>g</w:t>
      </w:r>
      <w:r w:rsidRPr="005649EF">
        <w:t xml:space="preserve">reenhouse gas emissions. </w:t>
      </w:r>
    </w:p>
    <w:p w:rsidR="00073758" w:rsidRDefault="00073758" w:rsidP="00073758">
      <w:pPr>
        <w:pStyle w:val="Heading3"/>
      </w:pPr>
      <w:r>
        <w:t>Section F: Summary and Conclusions</w:t>
      </w:r>
    </w:p>
    <w:p w:rsidR="00073758" w:rsidRDefault="00073758" w:rsidP="00073758">
      <w:pPr>
        <w:pStyle w:val="EBNumber"/>
        <w:numPr>
          <w:ilvl w:val="1"/>
          <w:numId w:val="11"/>
        </w:numPr>
      </w:pPr>
      <w:r>
        <w:t xml:space="preserve">This proposal is not about extending the remit of </w:t>
      </w:r>
      <w:r w:rsidR="008D6D38">
        <w:t xml:space="preserve">the </w:t>
      </w:r>
      <w:r>
        <w:t xml:space="preserve">CQC’s activity or about extending the scope of reviews or performance assessments to additional providers. It is purely about giving </w:t>
      </w:r>
      <w:r w:rsidR="008D6D38">
        <w:t xml:space="preserve">the </w:t>
      </w:r>
      <w:r>
        <w:t xml:space="preserve">CQC a power to charge a fee for such reviews and performance assessments. The Department proposes to make regulations to clarify that comprehensive inspections are within scope of </w:t>
      </w:r>
      <w:r w:rsidR="008D6D38">
        <w:t xml:space="preserve">the </w:t>
      </w:r>
      <w:r>
        <w:t xml:space="preserve">CQC’s fee raising powers. We would do this through a regulation that enables </w:t>
      </w:r>
      <w:r w:rsidR="008D6D38">
        <w:t xml:space="preserve">the </w:t>
      </w:r>
      <w:r>
        <w:t>CQC to charge a fee for reviews and performance assessments under section 46 of the Health and Social Care Act 2008.</w:t>
      </w:r>
    </w:p>
    <w:p w:rsidR="00073758" w:rsidRDefault="00073758" w:rsidP="00073758">
      <w:pPr>
        <w:pStyle w:val="EBNumber"/>
        <w:numPr>
          <w:ilvl w:val="1"/>
          <w:numId w:val="11"/>
        </w:numPr>
      </w:pPr>
      <w:r>
        <w:t>The proposed policy is to introduce a new fee raising power that will allow</w:t>
      </w:r>
      <w:r w:rsidR="008D6D38">
        <w:t xml:space="preserve"> the</w:t>
      </w:r>
      <w:r>
        <w:t xml:space="preserve"> CQC to charge a fee in relation to all aspects of its inspection process. The main cost of this proposal will be the additional fees levied on providers by the CQC. It has been difficult to determine what the ultimate impact of the new fee raising power will have on fee levels as </w:t>
      </w:r>
      <w:r w:rsidR="008D6D38">
        <w:t xml:space="preserve">the </w:t>
      </w:r>
      <w:r>
        <w:t>CQC’s projected fee increases have been made under the assumption that they will be able to charge for all aspects of their inspection process. It is not clear what level of fee increases might be possible without this change. In addition, the estimated fee increases have been based on an assumption that</w:t>
      </w:r>
      <w:r w:rsidR="008D6D38">
        <w:t xml:space="preserve"> the</w:t>
      </w:r>
      <w:r>
        <w:t xml:space="preserve"> CQC’s costs will remain at their 15/16 levels. This does not take into account the potential for further efficiencies in their model, which will serve to reduce costs and therefore the level of fee increases. On this basis, the cost estimates presented in this Impact Assessment are likely to represent the upper bound of the potential true impacts.</w:t>
      </w:r>
    </w:p>
    <w:p w:rsidR="00073758" w:rsidRPr="00917F5E" w:rsidRDefault="00073758" w:rsidP="00073758">
      <w:pPr>
        <w:pStyle w:val="EBNumber"/>
        <w:numPr>
          <w:ilvl w:val="1"/>
          <w:numId w:val="11"/>
        </w:numPr>
      </w:pPr>
      <w:r>
        <w:t xml:space="preserve">The main benefit of the proposal will be the reduction in Grant in Aid funding required from the Department, and this will allow </w:t>
      </w:r>
      <w:r w:rsidR="008D6D38">
        <w:t xml:space="preserve">the </w:t>
      </w:r>
      <w:r>
        <w:t xml:space="preserve">CQC to meet its requirement for full cost recovery under the Managing Public Money Guidance. As a result the proposed policy is the preferred policy option. In addition, there may also be some non-monetised benefits in terms of additional health benefits for society arising from the changes in funding arrangements, and the potential for individual providers to better hold </w:t>
      </w:r>
      <w:r w:rsidR="008D6D38">
        <w:t xml:space="preserve">the </w:t>
      </w:r>
      <w:r>
        <w:t>CQC to account and put pressure on them to make greater efficiency savings.</w:t>
      </w:r>
      <w:r>
        <w:br w:type="page"/>
      </w:r>
    </w:p>
    <w:p w:rsidR="00073758" w:rsidRDefault="00073758" w:rsidP="00073758">
      <w:pPr>
        <w:pStyle w:val="Heading2"/>
      </w:pPr>
      <w:r>
        <w:lastRenderedPageBreak/>
        <w:t>Annex A</w:t>
      </w:r>
    </w:p>
    <w:p w:rsidR="00073758" w:rsidRDefault="00073758" w:rsidP="00073758">
      <w:pPr>
        <w:pStyle w:val="Heading3"/>
      </w:pPr>
      <w:r>
        <w:t>Social Care</w:t>
      </w:r>
    </w:p>
    <w:p w:rsidR="00073758" w:rsidRPr="003C7A32" w:rsidRDefault="00073758" w:rsidP="00073758">
      <w:pPr>
        <w:pStyle w:val="Heading5"/>
      </w:pPr>
      <w:r>
        <w:t>Impact of raising prices</w:t>
      </w:r>
    </w:p>
    <w:p w:rsidR="00073758" w:rsidRDefault="00073758" w:rsidP="00073758">
      <w:pPr>
        <w:pStyle w:val="EBNumber"/>
        <w:numPr>
          <w:ilvl w:val="1"/>
          <w:numId w:val="11"/>
        </w:numPr>
      </w:pPr>
      <w:r>
        <w:t xml:space="preserve">For social care providers, in the majority of cases the purchasers of social care services will be Local Authorities. If providers choose to put up the price of their services, this will reduce the amount of social care that Local Authorities are able to purchase (assuming that the budget for social care remains fixed and not affected by the policy under discussion). This reduction in social care provision ultimately has a health impact on service users, which must be compared against the potential health gains in the NHS discussed above. </w:t>
      </w:r>
    </w:p>
    <w:p w:rsidR="00073758" w:rsidRDefault="00073758" w:rsidP="00073758">
      <w:pPr>
        <w:pStyle w:val="EBNumber"/>
        <w:numPr>
          <w:ilvl w:val="1"/>
          <w:numId w:val="11"/>
        </w:numPr>
      </w:pPr>
      <w:r>
        <w:t xml:space="preserve">The Department of Health has commissioned a research project to examine the marginal health impact of spending in social care. Although this project is not yet complete, early indications suggest that the cost effectiveness (and social value) of social care is equivalent to that of NHS spending. This would suggest that, if all of the increase in fees were passed through to social care commissioners via increased prices, the subsequent reduction in health gains in the social care sector would balance the health gains felt in the NHS from the reduction in Grant in Aid funding for </w:t>
      </w:r>
      <w:r w:rsidR="008D6D38">
        <w:t xml:space="preserve">the </w:t>
      </w:r>
      <w:r>
        <w:t>CQC, and the overall impact for this sector would be zero.</w:t>
      </w:r>
    </w:p>
    <w:p w:rsidR="00073758" w:rsidRDefault="00073758" w:rsidP="00073758">
      <w:pPr>
        <w:pStyle w:val="Heading5"/>
      </w:pPr>
      <w:r>
        <w:t>Impact of lower profits</w:t>
      </w:r>
    </w:p>
    <w:p w:rsidR="00073758" w:rsidRDefault="00073758" w:rsidP="00073758">
      <w:pPr>
        <w:pStyle w:val="EBNumber"/>
        <w:numPr>
          <w:ilvl w:val="1"/>
          <w:numId w:val="11"/>
        </w:numPr>
        <w:spacing w:before="240"/>
      </w:pPr>
      <w:r>
        <w:t>If instead, social care providers choose to absorb the costs of increased fees via lower profits, there would be no subsequent impact on health. The societal cost of lower profits for shareholders is assumed to be equal to the monetary value of the reduction in profits</w:t>
      </w:r>
      <w:r w:rsidR="00C53D21">
        <w:t>. When we compare this against the monetised value of the health gains felt in the NHS associated with the reduction in Grant in Aid funding for the CQC, this suggests an overall NPV of £1,014m net benefit.</w:t>
      </w:r>
      <w:r w:rsidR="00475124">
        <w:t xml:space="preserve"> </w:t>
      </w:r>
    </w:p>
    <w:p w:rsidR="00073758" w:rsidRDefault="00073758" w:rsidP="00073758">
      <w:pPr>
        <w:pStyle w:val="Heading5"/>
      </w:pPr>
      <w:r>
        <w:t>Ultimate impact</w:t>
      </w:r>
    </w:p>
    <w:p w:rsidR="00073758" w:rsidRDefault="00073758" w:rsidP="00073758">
      <w:pPr>
        <w:pStyle w:val="EBNumber"/>
        <w:numPr>
          <w:ilvl w:val="1"/>
          <w:numId w:val="11"/>
        </w:numPr>
      </w:pPr>
      <w:r>
        <w:t xml:space="preserve">As previously discussed, the actual societal impact of increased fees in the social care sector is likely to lie between the two extremes outlined above, as providers are likely react through a combination of price increases and absorption of fee increases. </w:t>
      </w:r>
    </w:p>
    <w:p w:rsidR="00073758" w:rsidRPr="000117BF" w:rsidRDefault="00073758" w:rsidP="00073758">
      <w:pPr>
        <w:pStyle w:val="EBNumber"/>
        <w:numPr>
          <w:ilvl w:val="1"/>
          <w:numId w:val="11"/>
        </w:numPr>
      </w:pPr>
      <w:r>
        <w:t xml:space="preserve">In addition, where purchasers of social care services are self-funders instead of local authorities, they may also react to any price increases by continuing to purchase the same services at a higher cost, rather than reducing the amount of services purchased, meaning that the societal impact should be measured in terms of increased costs, rather than health losses. This additional consideration further supports the argument that the ultimate societal impact of increased fees in the social care sector is likely to lie between the two extremes outlined above. </w:t>
      </w:r>
    </w:p>
    <w:p w:rsidR="00073758" w:rsidRDefault="00073758" w:rsidP="00073758">
      <w:pPr>
        <w:pStyle w:val="Heading3"/>
      </w:pPr>
      <w:r>
        <w:t>Independent Health Sector</w:t>
      </w:r>
    </w:p>
    <w:p w:rsidR="00073758" w:rsidRDefault="00073758" w:rsidP="00073758">
      <w:pPr>
        <w:pStyle w:val="Heading5"/>
      </w:pPr>
      <w:r>
        <w:t>Impact of raising prices</w:t>
      </w:r>
    </w:p>
    <w:p w:rsidR="00073758" w:rsidRDefault="00073758" w:rsidP="00073758">
      <w:pPr>
        <w:pStyle w:val="EBNumber"/>
        <w:numPr>
          <w:ilvl w:val="1"/>
          <w:numId w:val="11"/>
        </w:numPr>
      </w:pPr>
      <w:r>
        <w:t xml:space="preserve">In the independent healthcare sector, purchasers of health services could react to increased prices by either continuing to purchase the same level of health services at higher cost or by reducing the amount that they purchase.     </w:t>
      </w:r>
    </w:p>
    <w:p w:rsidR="00073758" w:rsidRDefault="00073758" w:rsidP="00073758">
      <w:pPr>
        <w:pStyle w:val="EBNumber"/>
        <w:numPr>
          <w:ilvl w:val="1"/>
          <w:numId w:val="11"/>
        </w:numPr>
      </w:pPr>
      <w:r>
        <w:t xml:space="preserve">As previously discussed, where there is no change in the level of health services purchased, there is no impact on health outcomes. However, the increased cost of purchasing these health outcomes must be considered. </w:t>
      </w:r>
      <w:r w:rsidR="00C53D21">
        <w:t>As above, when we compare this increased cost against the value of the health gains felt in the NHS associated with the reduction in Grant in Aid funding for the CQC, this suggests an overall NPV of £116m net benefit.</w:t>
      </w:r>
    </w:p>
    <w:p w:rsidR="00073758" w:rsidRDefault="00073758" w:rsidP="00073758">
      <w:pPr>
        <w:pStyle w:val="EBNumber"/>
        <w:numPr>
          <w:ilvl w:val="1"/>
          <w:numId w:val="11"/>
        </w:numPr>
      </w:pPr>
      <w:r>
        <w:t>On the other hand, if purchasers were all to reduce the amount of healthcare that they purchase in response to higher prices, there would be an impact on health outcomes that would need to be considered. Unfortunately, in the independent healthcare sector no evidence is available as to the health impact of marginal changes in funding/expenditure. This sector includes a large variety of different health services such as:</w:t>
      </w:r>
    </w:p>
    <w:p w:rsidR="00073758" w:rsidRDefault="00073758" w:rsidP="00073758">
      <w:pPr>
        <w:pStyle w:val="EBBullet"/>
        <w:numPr>
          <w:ilvl w:val="0"/>
          <w:numId w:val="15"/>
        </w:numPr>
        <w:tabs>
          <w:tab w:val="clear" w:pos="284"/>
          <w:tab w:val="num" w:pos="851"/>
        </w:tabs>
        <w:ind w:left="851"/>
      </w:pPr>
      <w:r>
        <w:lastRenderedPageBreak/>
        <w:t>Independent (private) hospitals and clinics (including mental health)</w:t>
      </w:r>
    </w:p>
    <w:p w:rsidR="00073758" w:rsidRDefault="00073758" w:rsidP="00073758">
      <w:pPr>
        <w:pStyle w:val="EBBullet"/>
        <w:numPr>
          <w:ilvl w:val="0"/>
          <w:numId w:val="15"/>
        </w:numPr>
        <w:tabs>
          <w:tab w:val="clear" w:pos="284"/>
          <w:tab w:val="num" w:pos="851"/>
        </w:tabs>
        <w:ind w:left="851"/>
      </w:pPr>
      <w:r>
        <w:t>Independent diagnostic providers</w:t>
      </w:r>
    </w:p>
    <w:p w:rsidR="00073758" w:rsidRDefault="00073758" w:rsidP="00073758">
      <w:pPr>
        <w:pStyle w:val="EBBullet"/>
        <w:numPr>
          <w:ilvl w:val="0"/>
          <w:numId w:val="15"/>
        </w:numPr>
        <w:tabs>
          <w:tab w:val="clear" w:pos="284"/>
          <w:tab w:val="num" w:pos="851"/>
        </w:tabs>
        <w:ind w:left="851"/>
      </w:pPr>
      <w:r>
        <w:t>Some substance misuse services</w:t>
      </w:r>
    </w:p>
    <w:p w:rsidR="00073758" w:rsidRDefault="00073758" w:rsidP="00073758">
      <w:pPr>
        <w:pStyle w:val="EBBullet"/>
        <w:numPr>
          <w:ilvl w:val="0"/>
          <w:numId w:val="15"/>
        </w:numPr>
        <w:tabs>
          <w:tab w:val="clear" w:pos="284"/>
          <w:tab w:val="num" w:pos="851"/>
        </w:tabs>
        <w:ind w:left="851"/>
      </w:pPr>
      <w:r>
        <w:t>Private ambulance services</w:t>
      </w:r>
    </w:p>
    <w:p w:rsidR="00073758" w:rsidRDefault="00073758" w:rsidP="00073758">
      <w:pPr>
        <w:pStyle w:val="EBBullet"/>
        <w:numPr>
          <w:ilvl w:val="0"/>
          <w:numId w:val="15"/>
        </w:numPr>
        <w:tabs>
          <w:tab w:val="clear" w:pos="284"/>
          <w:tab w:val="num" w:pos="851"/>
        </w:tabs>
        <w:ind w:left="851"/>
      </w:pPr>
      <w:r>
        <w:t>Some Out of hours GP services</w:t>
      </w:r>
    </w:p>
    <w:p w:rsidR="00073758" w:rsidRDefault="00073758" w:rsidP="00073758">
      <w:pPr>
        <w:pStyle w:val="EBBullet"/>
        <w:numPr>
          <w:ilvl w:val="0"/>
          <w:numId w:val="15"/>
        </w:numPr>
        <w:tabs>
          <w:tab w:val="clear" w:pos="284"/>
          <w:tab w:val="num" w:pos="851"/>
        </w:tabs>
        <w:ind w:left="851"/>
      </w:pPr>
      <w:r>
        <w:t>Hospices</w:t>
      </w:r>
    </w:p>
    <w:p w:rsidR="00626AB8" w:rsidRDefault="005348B1" w:rsidP="00073758">
      <w:pPr>
        <w:pStyle w:val="EBNumber"/>
        <w:numPr>
          <w:ilvl w:val="0"/>
          <w:numId w:val="0"/>
        </w:numPr>
        <w:ind w:left="425"/>
      </w:pPr>
      <w:r>
        <w:t>I</w:t>
      </w:r>
      <w:r w:rsidR="00073758">
        <w:t>t is likely that the marginal cost effectiveness of each of these services relative to the NHS would be different. However, given the majority of these services are not offered on the NHS, it may be possible to argue that the marginal cost effectiveness of these services is therefore likely to be lower than that for the NHS (otherwise there would be a strong rationale for making them also available on the NHS). Standard economic theory predicts that a good or service will be demanded until the marginal benefit is equal to the marginal cost, and studies have shown that the societal valuation (i.e. marginal benefit) of a Quality Adjusted Life Year is approximately £60,000. This would in turn suggest that the marginal cost per QALY in the independent health sector might also be as high as £60,000 per QALY. Applying such an estimate is equivalent to the assumption that there is no additional opportunity cost of funds in the independent healthcare sector over and above the value of the fee increases, and as a result, the NPV estimates are equivalent to the above case, where we assumed that there would be no health impacts from the fee</w:t>
      </w:r>
      <w:r w:rsidR="00626AB8">
        <w:t xml:space="preserve"> increases</w:t>
      </w:r>
      <w:r w:rsidR="00C53D21">
        <w:t>.</w:t>
      </w:r>
    </w:p>
    <w:p w:rsidR="00073758" w:rsidRDefault="00073758" w:rsidP="00073758">
      <w:pPr>
        <w:pStyle w:val="EBNumber"/>
        <w:numPr>
          <w:ilvl w:val="1"/>
          <w:numId w:val="11"/>
        </w:numPr>
      </w:pPr>
      <w:r>
        <w:t>On the other hand, we could make the other extreme assumption that the marginal cost effectiveness of the independent health sector is equal to that in the NHS, which would result in a NPV of 0.</w:t>
      </w:r>
    </w:p>
    <w:p w:rsidR="00073758" w:rsidRDefault="00073758" w:rsidP="00073758">
      <w:pPr>
        <w:pStyle w:val="EBNumber"/>
        <w:numPr>
          <w:ilvl w:val="1"/>
          <w:numId w:val="11"/>
        </w:numPr>
      </w:pPr>
      <w:r>
        <w:t>Due to the large variety of healthcare services covered under the heading of independent healthcare providers, it is likely that the average marginal cost effectiveness ratio lies somewhere between these two extremes, suggesting an overall NPV of between 0 and £</w:t>
      </w:r>
      <w:r w:rsidR="00BE6231">
        <w:t>116</w:t>
      </w:r>
      <w:r>
        <w:t xml:space="preserve">m. </w:t>
      </w:r>
    </w:p>
    <w:p w:rsidR="00073758" w:rsidRDefault="00073758" w:rsidP="00073758">
      <w:pPr>
        <w:pStyle w:val="Heading5"/>
      </w:pPr>
      <w:r>
        <w:t xml:space="preserve">Impact of </w:t>
      </w:r>
      <w:r w:rsidR="00E35F59">
        <w:t>lower</w:t>
      </w:r>
      <w:r>
        <w:t xml:space="preserve"> profits </w:t>
      </w:r>
    </w:p>
    <w:p w:rsidR="00073758" w:rsidRDefault="00073758" w:rsidP="00073758">
      <w:pPr>
        <w:pStyle w:val="EBNumber"/>
        <w:numPr>
          <w:ilvl w:val="1"/>
          <w:numId w:val="11"/>
        </w:numPr>
      </w:pPr>
      <w:r>
        <w:t>As previously discussed, if providers choose to absorb the costs of increased fees via lower profits, the overall societal impact would just be equivalent to the monetary value of the loss of profits. The estimated NPV figures w</w:t>
      </w:r>
      <w:r w:rsidR="00BE6231">
        <w:t>ould be also be approximately £116</w:t>
      </w:r>
      <w:r>
        <w:t>m, as estimated in the first scenario above (the only difference being that it is shareholders, rather than purchasers of healthcare that experience the loss).</w:t>
      </w:r>
    </w:p>
    <w:p w:rsidR="00073758" w:rsidRDefault="00073758" w:rsidP="00073758">
      <w:pPr>
        <w:pStyle w:val="Heading5"/>
      </w:pPr>
      <w:r>
        <w:t>Ultimate Impacts</w:t>
      </w:r>
    </w:p>
    <w:p w:rsidR="00073758" w:rsidRDefault="00073758" w:rsidP="00073758">
      <w:pPr>
        <w:pStyle w:val="EBNumber"/>
        <w:numPr>
          <w:ilvl w:val="1"/>
          <w:numId w:val="11"/>
        </w:numPr>
      </w:pPr>
      <w:r>
        <w:t>As is the case for social care providers, the discussion above suggests that the likely overall societal impact of fee increases in the independent healthcare sector would like somewhere bet</w:t>
      </w:r>
      <w:r w:rsidR="00BE6231">
        <w:t>ween the extremes of a £0 and £116</w:t>
      </w:r>
      <w:r>
        <w:t>m net benefit over the lifetime of the policy.</w:t>
      </w:r>
    </w:p>
    <w:p w:rsidR="00073758" w:rsidRDefault="00073758" w:rsidP="00073758">
      <w:pPr>
        <w:pStyle w:val="Heading3"/>
      </w:pPr>
      <w:r>
        <w:t xml:space="preserve">NHS trusts and GPs </w:t>
      </w:r>
    </w:p>
    <w:p w:rsidR="00976E53" w:rsidRDefault="00073758" w:rsidP="00A47591">
      <w:pPr>
        <w:pStyle w:val="EBNumber"/>
      </w:pPr>
      <w:r>
        <w:t xml:space="preserve">NHS trusts and GPs are </w:t>
      </w:r>
      <w:r w:rsidR="00A82251">
        <w:t>considered to be part of the</w:t>
      </w:r>
      <w:r w:rsidR="00A47591">
        <w:t xml:space="preserve"> NHS. As a result, the effect of reducing GIA funding and increasing CQC fees for these providers is to shift the cost burden of CQC regulation (in respect of these providers) to a different area of the NHS. As the overall cost pressure on the NHS as a whole remains unchanged, there are no additional health impacts to be considered</w:t>
      </w:r>
      <w:r w:rsidR="00A47591">
        <w:rPr>
          <w:rStyle w:val="FootnoteReference"/>
        </w:rPr>
        <w:footnoteReference w:id="10"/>
      </w:r>
      <w:r w:rsidR="00A47591">
        <w:t>.</w:t>
      </w:r>
    </w:p>
    <w:p w:rsidR="001F5DD9" w:rsidRDefault="001F5DD9" w:rsidP="002D1AE9">
      <w:pPr>
        <w:pStyle w:val="EBBodyPara"/>
      </w:pPr>
    </w:p>
    <w:sectPr w:rsidR="001F5DD9" w:rsidSect="00807DB6">
      <w:headerReference w:type="even" r:id="rId13"/>
      <w:footerReference w:type="default" r:id="rId14"/>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4F46" w:rsidRDefault="00884F46">
      <w:r>
        <w:separator/>
      </w:r>
    </w:p>
  </w:endnote>
  <w:endnote w:type="continuationSeparator" w:id="0">
    <w:p w:rsidR="00884F46" w:rsidRDefault="00884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F46" w:rsidRPr="00EB43FD" w:rsidRDefault="00884F46"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sidR="00994590">
      <w:rPr>
        <w:rStyle w:val="PageNumber"/>
        <w:rFonts w:eastAsia="SimSun"/>
        <w:b w:val="0"/>
        <w:noProof/>
        <w:szCs w:val="18"/>
      </w:rPr>
      <w:t>1</w:t>
    </w:r>
    <w:r w:rsidRPr="00EB43FD">
      <w:rPr>
        <w:rStyle w:val="PageNumber"/>
        <w:rFonts w:eastAsia="SimSun"/>
        <w:b w:val="0"/>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F46" w:rsidRPr="00EB43FD" w:rsidRDefault="00884F46"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sidR="00994590">
      <w:rPr>
        <w:rStyle w:val="PageNumber"/>
        <w:b w:val="0"/>
        <w:noProof/>
        <w:szCs w:val="18"/>
      </w:rPr>
      <w:t>6</w:t>
    </w:r>
    <w:r w:rsidRPr="00EB43FD">
      <w:rPr>
        <w:rStyle w:val="PageNumber"/>
        <w:b w:val="0"/>
        <w:szCs w:val="18"/>
      </w:rPr>
      <w:fldChar w:fldCharType="end"/>
    </w:r>
  </w:p>
  <w:p w:rsidR="00884F46" w:rsidRDefault="00884F46"/>
  <w:p w:rsidR="00884F46" w:rsidRDefault="00884F4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4F46" w:rsidRDefault="00884F46">
      <w:r>
        <w:separator/>
      </w:r>
    </w:p>
  </w:footnote>
  <w:footnote w:type="continuationSeparator" w:id="0">
    <w:p w:rsidR="00884F46" w:rsidRDefault="00884F46">
      <w:r>
        <w:continuationSeparator/>
      </w:r>
    </w:p>
  </w:footnote>
  <w:footnote w:id="1">
    <w:p w:rsidR="00884F46" w:rsidRDefault="00884F46" w:rsidP="00073758">
      <w:pPr>
        <w:pStyle w:val="FootnoteText"/>
      </w:pPr>
      <w:r>
        <w:rPr>
          <w:rStyle w:val="FootnoteReference"/>
        </w:rPr>
        <w:footnoteRef/>
      </w:r>
      <w:r>
        <w:t xml:space="preserve"> For example, please see </w:t>
      </w:r>
      <w:hyperlink r:id="rId1" w:history="1">
        <w:r w:rsidRPr="003B0B8C">
          <w:rPr>
            <w:rStyle w:val="Hyperlink"/>
          </w:rPr>
          <w:t>http://www.cqc.org.uk/sites/default/files/20141003_final_asc_ria_final_1.pdf</w:t>
        </w:r>
      </w:hyperlink>
      <w:r>
        <w:t xml:space="preserve"> </w:t>
      </w:r>
    </w:p>
  </w:footnote>
  <w:footnote w:id="2">
    <w:p w:rsidR="00884F46" w:rsidRDefault="00884F46">
      <w:pPr>
        <w:pStyle w:val="FootnoteText"/>
      </w:pPr>
      <w:r>
        <w:rPr>
          <w:rStyle w:val="FootnoteReference"/>
        </w:rPr>
        <w:footnoteRef/>
      </w:r>
      <w:r>
        <w:t xml:space="preserve"> </w:t>
      </w:r>
      <w:r w:rsidRPr="007F674E">
        <w:t>http://www.cqc.org.uk/content/business-plan-shaping-future</w:t>
      </w:r>
    </w:p>
  </w:footnote>
  <w:footnote w:id="3">
    <w:p w:rsidR="00884F46" w:rsidRDefault="00884F46">
      <w:pPr>
        <w:pStyle w:val="FootnoteText"/>
      </w:pPr>
      <w:r>
        <w:rPr>
          <w:rStyle w:val="FootnoteReference"/>
        </w:rPr>
        <w:footnoteRef/>
      </w:r>
      <w:r>
        <w:t xml:space="preserve"> This is the relevant period for the Business Impact Target (BIT) – see paragraph 43</w:t>
      </w:r>
    </w:p>
  </w:footnote>
  <w:footnote w:id="4">
    <w:p w:rsidR="00884F46" w:rsidRDefault="00884F46" w:rsidP="00073758">
      <w:pPr>
        <w:pStyle w:val="FootnoteText"/>
      </w:pPr>
      <w:r>
        <w:rPr>
          <w:rStyle w:val="FootnoteReference"/>
        </w:rPr>
        <w:footnoteRef/>
      </w:r>
      <w:r>
        <w:t xml:space="preserve"> Managing Public Money, chapter 6, available at  </w:t>
      </w:r>
      <w:hyperlink r:id="rId2" w:history="1">
        <w:r w:rsidRPr="003B0B8C">
          <w:rPr>
            <w:rStyle w:val="Hyperlink"/>
          </w:rPr>
          <w:t>https://www.gov.uk/government/publications/managing-public-money</w:t>
        </w:r>
      </w:hyperlink>
      <w:r>
        <w:t xml:space="preserve"> </w:t>
      </w:r>
    </w:p>
  </w:footnote>
  <w:footnote w:id="5">
    <w:p w:rsidR="00884F46" w:rsidRDefault="00884F46">
      <w:pPr>
        <w:pStyle w:val="FootnoteText"/>
      </w:pPr>
      <w:r>
        <w:rPr>
          <w:rStyle w:val="FootnoteReference"/>
        </w:rPr>
        <w:footnoteRef/>
      </w:r>
      <w:r>
        <w:t xml:space="preserve"> </w:t>
      </w:r>
      <w:r w:rsidRPr="00431142">
        <w:t>http://www.cqc.org.uk/content/health-and-social-care-fees-consultation</w:t>
      </w:r>
    </w:p>
  </w:footnote>
  <w:footnote w:id="6">
    <w:p w:rsidR="00884F46" w:rsidRDefault="00884F46" w:rsidP="00073758">
      <w:pPr>
        <w:pStyle w:val="FootnoteText"/>
      </w:pPr>
      <w:r>
        <w:rPr>
          <w:rStyle w:val="FootnoteReference"/>
        </w:rPr>
        <w:footnoteRef/>
      </w:r>
      <w:r>
        <w:t xml:space="preserve"> </w:t>
      </w:r>
      <w:r>
        <w:rPr>
          <w:sz w:val="18"/>
          <w:szCs w:val="18"/>
        </w:rPr>
        <w:t xml:space="preserve">Karl Claxton, Steve Martin, Marta Soares, Nigel Rice, Eldon Spackman, Sebastian Hinde, Nancy Devlin, Peter C Smith, Mark Sculpher, </w:t>
      </w:r>
      <w:r>
        <w:rPr>
          <w:i/>
          <w:iCs/>
          <w:sz w:val="18"/>
          <w:szCs w:val="18"/>
        </w:rPr>
        <w:t xml:space="preserve">Methods for the Estimation of the NICE Cost Effectiveness Threshold Revised Report Following Referees Comments, </w:t>
      </w:r>
      <w:r>
        <w:rPr>
          <w:sz w:val="18"/>
          <w:szCs w:val="18"/>
        </w:rPr>
        <w:t>10</w:t>
      </w:r>
      <w:r>
        <w:rPr>
          <w:sz w:val="12"/>
          <w:szCs w:val="12"/>
        </w:rPr>
        <w:t xml:space="preserve">th </w:t>
      </w:r>
      <w:r>
        <w:rPr>
          <w:sz w:val="18"/>
          <w:szCs w:val="18"/>
        </w:rPr>
        <w:t xml:space="preserve">June 2013 </w:t>
      </w:r>
      <w:hyperlink r:id="rId3" w:history="1">
        <w:r w:rsidRPr="003B0B8C">
          <w:rPr>
            <w:rStyle w:val="Hyperlink"/>
            <w:sz w:val="18"/>
            <w:szCs w:val="18"/>
          </w:rPr>
          <w:t>http://www.york.ac.uk/media/che/documents/reports/resubmitted_report.pdf</w:t>
        </w:r>
      </w:hyperlink>
      <w:r>
        <w:rPr>
          <w:sz w:val="18"/>
          <w:szCs w:val="18"/>
        </w:rPr>
        <w:t xml:space="preserve"> </w:t>
      </w:r>
    </w:p>
  </w:footnote>
  <w:footnote w:id="7">
    <w:p w:rsidR="00884F46" w:rsidRDefault="00884F46">
      <w:pPr>
        <w:pStyle w:val="FootnoteText"/>
      </w:pPr>
      <w:r>
        <w:rPr>
          <w:rStyle w:val="FootnoteReference"/>
        </w:rPr>
        <w:footnoteRef/>
      </w:r>
      <w:r>
        <w:t xml:space="preserve"> Dentists are not considered in this analysis as they are anticipated to receive a net reduction in their fees. The health impact of such an effect is difficult to estimate as it is not clear which parties would ultimately be affected by this reduction in fee income. </w:t>
      </w:r>
    </w:p>
  </w:footnote>
  <w:footnote w:id="8">
    <w:p w:rsidR="00884F46" w:rsidRPr="002D16E2" w:rsidRDefault="00884F46" w:rsidP="00626AB8">
      <w:pPr>
        <w:pStyle w:val="FootnoteText"/>
        <w:rPr>
          <w:rFonts w:asciiTheme="majorHAnsi" w:hAnsiTheme="majorHAnsi" w:cstheme="majorHAnsi"/>
          <w:szCs w:val="16"/>
        </w:rPr>
      </w:pPr>
      <w:r w:rsidRPr="002D16E2">
        <w:rPr>
          <w:rStyle w:val="FootnoteReference"/>
          <w:rFonts w:asciiTheme="majorHAnsi" w:hAnsiTheme="majorHAnsi" w:cstheme="majorHAnsi"/>
          <w:szCs w:val="16"/>
        </w:rPr>
        <w:footnoteRef/>
      </w:r>
      <w:r w:rsidRPr="002D16E2">
        <w:rPr>
          <w:rFonts w:asciiTheme="majorHAnsi" w:hAnsiTheme="majorHAnsi" w:cstheme="majorHAnsi"/>
          <w:szCs w:val="16"/>
        </w:rPr>
        <w:t xml:space="preserve"> Skills for Care, </w:t>
      </w:r>
      <w:r w:rsidRPr="002D16E2">
        <w:rPr>
          <w:rFonts w:asciiTheme="majorHAnsi" w:hAnsiTheme="majorHAnsi" w:cstheme="majorHAnsi"/>
          <w:i/>
          <w:szCs w:val="16"/>
        </w:rPr>
        <w:t xml:space="preserve">The size and structure of the adult social care sector and workforce in England, </w:t>
      </w:r>
      <w:r w:rsidRPr="002D16E2">
        <w:rPr>
          <w:rFonts w:asciiTheme="majorHAnsi" w:hAnsiTheme="majorHAnsi" w:cstheme="majorHAnsi"/>
          <w:szCs w:val="16"/>
        </w:rPr>
        <w:t>2013</w:t>
      </w:r>
    </w:p>
  </w:footnote>
  <w:footnote w:id="9">
    <w:p w:rsidR="00884F46" w:rsidRDefault="00884F46">
      <w:pPr>
        <w:pStyle w:val="FootnoteText"/>
      </w:pPr>
      <w:r>
        <w:rPr>
          <w:rStyle w:val="FootnoteReference"/>
        </w:rPr>
        <w:footnoteRef/>
      </w:r>
      <w:r>
        <w:t xml:space="preserve"> For example, for Dentists, fees are based on both the number of dental chairs and number of locations. Source: CQC’s 2015/16 Fees Scheme </w:t>
      </w:r>
      <w:hyperlink r:id="rId4" w:history="1">
        <w:r w:rsidRPr="00BB586E">
          <w:rPr>
            <w:rStyle w:val="Hyperlink"/>
          </w:rPr>
          <w:t>http://www.cqc.org.uk/sites/default/files/20150323_cqc_fees_scheme_2015-16.pdf</w:t>
        </w:r>
      </w:hyperlink>
      <w:r>
        <w:t xml:space="preserve"> </w:t>
      </w:r>
    </w:p>
  </w:footnote>
  <w:footnote w:id="10">
    <w:p w:rsidR="00884F46" w:rsidRDefault="00884F46">
      <w:pPr>
        <w:pStyle w:val="FootnoteText"/>
      </w:pPr>
      <w:r>
        <w:rPr>
          <w:rStyle w:val="FootnoteReference"/>
        </w:rPr>
        <w:footnoteRef/>
      </w:r>
      <w:r>
        <w:t xml:space="preserve"> This assumes that the marginal health impact arising from changes in available funding are the same across the NHS. The reality is likely to be more complex; however as the £15,000 estimate in paragraph 49 is an average estimate across the NHS as a whole, this simplifying assumption is justified.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F46" w:rsidRDefault="00884F46">
    <w:pPr>
      <w:pStyle w:val="Header"/>
    </w:pPr>
    <w:r>
      <w:fldChar w:fldCharType="begin"/>
    </w:r>
    <w:r>
      <w:instrText xml:space="preserve"> DOCPROPERTY  Classification  \* MERGEFORMAT </w:instrTex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F46" w:rsidRDefault="00884F46"/>
  <w:p w:rsidR="00884F46" w:rsidRDefault="00884F4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C02EAC8"/>
    <w:lvl w:ilvl="0">
      <w:start w:val="1"/>
      <w:numFmt w:val="decimal"/>
      <w:lvlText w:val="%1."/>
      <w:lvlJc w:val="left"/>
      <w:pPr>
        <w:tabs>
          <w:tab w:val="num" w:pos="1492"/>
        </w:tabs>
        <w:ind w:left="1492" w:hanging="360"/>
      </w:pPr>
    </w:lvl>
  </w:abstractNum>
  <w:abstractNum w:abstractNumId="1">
    <w:nsid w:val="FFFFFF7D"/>
    <w:multiLevelType w:val="singleLevel"/>
    <w:tmpl w:val="3438C8F0"/>
    <w:lvl w:ilvl="0">
      <w:start w:val="1"/>
      <w:numFmt w:val="decimal"/>
      <w:lvlText w:val="%1."/>
      <w:lvlJc w:val="left"/>
      <w:pPr>
        <w:tabs>
          <w:tab w:val="num" w:pos="1209"/>
        </w:tabs>
        <w:ind w:left="1209" w:hanging="360"/>
      </w:pPr>
    </w:lvl>
  </w:abstractNum>
  <w:abstractNum w:abstractNumId="2">
    <w:nsid w:val="FFFFFF7E"/>
    <w:multiLevelType w:val="singleLevel"/>
    <w:tmpl w:val="D742A838"/>
    <w:lvl w:ilvl="0">
      <w:start w:val="1"/>
      <w:numFmt w:val="decimal"/>
      <w:lvlText w:val="%1."/>
      <w:lvlJc w:val="left"/>
      <w:pPr>
        <w:tabs>
          <w:tab w:val="num" w:pos="926"/>
        </w:tabs>
        <w:ind w:left="926" w:hanging="360"/>
      </w:pPr>
    </w:lvl>
  </w:abstractNum>
  <w:abstractNum w:abstractNumId="3">
    <w:nsid w:val="FFFFFF7F"/>
    <w:multiLevelType w:val="singleLevel"/>
    <w:tmpl w:val="23A4D59C"/>
    <w:lvl w:ilvl="0">
      <w:start w:val="1"/>
      <w:numFmt w:val="decimal"/>
      <w:lvlText w:val="%1."/>
      <w:lvlJc w:val="left"/>
      <w:pPr>
        <w:tabs>
          <w:tab w:val="num" w:pos="643"/>
        </w:tabs>
        <w:ind w:left="643" w:hanging="360"/>
      </w:pPr>
    </w:lvl>
  </w:abstractNum>
  <w:abstractNum w:abstractNumId="4">
    <w:nsid w:val="FFFFFF80"/>
    <w:multiLevelType w:val="singleLevel"/>
    <w:tmpl w:val="ACBC2C1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A7E6D1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9C09E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1DE075D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B587AE4"/>
    <w:lvl w:ilvl="0">
      <w:start w:val="1"/>
      <w:numFmt w:val="decimal"/>
      <w:lvlText w:val="%1."/>
      <w:lvlJc w:val="left"/>
      <w:pPr>
        <w:tabs>
          <w:tab w:val="num" w:pos="360"/>
        </w:tabs>
        <w:ind w:left="360" w:hanging="360"/>
      </w:pPr>
    </w:lvl>
  </w:abstractNum>
  <w:abstractNum w:abstractNumId="9">
    <w:nsid w:val="FFFFFF89"/>
    <w:multiLevelType w:val="singleLevel"/>
    <w:tmpl w:val="9644316A"/>
    <w:lvl w:ilvl="0">
      <w:start w:val="1"/>
      <w:numFmt w:val="bullet"/>
      <w:lvlText w:val=""/>
      <w:lvlJc w:val="left"/>
      <w:pPr>
        <w:tabs>
          <w:tab w:val="num" w:pos="360"/>
        </w:tabs>
        <w:ind w:left="360" w:hanging="360"/>
      </w:pPr>
      <w:rPr>
        <w:rFonts w:ascii="Symbol" w:hAnsi="Symbol" w:hint="default"/>
      </w:rPr>
    </w:lvl>
  </w:abstractNum>
  <w:abstractNum w:abstractNumId="10">
    <w:nsid w:val="001131D5"/>
    <w:multiLevelType w:val="multilevel"/>
    <w:tmpl w:val="7E8654E2"/>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1339277D"/>
    <w:multiLevelType w:val="multilevel"/>
    <w:tmpl w:val="208C110E"/>
    <w:lvl w:ilvl="0">
      <w:start w:val="1"/>
      <w:numFmt w:val="none"/>
      <w:suff w:val="nothing"/>
      <w:lvlText w:val="%1"/>
      <w:lvlJc w:val="left"/>
      <w:pPr>
        <w:ind w:left="0" w:firstLine="0"/>
      </w:pPr>
      <w:rPr>
        <w:rFonts w:hint="default"/>
      </w:rPr>
    </w:lvl>
    <w:lvl w:ilvl="1">
      <w:start w:val="1"/>
      <w:numFmt w:val="decimal"/>
      <w:lvlText w:val="%1%2."/>
      <w:lvlJc w:val="left"/>
      <w:pPr>
        <w:tabs>
          <w:tab w:val="num" w:pos="425"/>
        </w:tabs>
        <w:ind w:left="425" w:hanging="425"/>
      </w:pPr>
      <w:rPr>
        <w:rFonts w:hint="default"/>
      </w:rPr>
    </w:lvl>
    <w:lvl w:ilvl="2">
      <w:start w:val="1"/>
      <w:numFmt w:val="bullet"/>
      <w:lvlText w:val=""/>
      <w:lvlJc w:val="left"/>
      <w:pPr>
        <w:tabs>
          <w:tab w:val="num" w:pos="851"/>
        </w:tabs>
        <w:ind w:left="851" w:hanging="426"/>
      </w:pPr>
      <w:rPr>
        <w:rFonts w:ascii="Symbol" w:hAnsi="Symbol" w:hint="default"/>
      </w:rPr>
    </w:lvl>
    <w:lvl w:ilvl="3">
      <w:start w:val="1"/>
      <w:numFmt w:val="none"/>
      <w:lvlText w:val="%1"/>
      <w:lvlJc w:val="left"/>
      <w:pPr>
        <w:tabs>
          <w:tab w:val="num" w:pos="2880"/>
        </w:tabs>
        <w:ind w:left="1728" w:hanging="648"/>
      </w:pPr>
      <w:rPr>
        <w:rFonts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2">
    <w:nsid w:val="1A2943E7"/>
    <w:multiLevelType w:val="multilevel"/>
    <w:tmpl w:val="3604C19E"/>
    <w:lvl w:ilvl="0">
      <w:start w:val="1"/>
      <w:numFmt w:val="bullet"/>
      <w:lvlText w:val=""/>
      <w:lvlJc w:val="left"/>
      <w:pPr>
        <w:tabs>
          <w:tab w:val="num" w:pos="284"/>
        </w:tabs>
        <w:ind w:left="284" w:hanging="284"/>
      </w:pPr>
      <w:rPr>
        <w:rFonts w:ascii="Wingdings" w:hAnsi="Wingdings" w:hint="default"/>
      </w:rPr>
    </w:lvl>
    <w:lvl w:ilvl="1">
      <w:start w:val="1"/>
      <w:numFmt w:val="bullet"/>
      <w:lvlText w:val=""/>
      <w:lvlJc w:val="left"/>
      <w:pPr>
        <w:tabs>
          <w:tab w:val="num" w:pos="567"/>
        </w:tabs>
        <w:ind w:left="567" w:hanging="283"/>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nsid w:val="32A232B0"/>
    <w:multiLevelType w:val="hybridMultilevel"/>
    <w:tmpl w:val="A47CD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777104D"/>
    <w:multiLevelType w:val="multilevel"/>
    <w:tmpl w:val="02B2DD8E"/>
    <w:lvl w:ilvl="0">
      <w:start w:val="1"/>
      <w:numFmt w:val="decimal"/>
      <w:suff w:val="nothing"/>
      <w:lvlText w:val="%1"/>
      <w:lvlJc w:val="left"/>
      <w:pPr>
        <w:ind w:left="0" w:firstLine="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6">
    <w:nsid w:val="46B2544B"/>
    <w:multiLevelType w:val="hybridMultilevel"/>
    <w:tmpl w:val="29CC0142"/>
    <w:lvl w:ilvl="0" w:tplc="0809000F">
      <w:start w:val="1"/>
      <w:numFmt w:val="decimal"/>
      <w:lvlText w:val="%1."/>
      <w:lvlJc w:val="left"/>
      <w:pPr>
        <w:ind w:left="720" w:hanging="360"/>
      </w:pPr>
    </w:lvl>
    <w:lvl w:ilvl="1" w:tplc="FAB22A82">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18851C2"/>
    <w:multiLevelType w:val="multilevel"/>
    <w:tmpl w:val="3626DD9A"/>
    <w:lvl w:ilvl="0">
      <w:start w:val="1"/>
      <w:numFmt w:val="decimal"/>
      <w:pStyle w:val="IARefNumber"/>
      <w:suff w:val="nothing"/>
      <w:lvlText w:val="%1"/>
      <w:lvlJc w:val="left"/>
      <w:pPr>
        <w:ind w:left="0" w:firstLine="113"/>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8">
    <w:nsid w:val="789A01E5"/>
    <w:multiLevelType w:val="hybridMultilevel"/>
    <w:tmpl w:val="CB0C3182"/>
    <w:lvl w:ilvl="0" w:tplc="D91213C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7EC4046E"/>
    <w:multiLevelType w:val="hybridMultilevel"/>
    <w:tmpl w:val="9BBAA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7FB75C1D"/>
    <w:multiLevelType w:val="multilevel"/>
    <w:tmpl w:val="7EDE8A66"/>
    <w:lvl w:ilvl="0">
      <w:start w:val="1"/>
      <w:numFmt w:val="none"/>
      <w:pStyle w:val="EBNumberRestart"/>
      <w:suff w:val="nothing"/>
      <w:lvlText w:val="%1"/>
      <w:lvlJc w:val="left"/>
      <w:pPr>
        <w:ind w:left="0" w:firstLine="0"/>
      </w:pPr>
      <w:rPr>
        <w:rFonts w:hint="default"/>
      </w:rPr>
    </w:lvl>
    <w:lvl w:ilvl="1">
      <w:start w:val="1"/>
      <w:numFmt w:val="decimal"/>
      <w:pStyle w:val="EBNumber"/>
      <w:lvlText w:val="%1%2."/>
      <w:lvlJc w:val="left"/>
      <w:pPr>
        <w:tabs>
          <w:tab w:val="num" w:pos="425"/>
        </w:tabs>
        <w:ind w:left="425" w:hanging="425"/>
      </w:pPr>
      <w:rPr>
        <w:rFonts w:hint="default"/>
        <w:strike w:val="0"/>
      </w:rPr>
    </w:lvl>
    <w:lvl w:ilvl="2">
      <w:start w:val="1"/>
      <w:numFmt w:val="lowerLetter"/>
      <w:lvlText w:val="%1%3."/>
      <w:lvlJc w:val="left"/>
      <w:pPr>
        <w:tabs>
          <w:tab w:val="num" w:pos="851"/>
        </w:tabs>
        <w:ind w:left="851" w:hanging="426"/>
      </w:pPr>
      <w:rPr>
        <w:rFonts w:hint="default"/>
      </w:rPr>
    </w:lvl>
    <w:lvl w:ilvl="3">
      <w:start w:val="1"/>
      <w:numFmt w:val="none"/>
      <w:lvlText w:val="%1"/>
      <w:lvlJc w:val="left"/>
      <w:pPr>
        <w:tabs>
          <w:tab w:val="num" w:pos="2880"/>
        </w:tabs>
        <w:ind w:left="1728" w:hanging="648"/>
      </w:pPr>
      <w:rPr>
        <w:rFonts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7"/>
  </w:num>
  <w:num w:numId="13">
    <w:abstractNumId w:val="10"/>
  </w:num>
  <w:num w:numId="14">
    <w:abstractNumId w:val="15"/>
  </w:num>
  <w:num w:numId="15">
    <w:abstractNumId w:val="13"/>
  </w:num>
  <w:num w:numId="16">
    <w:abstractNumId w:val="12"/>
  </w:num>
  <w:num w:numId="17">
    <w:abstractNumId w:val="13"/>
  </w:num>
  <w:num w:numId="18">
    <w:abstractNumId w:val="20"/>
  </w:num>
  <w:num w:numId="19">
    <w:abstractNumId w:val="20"/>
  </w:num>
  <w:num w:numId="20">
    <w:abstractNumId w:val="20"/>
  </w:num>
  <w:num w:numId="21">
    <w:abstractNumId w:val="13"/>
  </w:num>
  <w:num w:numId="22">
    <w:abstractNumId w:val="11"/>
  </w:num>
  <w:num w:numId="23">
    <w:abstractNumId w:val="14"/>
  </w:num>
  <w:num w:numId="24">
    <w:abstractNumId w:val="16"/>
  </w:num>
  <w:num w:numId="25">
    <w:abstractNumId w:val="18"/>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1" w:cryptProviderType="rsaFull" w:cryptAlgorithmClass="hash" w:cryptAlgorithmType="typeAny" w:cryptAlgorithmSid="4" w:cryptSpinCount="100000" w:hash="MiFGBFoL9BoY+BqUoiuJl7CfpIA=" w:salt="pEV3bmNk1Nu/Mm80zJmgVw=="/>
  <w:defaultTabStop w:val="720"/>
  <w:doNotShadeFormData/>
  <w:characterSpacingControl w:val="doNotCompress"/>
  <w:hdrShapeDefaults>
    <o:shapedefaults v:ext="edit" spidmax="32769"/>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NewDoc" w:val="Created"/>
    <w:docVar w:name="VerNumber" w:val="3.6.0"/>
  </w:docVars>
  <w:rsids>
    <w:rsidRoot w:val="00472054"/>
    <w:rsid w:val="000019B2"/>
    <w:rsid w:val="00001E72"/>
    <w:rsid w:val="00003A70"/>
    <w:rsid w:val="0000505F"/>
    <w:rsid w:val="000071A5"/>
    <w:rsid w:val="000079C0"/>
    <w:rsid w:val="00010950"/>
    <w:rsid w:val="00010EE1"/>
    <w:rsid w:val="00012458"/>
    <w:rsid w:val="000142F1"/>
    <w:rsid w:val="0001460F"/>
    <w:rsid w:val="00021306"/>
    <w:rsid w:val="000222F1"/>
    <w:rsid w:val="00022BE0"/>
    <w:rsid w:val="00022F52"/>
    <w:rsid w:val="00023080"/>
    <w:rsid w:val="0002370C"/>
    <w:rsid w:val="000239A7"/>
    <w:rsid w:val="00023E62"/>
    <w:rsid w:val="000251D0"/>
    <w:rsid w:val="00026555"/>
    <w:rsid w:val="00026AC0"/>
    <w:rsid w:val="0003786D"/>
    <w:rsid w:val="0004016B"/>
    <w:rsid w:val="000407D8"/>
    <w:rsid w:val="00045828"/>
    <w:rsid w:val="00045BAD"/>
    <w:rsid w:val="00051403"/>
    <w:rsid w:val="00052F44"/>
    <w:rsid w:val="00056EE6"/>
    <w:rsid w:val="0006047F"/>
    <w:rsid w:val="0006053F"/>
    <w:rsid w:val="000671A2"/>
    <w:rsid w:val="00070EEB"/>
    <w:rsid w:val="00071299"/>
    <w:rsid w:val="00072272"/>
    <w:rsid w:val="00073758"/>
    <w:rsid w:val="000767AC"/>
    <w:rsid w:val="0007695E"/>
    <w:rsid w:val="00076A78"/>
    <w:rsid w:val="00076C08"/>
    <w:rsid w:val="00082659"/>
    <w:rsid w:val="00082BAC"/>
    <w:rsid w:val="000860CC"/>
    <w:rsid w:val="00086128"/>
    <w:rsid w:val="0008731F"/>
    <w:rsid w:val="00093598"/>
    <w:rsid w:val="0009381F"/>
    <w:rsid w:val="00094680"/>
    <w:rsid w:val="000956FD"/>
    <w:rsid w:val="000A36EE"/>
    <w:rsid w:val="000A79FC"/>
    <w:rsid w:val="000B07A1"/>
    <w:rsid w:val="000B1176"/>
    <w:rsid w:val="000B200A"/>
    <w:rsid w:val="000B3E49"/>
    <w:rsid w:val="000C031E"/>
    <w:rsid w:val="000C165A"/>
    <w:rsid w:val="000C1D45"/>
    <w:rsid w:val="000C30D8"/>
    <w:rsid w:val="000C4589"/>
    <w:rsid w:val="000C57D5"/>
    <w:rsid w:val="000C6A87"/>
    <w:rsid w:val="000D1CB0"/>
    <w:rsid w:val="000D55B5"/>
    <w:rsid w:val="000D58BD"/>
    <w:rsid w:val="000D5ED5"/>
    <w:rsid w:val="000D7F7C"/>
    <w:rsid w:val="000E3308"/>
    <w:rsid w:val="000E3FD7"/>
    <w:rsid w:val="000E452D"/>
    <w:rsid w:val="000E785D"/>
    <w:rsid w:val="000F004E"/>
    <w:rsid w:val="000F0840"/>
    <w:rsid w:val="000F37BB"/>
    <w:rsid w:val="000F4481"/>
    <w:rsid w:val="000F57BB"/>
    <w:rsid w:val="00101961"/>
    <w:rsid w:val="00102870"/>
    <w:rsid w:val="00110396"/>
    <w:rsid w:val="001110DB"/>
    <w:rsid w:val="00115D70"/>
    <w:rsid w:val="00120113"/>
    <w:rsid w:val="0012176B"/>
    <w:rsid w:val="001235DD"/>
    <w:rsid w:val="0012369A"/>
    <w:rsid w:val="001243CD"/>
    <w:rsid w:val="00127373"/>
    <w:rsid w:val="00133A17"/>
    <w:rsid w:val="00133C58"/>
    <w:rsid w:val="001365F4"/>
    <w:rsid w:val="0014140D"/>
    <w:rsid w:val="00141B6F"/>
    <w:rsid w:val="0014336D"/>
    <w:rsid w:val="001477D1"/>
    <w:rsid w:val="00150DAE"/>
    <w:rsid w:val="0015254E"/>
    <w:rsid w:val="00152C60"/>
    <w:rsid w:val="001535F3"/>
    <w:rsid w:val="00156E0C"/>
    <w:rsid w:val="00160691"/>
    <w:rsid w:val="00165113"/>
    <w:rsid w:val="001709E2"/>
    <w:rsid w:val="00174C10"/>
    <w:rsid w:val="00175447"/>
    <w:rsid w:val="00181C4C"/>
    <w:rsid w:val="00182B85"/>
    <w:rsid w:val="00183038"/>
    <w:rsid w:val="00183882"/>
    <w:rsid w:val="001844B6"/>
    <w:rsid w:val="001851A3"/>
    <w:rsid w:val="001851B9"/>
    <w:rsid w:val="001855B1"/>
    <w:rsid w:val="0019021E"/>
    <w:rsid w:val="00190F9A"/>
    <w:rsid w:val="00194050"/>
    <w:rsid w:val="00194745"/>
    <w:rsid w:val="00194E96"/>
    <w:rsid w:val="001A07F1"/>
    <w:rsid w:val="001A3B0B"/>
    <w:rsid w:val="001A4332"/>
    <w:rsid w:val="001A4432"/>
    <w:rsid w:val="001A478E"/>
    <w:rsid w:val="001A509E"/>
    <w:rsid w:val="001A6FE6"/>
    <w:rsid w:val="001A7B61"/>
    <w:rsid w:val="001A7D6D"/>
    <w:rsid w:val="001B305C"/>
    <w:rsid w:val="001B34EB"/>
    <w:rsid w:val="001C0644"/>
    <w:rsid w:val="001C0B58"/>
    <w:rsid w:val="001C3363"/>
    <w:rsid w:val="001C7C39"/>
    <w:rsid w:val="001D09CC"/>
    <w:rsid w:val="001D0AF4"/>
    <w:rsid w:val="001D12D6"/>
    <w:rsid w:val="001D2096"/>
    <w:rsid w:val="001D3A43"/>
    <w:rsid w:val="001D3C11"/>
    <w:rsid w:val="001D4AA8"/>
    <w:rsid w:val="001D4D42"/>
    <w:rsid w:val="001D5EC9"/>
    <w:rsid w:val="001D6B90"/>
    <w:rsid w:val="001E152A"/>
    <w:rsid w:val="001E1DA0"/>
    <w:rsid w:val="001F4352"/>
    <w:rsid w:val="001F5423"/>
    <w:rsid w:val="001F5DD9"/>
    <w:rsid w:val="001F69E9"/>
    <w:rsid w:val="001F71C9"/>
    <w:rsid w:val="0020104C"/>
    <w:rsid w:val="0020151D"/>
    <w:rsid w:val="00201B79"/>
    <w:rsid w:val="00202E56"/>
    <w:rsid w:val="002033D6"/>
    <w:rsid w:val="00203758"/>
    <w:rsid w:val="00204AB1"/>
    <w:rsid w:val="00205E05"/>
    <w:rsid w:val="0020708B"/>
    <w:rsid w:val="00207B21"/>
    <w:rsid w:val="00207D2A"/>
    <w:rsid w:val="00211257"/>
    <w:rsid w:val="002144F0"/>
    <w:rsid w:val="00216F02"/>
    <w:rsid w:val="0021731F"/>
    <w:rsid w:val="00217CA1"/>
    <w:rsid w:val="00220F29"/>
    <w:rsid w:val="00221FAD"/>
    <w:rsid w:val="0022490F"/>
    <w:rsid w:val="00225F9C"/>
    <w:rsid w:val="002274E5"/>
    <w:rsid w:val="0022767B"/>
    <w:rsid w:val="002305C1"/>
    <w:rsid w:val="0023355B"/>
    <w:rsid w:val="002347A2"/>
    <w:rsid w:val="00241738"/>
    <w:rsid w:val="002425C2"/>
    <w:rsid w:val="00242C41"/>
    <w:rsid w:val="002437A8"/>
    <w:rsid w:val="00246360"/>
    <w:rsid w:val="00250259"/>
    <w:rsid w:val="00251ED1"/>
    <w:rsid w:val="002530A8"/>
    <w:rsid w:val="00253F4D"/>
    <w:rsid w:val="0026191F"/>
    <w:rsid w:val="00262437"/>
    <w:rsid w:val="00265153"/>
    <w:rsid w:val="002718D6"/>
    <w:rsid w:val="00272314"/>
    <w:rsid w:val="00272539"/>
    <w:rsid w:val="00272F62"/>
    <w:rsid w:val="00273A3C"/>
    <w:rsid w:val="0027723E"/>
    <w:rsid w:val="00281E7E"/>
    <w:rsid w:val="00282EFA"/>
    <w:rsid w:val="002837FC"/>
    <w:rsid w:val="00284C30"/>
    <w:rsid w:val="00286282"/>
    <w:rsid w:val="0028755A"/>
    <w:rsid w:val="00287BA8"/>
    <w:rsid w:val="00290335"/>
    <w:rsid w:val="0029158C"/>
    <w:rsid w:val="002A06DA"/>
    <w:rsid w:val="002A456F"/>
    <w:rsid w:val="002A6E2B"/>
    <w:rsid w:val="002B02F0"/>
    <w:rsid w:val="002B2036"/>
    <w:rsid w:val="002B2572"/>
    <w:rsid w:val="002B4D79"/>
    <w:rsid w:val="002B7335"/>
    <w:rsid w:val="002B77F5"/>
    <w:rsid w:val="002C1D0C"/>
    <w:rsid w:val="002C1EC2"/>
    <w:rsid w:val="002C331D"/>
    <w:rsid w:val="002D1AE9"/>
    <w:rsid w:val="002D2D7E"/>
    <w:rsid w:val="002D3103"/>
    <w:rsid w:val="002D4104"/>
    <w:rsid w:val="002D4177"/>
    <w:rsid w:val="002D548B"/>
    <w:rsid w:val="002D66B1"/>
    <w:rsid w:val="002D7ECF"/>
    <w:rsid w:val="002E1C94"/>
    <w:rsid w:val="002E46DE"/>
    <w:rsid w:val="002E5406"/>
    <w:rsid w:val="002E78D7"/>
    <w:rsid w:val="002F1CB1"/>
    <w:rsid w:val="002F3633"/>
    <w:rsid w:val="002F5B67"/>
    <w:rsid w:val="002F653C"/>
    <w:rsid w:val="002F7D4C"/>
    <w:rsid w:val="00300CED"/>
    <w:rsid w:val="00300D77"/>
    <w:rsid w:val="003030E1"/>
    <w:rsid w:val="00304677"/>
    <w:rsid w:val="00304C1D"/>
    <w:rsid w:val="003069E8"/>
    <w:rsid w:val="00307E85"/>
    <w:rsid w:val="00310269"/>
    <w:rsid w:val="00310E67"/>
    <w:rsid w:val="003111DB"/>
    <w:rsid w:val="00311373"/>
    <w:rsid w:val="00311CCB"/>
    <w:rsid w:val="00313937"/>
    <w:rsid w:val="00314466"/>
    <w:rsid w:val="003149E9"/>
    <w:rsid w:val="00316B83"/>
    <w:rsid w:val="00317DAD"/>
    <w:rsid w:val="003203C7"/>
    <w:rsid w:val="00320415"/>
    <w:rsid w:val="003208C1"/>
    <w:rsid w:val="003228BF"/>
    <w:rsid w:val="00322E0B"/>
    <w:rsid w:val="00323107"/>
    <w:rsid w:val="00323C5A"/>
    <w:rsid w:val="00324485"/>
    <w:rsid w:val="00325D5B"/>
    <w:rsid w:val="00331DCE"/>
    <w:rsid w:val="00332055"/>
    <w:rsid w:val="00332280"/>
    <w:rsid w:val="003323DB"/>
    <w:rsid w:val="00332B05"/>
    <w:rsid w:val="003330C7"/>
    <w:rsid w:val="00335C9A"/>
    <w:rsid w:val="003409BF"/>
    <w:rsid w:val="00345525"/>
    <w:rsid w:val="00351302"/>
    <w:rsid w:val="00355E73"/>
    <w:rsid w:val="00356841"/>
    <w:rsid w:val="003637D7"/>
    <w:rsid w:val="00364715"/>
    <w:rsid w:val="00365687"/>
    <w:rsid w:val="003657AB"/>
    <w:rsid w:val="00370A03"/>
    <w:rsid w:val="00372A69"/>
    <w:rsid w:val="003757D5"/>
    <w:rsid w:val="00376491"/>
    <w:rsid w:val="00380189"/>
    <w:rsid w:val="00380A15"/>
    <w:rsid w:val="00381107"/>
    <w:rsid w:val="00381308"/>
    <w:rsid w:val="003818E8"/>
    <w:rsid w:val="003848EF"/>
    <w:rsid w:val="00384905"/>
    <w:rsid w:val="00385BF8"/>
    <w:rsid w:val="00386560"/>
    <w:rsid w:val="0039583B"/>
    <w:rsid w:val="00395DFD"/>
    <w:rsid w:val="00395F95"/>
    <w:rsid w:val="00396C1A"/>
    <w:rsid w:val="003A151C"/>
    <w:rsid w:val="003A53C5"/>
    <w:rsid w:val="003A5EEC"/>
    <w:rsid w:val="003A6079"/>
    <w:rsid w:val="003A68AB"/>
    <w:rsid w:val="003A7572"/>
    <w:rsid w:val="003B04F0"/>
    <w:rsid w:val="003B1336"/>
    <w:rsid w:val="003B20FC"/>
    <w:rsid w:val="003B30DD"/>
    <w:rsid w:val="003B3E18"/>
    <w:rsid w:val="003B72CF"/>
    <w:rsid w:val="003B78AB"/>
    <w:rsid w:val="003C2DEE"/>
    <w:rsid w:val="003C4286"/>
    <w:rsid w:val="003C6C81"/>
    <w:rsid w:val="003D11C0"/>
    <w:rsid w:val="003D2341"/>
    <w:rsid w:val="003D2D82"/>
    <w:rsid w:val="003D33A3"/>
    <w:rsid w:val="003D572E"/>
    <w:rsid w:val="003D57B2"/>
    <w:rsid w:val="003D6960"/>
    <w:rsid w:val="003D77EE"/>
    <w:rsid w:val="003E0510"/>
    <w:rsid w:val="003E1BBB"/>
    <w:rsid w:val="003E2295"/>
    <w:rsid w:val="003E54B6"/>
    <w:rsid w:val="003E58BD"/>
    <w:rsid w:val="003E66BB"/>
    <w:rsid w:val="003E7A4D"/>
    <w:rsid w:val="003F1F49"/>
    <w:rsid w:val="003F2FA0"/>
    <w:rsid w:val="003F42A7"/>
    <w:rsid w:val="003F6045"/>
    <w:rsid w:val="003F71C5"/>
    <w:rsid w:val="004016DE"/>
    <w:rsid w:val="004025DC"/>
    <w:rsid w:val="00402E80"/>
    <w:rsid w:val="004041B8"/>
    <w:rsid w:val="00405ACA"/>
    <w:rsid w:val="00415552"/>
    <w:rsid w:val="00416050"/>
    <w:rsid w:val="00417259"/>
    <w:rsid w:val="004175D4"/>
    <w:rsid w:val="004240A9"/>
    <w:rsid w:val="0042494E"/>
    <w:rsid w:val="00426AB3"/>
    <w:rsid w:val="00431142"/>
    <w:rsid w:val="00432445"/>
    <w:rsid w:val="0043446F"/>
    <w:rsid w:val="0043683F"/>
    <w:rsid w:val="004406D1"/>
    <w:rsid w:val="00440A77"/>
    <w:rsid w:val="004422A6"/>
    <w:rsid w:val="004442E2"/>
    <w:rsid w:val="00445634"/>
    <w:rsid w:val="0045253C"/>
    <w:rsid w:val="00452B35"/>
    <w:rsid w:val="004547EA"/>
    <w:rsid w:val="00455EAA"/>
    <w:rsid w:val="00456494"/>
    <w:rsid w:val="00457408"/>
    <w:rsid w:val="004577E1"/>
    <w:rsid w:val="0045799A"/>
    <w:rsid w:val="00463490"/>
    <w:rsid w:val="00466326"/>
    <w:rsid w:val="00470048"/>
    <w:rsid w:val="00470BEA"/>
    <w:rsid w:val="00471060"/>
    <w:rsid w:val="004716AC"/>
    <w:rsid w:val="00471E07"/>
    <w:rsid w:val="00472054"/>
    <w:rsid w:val="00475124"/>
    <w:rsid w:val="004763AF"/>
    <w:rsid w:val="0048196D"/>
    <w:rsid w:val="00481DBF"/>
    <w:rsid w:val="00483E1A"/>
    <w:rsid w:val="00483FB7"/>
    <w:rsid w:val="00485114"/>
    <w:rsid w:val="004860C0"/>
    <w:rsid w:val="00487074"/>
    <w:rsid w:val="0049072A"/>
    <w:rsid w:val="00490FF7"/>
    <w:rsid w:val="004930F6"/>
    <w:rsid w:val="00493B5E"/>
    <w:rsid w:val="0049416F"/>
    <w:rsid w:val="004948C9"/>
    <w:rsid w:val="00495404"/>
    <w:rsid w:val="00497931"/>
    <w:rsid w:val="004A14BC"/>
    <w:rsid w:val="004A1F2F"/>
    <w:rsid w:val="004A3D93"/>
    <w:rsid w:val="004A3EFD"/>
    <w:rsid w:val="004A3F27"/>
    <w:rsid w:val="004A7E39"/>
    <w:rsid w:val="004B1880"/>
    <w:rsid w:val="004B3B7B"/>
    <w:rsid w:val="004B5251"/>
    <w:rsid w:val="004C0392"/>
    <w:rsid w:val="004C1BBB"/>
    <w:rsid w:val="004C4C8F"/>
    <w:rsid w:val="004C5754"/>
    <w:rsid w:val="004D0574"/>
    <w:rsid w:val="004D0C7C"/>
    <w:rsid w:val="004D118B"/>
    <w:rsid w:val="004D6A72"/>
    <w:rsid w:val="004E1174"/>
    <w:rsid w:val="004E29C6"/>
    <w:rsid w:val="004E3E8F"/>
    <w:rsid w:val="004E4095"/>
    <w:rsid w:val="004E5E6C"/>
    <w:rsid w:val="004E6683"/>
    <w:rsid w:val="004F5E43"/>
    <w:rsid w:val="004F7BA3"/>
    <w:rsid w:val="00500698"/>
    <w:rsid w:val="00500C9D"/>
    <w:rsid w:val="00503C39"/>
    <w:rsid w:val="00506528"/>
    <w:rsid w:val="00507986"/>
    <w:rsid w:val="00510AC6"/>
    <w:rsid w:val="005116B1"/>
    <w:rsid w:val="00517351"/>
    <w:rsid w:val="00520444"/>
    <w:rsid w:val="0052463E"/>
    <w:rsid w:val="00525511"/>
    <w:rsid w:val="00526B28"/>
    <w:rsid w:val="00527387"/>
    <w:rsid w:val="00527A7D"/>
    <w:rsid w:val="00533D7B"/>
    <w:rsid w:val="005348B1"/>
    <w:rsid w:val="005409C5"/>
    <w:rsid w:val="00540A7C"/>
    <w:rsid w:val="00544292"/>
    <w:rsid w:val="005456EC"/>
    <w:rsid w:val="00547154"/>
    <w:rsid w:val="00554795"/>
    <w:rsid w:val="00556DEA"/>
    <w:rsid w:val="00560465"/>
    <w:rsid w:val="00560972"/>
    <w:rsid w:val="00563F7B"/>
    <w:rsid w:val="005640A6"/>
    <w:rsid w:val="0056664A"/>
    <w:rsid w:val="00570F8E"/>
    <w:rsid w:val="005719FD"/>
    <w:rsid w:val="00571B06"/>
    <w:rsid w:val="00572118"/>
    <w:rsid w:val="00573359"/>
    <w:rsid w:val="00574A89"/>
    <w:rsid w:val="00575FFA"/>
    <w:rsid w:val="00576F30"/>
    <w:rsid w:val="00586CE4"/>
    <w:rsid w:val="00586D82"/>
    <w:rsid w:val="005875FD"/>
    <w:rsid w:val="005879B8"/>
    <w:rsid w:val="00591130"/>
    <w:rsid w:val="00593648"/>
    <w:rsid w:val="00594141"/>
    <w:rsid w:val="00594AC6"/>
    <w:rsid w:val="00594F99"/>
    <w:rsid w:val="00596F19"/>
    <w:rsid w:val="005970B5"/>
    <w:rsid w:val="005978D0"/>
    <w:rsid w:val="005A0026"/>
    <w:rsid w:val="005A0B86"/>
    <w:rsid w:val="005A2FC0"/>
    <w:rsid w:val="005A3880"/>
    <w:rsid w:val="005A66F6"/>
    <w:rsid w:val="005A7A14"/>
    <w:rsid w:val="005B341F"/>
    <w:rsid w:val="005B44D6"/>
    <w:rsid w:val="005B5651"/>
    <w:rsid w:val="005B613F"/>
    <w:rsid w:val="005C0E7F"/>
    <w:rsid w:val="005D27B8"/>
    <w:rsid w:val="005D2E03"/>
    <w:rsid w:val="005D4544"/>
    <w:rsid w:val="005D4F09"/>
    <w:rsid w:val="005D5178"/>
    <w:rsid w:val="005D6EA8"/>
    <w:rsid w:val="005D6F05"/>
    <w:rsid w:val="005E10E3"/>
    <w:rsid w:val="005E3FC7"/>
    <w:rsid w:val="005F32E7"/>
    <w:rsid w:val="005F54D7"/>
    <w:rsid w:val="005F698B"/>
    <w:rsid w:val="00600956"/>
    <w:rsid w:val="006011E1"/>
    <w:rsid w:val="00602401"/>
    <w:rsid w:val="00604158"/>
    <w:rsid w:val="0060666C"/>
    <w:rsid w:val="00606C5F"/>
    <w:rsid w:val="00614CE6"/>
    <w:rsid w:val="00615CA5"/>
    <w:rsid w:val="00615D43"/>
    <w:rsid w:val="00616BCC"/>
    <w:rsid w:val="0061761A"/>
    <w:rsid w:val="00621038"/>
    <w:rsid w:val="00623DFF"/>
    <w:rsid w:val="00624299"/>
    <w:rsid w:val="006243EB"/>
    <w:rsid w:val="00625536"/>
    <w:rsid w:val="00625AC1"/>
    <w:rsid w:val="006267F8"/>
    <w:rsid w:val="00626AB8"/>
    <w:rsid w:val="00630966"/>
    <w:rsid w:val="00630EC4"/>
    <w:rsid w:val="00630EC9"/>
    <w:rsid w:val="00631B4C"/>
    <w:rsid w:val="00632522"/>
    <w:rsid w:val="006328B1"/>
    <w:rsid w:val="00632CB9"/>
    <w:rsid w:val="00635BAE"/>
    <w:rsid w:val="00641D5A"/>
    <w:rsid w:val="00642777"/>
    <w:rsid w:val="00643B89"/>
    <w:rsid w:val="00645936"/>
    <w:rsid w:val="00646433"/>
    <w:rsid w:val="00646B92"/>
    <w:rsid w:val="00647402"/>
    <w:rsid w:val="00650282"/>
    <w:rsid w:val="00650A11"/>
    <w:rsid w:val="006511BB"/>
    <w:rsid w:val="006531EF"/>
    <w:rsid w:val="00656305"/>
    <w:rsid w:val="0066034A"/>
    <w:rsid w:val="006631B8"/>
    <w:rsid w:val="006656EC"/>
    <w:rsid w:val="006662EE"/>
    <w:rsid w:val="00667977"/>
    <w:rsid w:val="006725A4"/>
    <w:rsid w:val="00674043"/>
    <w:rsid w:val="0067720E"/>
    <w:rsid w:val="00677C65"/>
    <w:rsid w:val="0068051F"/>
    <w:rsid w:val="006812CF"/>
    <w:rsid w:val="006820E6"/>
    <w:rsid w:val="006824EE"/>
    <w:rsid w:val="00682BBC"/>
    <w:rsid w:val="00684490"/>
    <w:rsid w:val="006867B7"/>
    <w:rsid w:val="00686F5E"/>
    <w:rsid w:val="00690CD5"/>
    <w:rsid w:val="006914EF"/>
    <w:rsid w:val="00692DE8"/>
    <w:rsid w:val="0069403E"/>
    <w:rsid w:val="006945C8"/>
    <w:rsid w:val="006A0557"/>
    <w:rsid w:val="006A0782"/>
    <w:rsid w:val="006A1AC1"/>
    <w:rsid w:val="006A1B09"/>
    <w:rsid w:val="006A2A2C"/>
    <w:rsid w:val="006A2D92"/>
    <w:rsid w:val="006A56C1"/>
    <w:rsid w:val="006A5A2E"/>
    <w:rsid w:val="006B02A6"/>
    <w:rsid w:val="006B04D1"/>
    <w:rsid w:val="006B3C41"/>
    <w:rsid w:val="006B4257"/>
    <w:rsid w:val="006C0521"/>
    <w:rsid w:val="006C5CE3"/>
    <w:rsid w:val="006C7426"/>
    <w:rsid w:val="006D1474"/>
    <w:rsid w:val="006D1F7D"/>
    <w:rsid w:val="006D29CD"/>
    <w:rsid w:val="006D2BE3"/>
    <w:rsid w:val="006D2BEB"/>
    <w:rsid w:val="006D2BF3"/>
    <w:rsid w:val="006D37CF"/>
    <w:rsid w:val="006E11EC"/>
    <w:rsid w:val="006E17B6"/>
    <w:rsid w:val="006E27AF"/>
    <w:rsid w:val="006E7242"/>
    <w:rsid w:val="006F0945"/>
    <w:rsid w:val="006F3BB8"/>
    <w:rsid w:val="00703D2D"/>
    <w:rsid w:val="00706FE9"/>
    <w:rsid w:val="00710BF9"/>
    <w:rsid w:val="00712914"/>
    <w:rsid w:val="0071360C"/>
    <w:rsid w:val="0071367B"/>
    <w:rsid w:val="007139B6"/>
    <w:rsid w:val="0071468E"/>
    <w:rsid w:val="0071686F"/>
    <w:rsid w:val="00716D5C"/>
    <w:rsid w:val="00716E66"/>
    <w:rsid w:val="00717760"/>
    <w:rsid w:val="00717800"/>
    <w:rsid w:val="007208D9"/>
    <w:rsid w:val="00720AF5"/>
    <w:rsid w:val="00720C9D"/>
    <w:rsid w:val="00720FFE"/>
    <w:rsid w:val="00724C0F"/>
    <w:rsid w:val="00732185"/>
    <w:rsid w:val="0073258B"/>
    <w:rsid w:val="00732BA8"/>
    <w:rsid w:val="0073350E"/>
    <w:rsid w:val="00733F8C"/>
    <w:rsid w:val="00734E99"/>
    <w:rsid w:val="007359A7"/>
    <w:rsid w:val="00736A54"/>
    <w:rsid w:val="00744ECC"/>
    <w:rsid w:val="0074677C"/>
    <w:rsid w:val="00746E21"/>
    <w:rsid w:val="0074740B"/>
    <w:rsid w:val="00747E73"/>
    <w:rsid w:val="0075393B"/>
    <w:rsid w:val="0075471A"/>
    <w:rsid w:val="0075771C"/>
    <w:rsid w:val="007608D7"/>
    <w:rsid w:val="00763D76"/>
    <w:rsid w:val="00764FAA"/>
    <w:rsid w:val="00767A04"/>
    <w:rsid w:val="00773719"/>
    <w:rsid w:val="00773B58"/>
    <w:rsid w:val="00774343"/>
    <w:rsid w:val="007754E1"/>
    <w:rsid w:val="00777487"/>
    <w:rsid w:val="007777A1"/>
    <w:rsid w:val="0078003D"/>
    <w:rsid w:val="0078273E"/>
    <w:rsid w:val="00782DCD"/>
    <w:rsid w:val="00782F88"/>
    <w:rsid w:val="0078471D"/>
    <w:rsid w:val="00784EC0"/>
    <w:rsid w:val="0078730F"/>
    <w:rsid w:val="0078760F"/>
    <w:rsid w:val="007913FD"/>
    <w:rsid w:val="0079221B"/>
    <w:rsid w:val="007925C2"/>
    <w:rsid w:val="00796A50"/>
    <w:rsid w:val="007A01E1"/>
    <w:rsid w:val="007A49C2"/>
    <w:rsid w:val="007A4BDD"/>
    <w:rsid w:val="007B05B3"/>
    <w:rsid w:val="007B14CE"/>
    <w:rsid w:val="007B33D7"/>
    <w:rsid w:val="007C08F8"/>
    <w:rsid w:val="007C1837"/>
    <w:rsid w:val="007C2377"/>
    <w:rsid w:val="007C293A"/>
    <w:rsid w:val="007D0CC0"/>
    <w:rsid w:val="007D537B"/>
    <w:rsid w:val="007D6F3F"/>
    <w:rsid w:val="007E1522"/>
    <w:rsid w:val="007E190E"/>
    <w:rsid w:val="007E6CF8"/>
    <w:rsid w:val="007E6ECC"/>
    <w:rsid w:val="007F0ABE"/>
    <w:rsid w:val="007F0ED9"/>
    <w:rsid w:val="007F25A7"/>
    <w:rsid w:val="007F2645"/>
    <w:rsid w:val="007F4668"/>
    <w:rsid w:val="007F571B"/>
    <w:rsid w:val="007F64C7"/>
    <w:rsid w:val="007F674E"/>
    <w:rsid w:val="008031EC"/>
    <w:rsid w:val="00804F66"/>
    <w:rsid w:val="008054F0"/>
    <w:rsid w:val="00805BD3"/>
    <w:rsid w:val="00807DB6"/>
    <w:rsid w:val="00815425"/>
    <w:rsid w:val="008155E3"/>
    <w:rsid w:val="00817638"/>
    <w:rsid w:val="008228A5"/>
    <w:rsid w:val="00822B3C"/>
    <w:rsid w:val="00830ED9"/>
    <w:rsid w:val="00834367"/>
    <w:rsid w:val="008369A3"/>
    <w:rsid w:val="00837300"/>
    <w:rsid w:val="00837F65"/>
    <w:rsid w:val="008410B6"/>
    <w:rsid w:val="00845B33"/>
    <w:rsid w:val="008478CE"/>
    <w:rsid w:val="00847C2B"/>
    <w:rsid w:val="00847E7D"/>
    <w:rsid w:val="00847F14"/>
    <w:rsid w:val="00850ABD"/>
    <w:rsid w:val="00850CF7"/>
    <w:rsid w:val="00854B58"/>
    <w:rsid w:val="0085583B"/>
    <w:rsid w:val="00857E85"/>
    <w:rsid w:val="00860E75"/>
    <w:rsid w:val="0086103A"/>
    <w:rsid w:val="008617EA"/>
    <w:rsid w:val="0086208D"/>
    <w:rsid w:val="008629E3"/>
    <w:rsid w:val="00864321"/>
    <w:rsid w:val="00865DC8"/>
    <w:rsid w:val="00870D58"/>
    <w:rsid w:val="00872621"/>
    <w:rsid w:val="008727AA"/>
    <w:rsid w:val="008729DD"/>
    <w:rsid w:val="00873250"/>
    <w:rsid w:val="00873825"/>
    <w:rsid w:val="008739EF"/>
    <w:rsid w:val="00873ADE"/>
    <w:rsid w:val="00876F9A"/>
    <w:rsid w:val="00877C17"/>
    <w:rsid w:val="008839E5"/>
    <w:rsid w:val="00884F46"/>
    <w:rsid w:val="0088761A"/>
    <w:rsid w:val="00892576"/>
    <w:rsid w:val="00894601"/>
    <w:rsid w:val="00894CD3"/>
    <w:rsid w:val="00895D49"/>
    <w:rsid w:val="0089699B"/>
    <w:rsid w:val="008A4654"/>
    <w:rsid w:val="008A6491"/>
    <w:rsid w:val="008A6708"/>
    <w:rsid w:val="008A7CF1"/>
    <w:rsid w:val="008B0674"/>
    <w:rsid w:val="008B0CFF"/>
    <w:rsid w:val="008B20C2"/>
    <w:rsid w:val="008B333C"/>
    <w:rsid w:val="008B3CD2"/>
    <w:rsid w:val="008B5C6E"/>
    <w:rsid w:val="008B75E1"/>
    <w:rsid w:val="008C011F"/>
    <w:rsid w:val="008C0805"/>
    <w:rsid w:val="008C096C"/>
    <w:rsid w:val="008C0B6E"/>
    <w:rsid w:val="008C1CAA"/>
    <w:rsid w:val="008C26F4"/>
    <w:rsid w:val="008C4888"/>
    <w:rsid w:val="008C624A"/>
    <w:rsid w:val="008D1DB1"/>
    <w:rsid w:val="008D1DF0"/>
    <w:rsid w:val="008D3892"/>
    <w:rsid w:val="008D39AA"/>
    <w:rsid w:val="008D5118"/>
    <w:rsid w:val="008D55F9"/>
    <w:rsid w:val="008D6A9C"/>
    <w:rsid w:val="008D6D38"/>
    <w:rsid w:val="008E0D56"/>
    <w:rsid w:val="008E2B2F"/>
    <w:rsid w:val="008E348C"/>
    <w:rsid w:val="008E4DFF"/>
    <w:rsid w:val="008E549E"/>
    <w:rsid w:val="008E5E23"/>
    <w:rsid w:val="008E67C0"/>
    <w:rsid w:val="008E7F9F"/>
    <w:rsid w:val="008F09FE"/>
    <w:rsid w:val="008F1046"/>
    <w:rsid w:val="008F18B3"/>
    <w:rsid w:val="008F1E40"/>
    <w:rsid w:val="008F281A"/>
    <w:rsid w:val="008F2DC7"/>
    <w:rsid w:val="008F5890"/>
    <w:rsid w:val="008F5B59"/>
    <w:rsid w:val="008F6E9D"/>
    <w:rsid w:val="00900C12"/>
    <w:rsid w:val="00901EDF"/>
    <w:rsid w:val="00903CAE"/>
    <w:rsid w:val="00904B02"/>
    <w:rsid w:val="00904BBF"/>
    <w:rsid w:val="009050B9"/>
    <w:rsid w:val="00905752"/>
    <w:rsid w:val="00906288"/>
    <w:rsid w:val="00906E14"/>
    <w:rsid w:val="009076FD"/>
    <w:rsid w:val="009128E8"/>
    <w:rsid w:val="00920962"/>
    <w:rsid w:val="00920A27"/>
    <w:rsid w:val="0092726F"/>
    <w:rsid w:val="009308F0"/>
    <w:rsid w:val="00936C94"/>
    <w:rsid w:val="00937CD8"/>
    <w:rsid w:val="00937DFB"/>
    <w:rsid w:val="00941D69"/>
    <w:rsid w:val="00944597"/>
    <w:rsid w:val="00944936"/>
    <w:rsid w:val="00944AA7"/>
    <w:rsid w:val="00946AD7"/>
    <w:rsid w:val="00947C30"/>
    <w:rsid w:val="00947C54"/>
    <w:rsid w:val="00947F91"/>
    <w:rsid w:val="0095045E"/>
    <w:rsid w:val="00952D7C"/>
    <w:rsid w:val="009540D9"/>
    <w:rsid w:val="009546F6"/>
    <w:rsid w:val="009569C9"/>
    <w:rsid w:val="00956BA1"/>
    <w:rsid w:val="00961356"/>
    <w:rsid w:val="00962C9F"/>
    <w:rsid w:val="00963DA9"/>
    <w:rsid w:val="0096455D"/>
    <w:rsid w:val="00964F55"/>
    <w:rsid w:val="00965CBF"/>
    <w:rsid w:val="00966271"/>
    <w:rsid w:val="0097372C"/>
    <w:rsid w:val="009769C6"/>
    <w:rsid w:val="00976E53"/>
    <w:rsid w:val="00977F47"/>
    <w:rsid w:val="00980FD2"/>
    <w:rsid w:val="009837EF"/>
    <w:rsid w:val="00984BDC"/>
    <w:rsid w:val="009857E0"/>
    <w:rsid w:val="00987A1D"/>
    <w:rsid w:val="009918FB"/>
    <w:rsid w:val="00991CE2"/>
    <w:rsid w:val="00994590"/>
    <w:rsid w:val="009A0497"/>
    <w:rsid w:val="009A1A9A"/>
    <w:rsid w:val="009A2D21"/>
    <w:rsid w:val="009B157C"/>
    <w:rsid w:val="009B2293"/>
    <w:rsid w:val="009B36BF"/>
    <w:rsid w:val="009B5872"/>
    <w:rsid w:val="009B5A80"/>
    <w:rsid w:val="009B671B"/>
    <w:rsid w:val="009B6ACF"/>
    <w:rsid w:val="009B6B48"/>
    <w:rsid w:val="009B7123"/>
    <w:rsid w:val="009C0CEB"/>
    <w:rsid w:val="009C3E19"/>
    <w:rsid w:val="009C74B5"/>
    <w:rsid w:val="009C7BD2"/>
    <w:rsid w:val="009D0E47"/>
    <w:rsid w:val="009D1F1C"/>
    <w:rsid w:val="009D2902"/>
    <w:rsid w:val="009D3AEC"/>
    <w:rsid w:val="009D7957"/>
    <w:rsid w:val="009D7CE6"/>
    <w:rsid w:val="009E008F"/>
    <w:rsid w:val="009E0870"/>
    <w:rsid w:val="009E262C"/>
    <w:rsid w:val="009E3B03"/>
    <w:rsid w:val="009E6430"/>
    <w:rsid w:val="009E720C"/>
    <w:rsid w:val="009E771F"/>
    <w:rsid w:val="009F48BD"/>
    <w:rsid w:val="009F56A0"/>
    <w:rsid w:val="009F6692"/>
    <w:rsid w:val="00A00F82"/>
    <w:rsid w:val="00A02AB8"/>
    <w:rsid w:val="00A05393"/>
    <w:rsid w:val="00A05924"/>
    <w:rsid w:val="00A12337"/>
    <w:rsid w:val="00A127AE"/>
    <w:rsid w:val="00A212FC"/>
    <w:rsid w:val="00A2168D"/>
    <w:rsid w:val="00A21C3A"/>
    <w:rsid w:val="00A22274"/>
    <w:rsid w:val="00A223AF"/>
    <w:rsid w:val="00A2267C"/>
    <w:rsid w:val="00A23419"/>
    <w:rsid w:val="00A32793"/>
    <w:rsid w:val="00A376D1"/>
    <w:rsid w:val="00A412A4"/>
    <w:rsid w:val="00A44E29"/>
    <w:rsid w:val="00A46BA8"/>
    <w:rsid w:val="00A47591"/>
    <w:rsid w:val="00A54607"/>
    <w:rsid w:val="00A566F7"/>
    <w:rsid w:val="00A624D4"/>
    <w:rsid w:val="00A63795"/>
    <w:rsid w:val="00A63817"/>
    <w:rsid w:val="00A64DFC"/>
    <w:rsid w:val="00A64E67"/>
    <w:rsid w:val="00A65708"/>
    <w:rsid w:val="00A74FE2"/>
    <w:rsid w:val="00A75DAF"/>
    <w:rsid w:val="00A80316"/>
    <w:rsid w:val="00A80DCD"/>
    <w:rsid w:val="00A82251"/>
    <w:rsid w:val="00A8360B"/>
    <w:rsid w:val="00A857D9"/>
    <w:rsid w:val="00A90A64"/>
    <w:rsid w:val="00A91448"/>
    <w:rsid w:val="00A92245"/>
    <w:rsid w:val="00A93A78"/>
    <w:rsid w:val="00AA25A1"/>
    <w:rsid w:val="00AA2B6A"/>
    <w:rsid w:val="00AA2D2A"/>
    <w:rsid w:val="00AA4B70"/>
    <w:rsid w:val="00AA7756"/>
    <w:rsid w:val="00AB2960"/>
    <w:rsid w:val="00AB574B"/>
    <w:rsid w:val="00AB6DF3"/>
    <w:rsid w:val="00AB79EC"/>
    <w:rsid w:val="00AC06AD"/>
    <w:rsid w:val="00AC1849"/>
    <w:rsid w:val="00AC1DB2"/>
    <w:rsid w:val="00AC23DD"/>
    <w:rsid w:val="00AC4436"/>
    <w:rsid w:val="00AC6D7C"/>
    <w:rsid w:val="00AC758F"/>
    <w:rsid w:val="00AD01BB"/>
    <w:rsid w:val="00AD02B4"/>
    <w:rsid w:val="00AD4CDC"/>
    <w:rsid w:val="00AD5C7A"/>
    <w:rsid w:val="00AD640D"/>
    <w:rsid w:val="00AD6B21"/>
    <w:rsid w:val="00AD6D7F"/>
    <w:rsid w:val="00AE0DAF"/>
    <w:rsid w:val="00AE1E77"/>
    <w:rsid w:val="00AE311C"/>
    <w:rsid w:val="00AE32FC"/>
    <w:rsid w:val="00AE3926"/>
    <w:rsid w:val="00AE46AA"/>
    <w:rsid w:val="00AE6061"/>
    <w:rsid w:val="00AF0388"/>
    <w:rsid w:val="00AF05EF"/>
    <w:rsid w:val="00AF0863"/>
    <w:rsid w:val="00AF29BB"/>
    <w:rsid w:val="00AF2B88"/>
    <w:rsid w:val="00AF5F2E"/>
    <w:rsid w:val="00AF63A9"/>
    <w:rsid w:val="00AF739D"/>
    <w:rsid w:val="00B006A9"/>
    <w:rsid w:val="00B01ECE"/>
    <w:rsid w:val="00B06148"/>
    <w:rsid w:val="00B068F2"/>
    <w:rsid w:val="00B12922"/>
    <w:rsid w:val="00B13310"/>
    <w:rsid w:val="00B154EA"/>
    <w:rsid w:val="00B16720"/>
    <w:rsid w:val="00B20969"/>
    <w:rsid w:val="00B2109F"/>
    <w:rsid w:val="00B22390"/>
    <w:rsid w:val="00B2258D"/>
    <w:rsid w:val="00B225B0"/>
    <w:rsid w:val="00B318B0"/>
    <w:rsid w:val="00B31E83"/>
    <w:rsid w:val="00B3230A"/>
    <w:rsid w:val="00B325B0"/>
    <w:rsid w:val="00B328FC"/>
    <w:rsid w:val="00B3411C"/>
    <w:rsid w:val="00B4136C"/>
    <w:rsid w:val="00B4271C"/>
    <w:rsid w:val="00B42A04"/>
    <w:rsid w:val="00B43453"/>
    <w:rsid w:val="00B450F8"/>
    <w:rsid w:val="00B47A0F"/>
    <w:rsid w:val="00B47CFD"/>
    <w:rsid w:val="00B50649"/>
    <w:rsid w:val="00B51DCA"/>
    <w:rsid w:val="00B51EDA"/>
    <w:rsid w:val="00B5400D"/>
    <w:rsid w:val="00B5444D"/>
    <w:rsid w:val="00B549E8"/>
    <w:rsid w:val="00B557B6"/>
    <w:rsid w:val="00B55E3F"/>
    <w:rsid w:val="00B60A1E"/>
    <w:rsid w:val="00B61595"/>
    <w:rsid w:val="00B657A0"/>
    <w:rsid w:val="00B65FA8"/>
    <w:rsid w:val="00B66384"/>
    <w:rsid w:val="00B664D8"/>
    <w:rsid w:val="00B66A59"/>
    <w:rsid w:val="00B7014D"/>
    <w:rsid w:val="00B7017B"/>
    <w:rsid w:val="00B722B5"/>
    <w:rsid w:val="00B73F2E"/>
    <w:rsid w:val="00B74113"/>
    <w:rsid w:val="00B827C5"/>
    <w:rsid w:val="00B83D1F"/>
    <w:rsid w:val="00B84190"/>
    <w:rsid w:val="00B9057D"/>
    <w:rsid w:val="00B91546"/>
    <w:rsid w:val="00B91D3B"/>
    <w:rsid w:val="00B93466"/>
    <w:rsid w:val="00B94293"/>
    <w:rsid w:val="00B94B1E"/>
    <w:rsid w:val="00B9718C"/>
    <w:rsid w:val="00BA1691"/>
    <w:rsid w:val="00BA326C"/>
    <w:rsid w:val="00BB1709"/>
    <w:rsid w:val="00BB249D"/>
    <w:rsid w:val="00BB76DF"/>
    <w:rsid w:val="00BB7F7D"/>
    <w:rsid w:val="00BC17BE"/>
    <w:rsid w:val="00BC2FCC"/>
    <w:rsid w:val="00BC468A"/>
    <w:rsid w:val="00BC7D24"/>
    <w:rsid w:val="00BD0413"/>
    <w:rsid w:val="00BD0C96"/>
    <w:rsid w:val="00BD2E17"/>
    <w:rsid w:val="00BD483E"/>
    <w:rsid w:val="00BD6E3E"/>
    <w:rsid w:val="00BD7B1A"/>
    <w:rsid w:val="00BE2ED0"/>
    <w:rsid w:val="00BE4286"/>
    <w:rsid w:val="00BE4622"/>
    <w:rsid w:val="00BE47F6"/>
    <w:rsid w:val="00BE5FB9"/>
    <w:rsid w:val="00BE6231"/>
    <w:rsid w:val="00BE647C"/>
    <w:rsid w:val="00BE650A"/>
    <w:rsid w:val="00BE655B"/>
    <w:rsid w:val="00BE7CC4"/>
    <w:rsid w:val="00BF268F"/>
    <w:rsid w:val="00BF385C"/>
    <w:rsid w:val="00BF6B96"/>
    <w:rsid w:val="00C0349A"/>
    <w:rsid w:val="00C04A7D"/>
    <w:rsid w:val="00C06A01"/>
    <w:rsid w:val="00C07983"/>
    <w:rsid w:val="00C079DC"/>
    <w:rsid w:val="00C120C0"/>
    <w:rsid w:val="00C13270"/>
    <w:rsid w:val="00C13EF0"/>
    <w:rsid w:val="00C15A21"/>
    <w:rsid w:val="00C171EB"/>
    <w:rsid w:val="00C17AAA"/>
    <w:rsid w:val="00C202C8"/>
    <w:rsid w:val="00C22EBB"/>
    <w:rsid w:val="00C2545A"/>
    <w:rsid w:val="00C30AB4"/>
    <w:rsid w:val="00C31CC0"/>
    <w:rsid w:val="00C3203A"/>
    <w:rsid w:val="00C33045"/>
    <w:rsid w:val="00C364F8"/>
    <w:rsid w:val="00C41A41"/>
    <w:rsid w:val="00C4306B"/>
    <w:rsid w:val="00C45162"/>
    <w:rsid w:val="00C509D3"/>
    <w:rsid w:val="00C522A9"/>
    <w:rsid w:val="00C53D21"/>
    <w:rsid w:val="00C60BBD"/>
    <w:rsid w:val="00C63CA5"/>
    <w:rsid w:val="00C67CDD"/>
    <w:rsid w:val="00C734E1"/>
    <w:rsid w:val="00C74661"/>
    <w:rsid w:val="00C75C12"/>
    <w:rsid w:val="00C850F4"/>
    <w:rsid w:val="00C8797D"/>
    <w:rsid w:val="00C902D7"/>
    <w:rsid w:val="00C90C09"/>
    <w:rsid w:val="00C94463"/>
    <w:rsid w:val="00C94CD6"/>
    <w:rsid w:val="00C9661C"/>
    <w:rsid w:val="00C971CD"/>
    <w:rsid w:val="00CA10EB"/>
    <w:rsid w:val="00CA31D5"/>
    <w:rsid w:val="00CA6695"/>
    <w:rsid w:val="00CA70B9"/>
    <w:rsid w:val="00CB511B"/>
    <w:rsid w:val="00CC3809"/>
    <w:rsid w:val="00CC7744"/>
    <w:rsid w:val="00CD058E"/>
    <w:rsid w:val="00CD2C94"/>
    <w:rsid w:val="00CD3F58"/>
    <w:rsid w:val="00CD44C8"/>
    <w:rsid w:val="00CE30A6"/>
    <w:rsid w:val="00CE42A1"/>
    <w:rsid w:val="00CE6738"/>
    <w:rsid w:val="00CE7C01"/>
    <w:rsid w:val="00CF2024"/>
    <w:rsid w:val="00CF3FBF"/>
    <w:rsid w:val="00CF4AD8"/>
    <w:rsid w:val="00CF61B6"/>
    <w:rsid w:val="00CF671F"/>
    <w:rsid w:val="00D00503"/>
    <w:rsid w:val="00D00846"/>
    <w:rsid w:val="00D01950"/>
    <w:rsid w:val="00D04919"/>
    <w:rsid w:val="00D052B4"/>
    <w:rsid w:val="00D10076"/>
    <w:rsid w:val="00D12778"/>
    <w:rsid w:val="00D13B5A"/>
    <w:rsid w:val="00D1488F"/>
    <w:rsid w:val="00D16690"/>
    <w:rsid w:val="00D20645"/>
    <w:rsid w:val="00D20D4C"/>
    <w:rsid w:val="00D22AD5"/>
    <w:rsid w:val="00D23A87"/>
    <w:rsid w:val="00D2449C"/>
    <w:rsid w:val="00D24AAD"/>
    <w:rsid w:val="00D252D1"/>
    <w:rsid w:val="00D2758D"/>
    <w:rsid w:val="00D3177D"/>
    <w:rsid w:val="00D337D1"/>
    <w:rsid w:val="00D33EFF"/>
    <w:rsid w:val="00D357D2"/>
    <w:rsid w:val="00D35822"/>
    <w:rsid w:val="00D35E5E"/>
    <w:rsid w:val="00D406B9"/>
    <w:rsid w:val="00D420DA"/>
    <w:rsid w:val="00D43E31"/>
    <w:rsid w:val="00D478C9"/>
    <w:rsid w:val="00D50283"/>
    <w:rsid w:val="00D5127D"/>
    <w:rsid w:val="00D675F9"/>
    <w:rsid w:val="00D6772B"/>
    <w:rsid w:val="00D71F7D"/>
    <w:rsid w:val="00D71F97"/>
    <w:rsid w:val="00D7239D"/>
    <w:rsid w:val="00D73421"/>
    <w:rsid w:val="00D7450E"/>
    <w:rsid w:val="00D74A41"/>
    <w:rsid w:val="00D76907"/>
    <w:rsid w:val="00D81644"/>
    <w:rsid w:val="00D85D6C"/>
    <w:rsid w:val="00D9441D"/>
    <w:rsid w:val="00D95AEB"/>
    <w:rsid w:val="00DA04ED"/>
    <w:rsid w:val="00DA166D"/>
    <w:rsid w:val="00DA35CD"/>
    <w:rsid w:val="00DA664C"/>
    <w:rsid w:val="00DA791C"/>
    <w:rsid w:val="00DB17A2"/>
    <w:rsid w:val="00DB1D74"/>
    <w:rsid w:val="00DB25E4"/>
    <w:rsid w:val="00DB36C2"/>
    <w:rsid w:val="00DB45EC"/>
    <w:rsid w:val="00DB4917"/>
    <w:rsid w:val="00DB5F07"/>
    <w:rsid w:val="00DB6524"/>
    <w:rsid w:val="00DB6D0F"/>
    <w:rsid w:val="00DC14F0"/>
    <w:rsid w:val="00DC1945"/>
    <w:rsid w:val="00DC68C9"/>
    <w:rsid w:val="00DD1B1B"/>
    <w:rsid w:val="00DD32DC"/>
    <w:rsid w:val="00DD617D"/>
    <w:rsid w:val="00DE04E0"/>
    <w:rsid w:val="00DE06E0"/>
    <w:rsid w:val="00DE55FF"/>
    <w:rsid w:val="00DE5F6F"/>
    <w:rsid w:val="00DE7F03"/>
    <w:rsid w:val="00DF2F4B"/>
    <w:rsid w:val="00DF71A3"/>
    <w:rsid w:val="00E00448"/>
    <w:rsid w:val="00E00B23"/>
    <w:rsid w:val="00E0117D"/>
    <w:rsid w:val="00E0310F"/>
    <w:rsid w:val="00E03125"/>
    <w:rsid w:val="00E04D95"/>
    <w:rsid w:val="00E0769B"/>
    <w:rsid w:val="00E10B5C"/>
    <w:rsid w:val="00E11760"/>
    <w:rsid w:val="00E119E8"/>
    <w:rsid w:val="00E12973"/>
    <w:rsid w:val="00E141EC"/>
    <w:rsid w:val="00E14792"/>
    <w:rsid w:val="00E14DAE"/>
    <w:rsid w:val="00E155FA"/>
    <w:rsid w:val="00E169CD"/>
    <w:rsid w:val="00E17F49"/>
    <w:rsid w:val="00E205A2"/>
    <w:rsid w:val="00E217A2"/>
    <w:rsid w:val="00E228DE"/>
    <w:rsid w:val="00E23208"/>
    <w:rsid w:val="00E24758"/>
    <w:rsid w:val="00E2763D"/>
    <w:rsid w:val="00E345DB"/>
    <w:rsid w:val="00E3545D"/>
    <w:rsid w:val="00E3574A"/>
    <w:rsid w:val="00E35A46"/>
    <w:rsid w:val="00E35F59"/>
    <w:rsid w:val="00E40533"/>
    <w:rsid w:val="00E405B8"/>
    <w:rsid w:val="00E435D8"/>
    <w:rsid w:val="00E4448D"/>
    <w:rsid w:val="00E46F96"/>
    <w:rsid w:val="00E475AC"/>
    <w:rsid w:val="00E50D28"/>
    <w:rsid w:val="00E51807"/>
    <w:rsid w:val="00E53642"/>
    <w:rsid w:val="00E53896"/>
    <w:rsid w:val="00E5597A"/>
    <w:rsid w:val="00E55ABB"/>
    <w:rsid w:val="00E5686D"/>
    <w:rsid w:val="00E6038C"/>
    <w:rsid w:val="00E60BCA"/>
    <w:rsid w:val="00E62FEA"/>
    <w:rsid w:val="00E64602"/>
    <w:rsid w:val="00E659E5"/>
    <w:rsid w:val="00E67B60"/>
    <w:rsid w:val="00E67D90"/>
    <w:rsid w:val="00E72931"/>
    <w:rsid w:val="00E74DC5"/>
    <w:rsid w:val="00E75380"/>
    <w:rsid w:val="00E7665D"/>
    <w:rsid w:val="00E766DF"/>
    <w:rsid w:val="00E8172C"/>
    <w:rsid w:val="00E82A56"/>
    <w:rsid w:val="00E82B1A"/>
    <w:rsid w:val="00E83D8A"/>
    <w:rsid w:val="00E90731"/>
    <w:rsid w:val="00E95A84"/>
    <w:rsid w:val="00E96CB5"/>
    <w:rsid w:val="00E9789E"/>
    <w:rsid w:val="00E97BF4"/>
    <w:rsid w:val="00EA0B74"/>
    <w:rsid w:val="00EA2A88"/>
    <w:rsid w:val="00EA78FF"/>
    <w:rsid w:val="00EB002B"/>
    <w:rsid w:val="00EB094A"/>
    <w:rsid w:val="00EB279B"/>
    <w:rsid w:val="00EB2CA5"/>
    <w:rsid w:val="00EB43FD"/>
    <w:rsid w:val="00EB44BE"/>
    <w:rsid w:val="00EB4682"/>
    <w:rsid w:val="00EB477D"/>
    <w:rsid w:val="00EB7FCF"/>
    <w:rsid w:val="00EC28E5"/>
    <w:rsid w:val="00EC6350"/>
    <w:rsid w:val="00EC6B93"/>
    <w:rsid w:val="00EC741D"/>
    <w:rsid w:val="00ED1A5E"/>
    <w:rsid w:val="00EE0868"/>
    <w:rsid w:val="00EE1372"/>
    <w:rsid w:val="00EE1BFF"/>
    <w:rsid w:val="00EE1F4E"/>
    <w:rsid w:val="00EF0B62"/>
    <w:rsid w:val="00EF1989"/>
    <w:rsid w:val="00EF3A40"/>
    <w:rsid w:val="00EF468B"/>
    <w:rsid w:val="00EF5429"/>
    <w:rsid w:val="00F02857"/>
    <w:rsid w:val="00F03424"/>
    <w:rsid w:val="00F04CDD"/>
    <w:rsid w:val="00F0606D"/>
    <w:rsid w:val="00F071A7"/>
    <w:rsid w:val="00F0778D"/>
    <w:rsid w:val="00F077D3"/>
    <w:rsid w:val="00F07AE1"/>
    <w:rsid w:val="00F07E0C"/>
    <w:rsid w:val="00F1328C"/>
    <w:rsid w:val="00F13939"/>
    <w:rsid w:val="00F13B21"/>
    <w:rsid w:val="00F14463"/>
    <w:rsid w:val="00F1653E"/>
    <w:rsid w:val="00F17FE9"/>
    <w:rsid w:val="00F2128C"/>
    <w:rsid w:val="00F23291"/>
    <w:rsid w:val="00F25284"/>
    <w:rsid w:val="00F26CA1"/>
    <w:rsid w:val="00F31416"/>
    <w:rsid w:val="00F33190"/>
    <w:rsid w:val="00F332A2"/>
    <w:rsid w:val="00F337B2"/>
    <w:rsid w:val="00F33D36"/>
    <w:rsid w:val="00F45799"/>
    <w:rsid w:val="00F4755A"/>
    <w:rsid w:val="00F547A2"/>
    <w:rsid w:val="00F555C6"/>
    <w:rsid w:val="00F60CC6"/>
    <w:rsid w:val="00F622E8"/>
    <w:rsid w:val="00F63895"/>
    <w:rsid w:val="00F63F4E"/>
    <w:rsid w:val="00F64822"/>
    <w:rsid w:val="00F65CB3"/>
    <w:rsid w:val="00F66B4C"/>
    <w:rsid w:val="00F6759D"/>
    <w:rsid w:val="00F707E3"/>
    <w:rsid w:val="00F70A77"/>
    <w:rsid w:val="00F71CD0"/>
    <w:rsid w:val="00F71FC5"/>
    <w:rsid w:val="00F73049"/>
    <w:rsid w:val="00F7378F"/>
    <w:rsid w:val="00F77609"/>
    <w:rsid w:val="00F80AE5"/>
    <w:rsid w:val="00F84E50"/>
    <w:rsid w:val="00F9065F"/>
    <w:rsid w:val="00F9142F"/>
    <w:rsid w:val="00F91F5A"/>
    <w:rsid w:val="00F92F01"/>
    <w:rsid w:val="00F941C2"/>
    <w:rsid w:val="00F95B2C"/>
    <w:rsid w:val="00F971E5"/>
    <w:rsid w:val="00FA509B"/>
    <w:rsid w:val="00FB0F81"/>
    <w:rsid w:val="00FB17F6"/>
    <w:rsid w:val="00FB3263"/>
    <w:rsid w:val="00FB5CFE"/>
    <w:rsid w:val="00FB6ED3"/>
    <w:rsid w:val="00FB79D5"/>
    <w:rsid w:val="00FC07D5"/>
    <w:rsid w:val="00FC0D50"/>
    <w:rsid w:val="00FC3832"/>
    <w:rsid w:val="00FC4754"/>
    <w:rsid w:val="00FC6BFA"/>
    <w:rsid w:val="00FD1F2A"/>
    <w:rsid w:val="00FD5FBF"/>
    <w:rsid w:val="00FE41CB"/>
    <w:rsid w:val="00FE574F"/>
    <w:rsid w:val="00FE610F"/>
    <w:rsid w:val="00FF029E"/>
    <w:rsid w:val="00FF0918"/>
    <w:rsid w:val="00FF0A78"/>
    <w:rsid w:val="00FF2332"/>
    <w:rsid w:val="00FF48F9"/>
    <w:rsid w:val="00FF6F4D"/>
    <w:rsid w:val="00FF7B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link w:val="Heading3Char"/>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qFormat/>
    <w:rsid w:val="002B7335"/>
    <w:pPr>
      <w:spacing w:before="240"/>
      <w:outlineLvl w:val="3"/>
    </w:pPr>
    <w:rPr>
      <w:b/>
    </w:rPr>
  </w:style>
  <w:style w:type="paragraph" w:styleId="Heading5">
    <w:name w:val="heading 5"/>
    <w:aliases w:val="EBHeading4"/>
    <w:basedOn w:val="Normal"/>
    <w:next w:val="Normal"/>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rsid w:val="00402E80"/>
    <w:rPr>
      <w:rFonts w:ascii="Arial" w:eastAsia="SimSun" w:hAnsi="Arial"/>
      <w:b/>
      <w:color w:val="000000"/>
      <w:spacing w:val="-5"/>
      <w:lang w:val="en-GB" w:eastAsia="zh-CN" w:bidi="ar-SA"/>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rsid w:val="00220F29"/>
    <w:rPr>
      <w:rFonts w:ascii="Arial" w:eastAsia="SimSun" w:hAnsi="Arial"/>
      <w:b/>
      <w:color w:val="000000"/>
      <w:spacing w:val="-5"/>
      <w:sz w:val="22"/>
      <w:lang w:val="en-GB" w:eastAsia="zh-CN" w:bidi="ar-SA"/>
    </w:rPr>
  </w:style>
  <w:style w:type="paragraph" w:styleId="BodyText">
    <w:name w:val="Body Text"/>
    <w:basedOn w:val="Normal"/>
    <w:link w:val="BodyTextChar"/>
    <w:rsid w:val="003E54B6"/>
    <w:pPr>
      <w:spacing w:after="120"/>
    </w:pPr>
    <w:rPr>
      <w:rFonts w:cs="Arial"/>
      <w:bCs/>
      <w:color w:val="000000"/>
      <w:sz w:val="22"/>
      <w:szCs w:val="22"/>
      <w:lang w:eastAsia="en-GB"/>
    </w:rPr>
  </w:style>
  <w:style w:type="table" w:styleId="TableGrid">
    <w:name w:val="Table Grid"/>
    <w:basedOn w:val="TableNormal"/>
    <w:uiPriority w:val="5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7F64C7"/>
    <w:pPr>
      <w:ind w:left="113"/>
      <w:outlineLvl w:val="0"/>
    </w:pPr>
    <w:rPr>
      <w:rFonts w:cs="Arial"/>
      <w:bCs/>
      <w:color w:val="FFFFFF"/>
      <w:kern w:val="28"/>
      <w:sz w:val="32"/>
      <w:szCs w:val="32"/>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rsid w:val="00570F8E"/>
    <w:rPr>
      <w:rFonts w:ascii="Arial" w:eastAsia="SimSun" w:hAnsi="Arial"/>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vAlign w:val="center"/>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rsid w:val="006A5A2E"/>
    <w:rPr>
      <w:rFonts w:ascii="Arial" w:eastAsia="SimSun" w:hAnsi="Arial"/>
      <w:sz w:val="18"/>
      <w:lang w:val="en-GB" w:eastAsia="zh-CN" w:bidi="ar-SA"/>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rsid w:val="006A5A2E"/>
    <w:rPr>
      <w:rFonts w:ascii="Arial" w:eastAsia="SimSun" w:hAnsi="Arial"/>
      <w:b/>
      <w:bCs/>
      <w:i/>
      <w:iCs/>
      <w:sz w:val="18"/>
      <w:lang w:val="en-GB" w:eastAsia="zh-CN" w:bidi="ar-SA"/>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rsid w:val="009050B9"/>
    <w:rPr>
      <w:rFonts w:ascii="Arial" w:eastAsia="SimSun" w:hAnsi="Arial"/>
      <w:b/>
      <w:color w:val="000000"/>
      <w:spacing w:val="-5"/>
      <w:szCs w:val="22"/>
      <w:u w:val="single"/>
      <w:lang w:val="en-GB" w:eastAsia="zh-CN" w:bidi="ar-SA"/>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rsid w:val="00E96CB5"/>
    <w:pPr>
      <w:jc w:val="center"/>
    </w:pPr>
    <w:rPr>
      <w:caps/>
    </w:rPr>
  </w:style>
  <w:style w:type="paragraph" w:styleId="Footer">
    <w:name w:val="footer"/>
    <w:basedOn w:val="Normal"/>
    <w:rsid w:val="000407D8"/>
    <w:pPr>
      <w:tabs>
        <w:tab w:val="center" w:pos="5132"/>
        <w:tab w:val="right" w:pos="10260"/>
      </w:tabs>
      <w:jc w:val="center"/>
    </w:pPr>
    <w:rPr>
      <w:b/>
      <w:sz w:val="18"/>
    </w:rPr>
  </w:style>
  <w:style w:type="character" w:styleId="PageNumber">
    <w:name w:val="page number"/>
    <w:basedOn w:val="DefaultParagraphFont"/>
    <w:rsid w:val="00EB43FD"/>
  </w:style>
  <w:style w:type="character" w:customStyle="1" w:styleId="BodyTextChar">
    <w:name w:val="Body Text Char"/>
    <w:link w:val="BodyText"/>
    <w:rsid w:val="0049416F"/>
    <w:rPr>
      <w:rFonts w:ascii="Arial" w:hAnsi="Arial" w:cs="Arial"/>
      <w:bCs/>
      <w:color w:val="000000"/>
      <w:sz w:val="22"/>
      <w:szCs w:val="22"/>
      <w:lang w:val="en-GB" w:eastAsia="en-GB" w:bidi="ar-SA"/>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basedOn w:val="Normal"/>
    <w:link w:val="FootnoteTextChar"/>
    <w:uiPriority w:val="99"/>
    <w:rsid w:val="00490FF7"/>
    <w:rPr>
      <w:rFonts w:eastAsia="SimSun"/>
      <w:sz w:val="16"/>
      <w:szCs w:val="20"/>
      <w:lang w:eastAsia="zh-CN"/>
    </w:rPr>
  </w:style>
  <w:style w:type="character" w:styleId="FootnoteReference">
    <w:name w:val="footnote reference"/>
    <w:uiPriority w:val="99"/>
    <w:rsid w:val="00B84190"/>
    <w:rPr>
      <w:sz w:val="22"/>
      <w:vertAlign w:val="superscript"/>
    </w:rPr>
  </w:style>
  <w:style w:type="paragraph" w:customStyle="1" w:styleId="EBBodyPara">
    <w:name w:val="EBBodyPara"/>
    <w:basedOn w:val="BodyText"/>
    <w:rsid w:val="005A2FC0"/>
  </w:style>
  <w:style w:type="paragraph" w:styleId="BalloonText">
    <w:name w:val="Balloon Text"/>
    <w:basedOn w:val="Normal"/>
    <w:semiHidden/>
    <w:rsid w:val="00300CED"/>
    <w:rPr>
      <w:rFonts w:ascii="Tahoma" w:hAnsi="Tahoma" w:cs="Tahoma"/>
      <w:sz w:val="16"/>
      <w:szCs w:val="16"/>
    </w:rPr>
  </w:style>
  <w:style w:type="paragraph" w:customStyle="1" w:styleId="EBNumber">
    <w:name w:val="EBNumber"/>
    <w:basedOn w:val="BodyText"/>
    <w:rsid w:val="002B7335"/>
    <w:pPr>
      <w:numPr>
        <w:ilvl w:val="1"/>
        <w:numId w:val="20"/>
      </w:numPr>
    </w:pPr>
  </w:style>
  <w:style w:type="paragraph" w:customStyle="1" w:styleId="EBNumberRestart">
    <w:name w:val="EBNumberRestart"/>
    <w:basedOn w:val="BodyText"/>
    <w:next w:val="EBNumber"/>
    <w:rsid w:val="002B7335"/>
    <w:pPr>
      <w:numPr>
        <w:numId w:val="20"/>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2"/>
      </w:numPr>
    </w:pPr>
  </w:style>
  <w:style w:type="character" w:styleId="Hyperlink">
    <w:name w:val="Hyperlink"/>
    <w:rsid w:val="00B4136C"/>
    <w:rPr>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17"/>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rsid w:val="006D37CF"/>
    <w:rPr>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rsid w:val="00F622E8"/>
    <w:rPr>
      <w:rFonts w:ascii="Arial" w:eastAsia="SimSun" w:hAnsi="Arial"/>
      <w:b/>
      <w:color w:val="000000"/>
      <w:spacing w:val="-5"/>
      <w:szCs w:val="22"/>
      <w:lang w:val="en-GB" w:eastAsia="zh-CN" w:bidi="ar-SA"/>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rsid w:val="00F622E8"/>
    <w:rPr>
      <w:rFonts w:ascii="Arial" w:eastAsia="SimSun" w:hAnsi="Arial"/>
      <w:b/>
      <w:color w:val="000000"/>
      <w:spacing w:val="-5"/>
      <w:szCs w:val="22"/>
      <w:lang w:val="en-GB" w:eastAsia="zh-CN" w:bidi="ar-SA"/>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rsid w:val="00F622E8"/>
    <w:rPr>
      <w:rFonts w:ascii="Arial" w:eastAsia="SimSun" w:hAnsi="Arial"/>
      <w:b/>
      <w:color w:val="000000"/>
      <w:spacing w:val="-5"/>
      <w:szCs w:val="22"/>
      <w:lang w:val="en-GB" w:eastAsia="zh-CN" w:bidi="ar-SA"/>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rsid w:val="00F1653E"/>
    <w:rPr>
      <w:rFonts w:ascii="Arial" w:eastAsia="SimSun" w:hAnsi="Arial"/>
      <w:b/>
      <w:color w:val="000000"/>
      <w:spacing w:val="-5"/>
      <w:lang w:val="en-GB" w:eastAsia="zh-CN" w:bidi="ar-SA"/>
    </w:rPr>
  </w:style>
  <w:style w:type="character" w:customStyle="1" w:styleId="IPPOQ3Char">
    <w:name w:val="IPPOQ3 Char"/>
    <w:basedOn w:val="IAPOQ2Char"/>
    <w:link w:val="IPPOQ3"/>
    <w:rsid w:val="00F1653E"/>
    <w:rPr>
      <w:rFonts w:ascii="Arial" w:eastAsia="SimSun" w:hAnsi="Arial"/>
      <w:b/>
      <w:color w:val="000000"/>
      <w:spacing w:val="-5"/>
      <w:lang w:val="en-GB" w:eastAsia="zh-CN" w:bidi="ar-SA"/>
    </w:rPr>
  </w:style>
  <w:style w:type="character" w:customStyle="1" w:styleId="IAPOQ4Char">
    <w:name w:val="IAPOQ4 Char"/>
    <w:basedOn w:val="IPPOQ3Char"/>
    <w:link w:val="IAPOQ4"/>
    <w:rsid w:val="00F1653E"/>
    <w:rPr>
      <w:rFonts w:ascii="Arial" w:eastAsia="SimSun" w:hAnsi="Arial"/>
      <w:b/>
      <w:color w:val="000000"/>
      <w:spacing w:val="-5"/>
      <w:lang w:val="en-GB" w:eastAsia="zh-CN" w:bidi="ar-SA"/>
    </w:rPr>
  </w:style>
  <w:style w:type="character" w:customStyle="1" w:styleId="IAPOQ5Char">
    <w:name w:val="IAPOQ5 Char"/>
    <w:basedOn w:val="IAPOQ4Char"/>
    <w:link w:val="IAPOQ5"/>
    <w:rsid w:val="00F1653E"/>
    <w:rPr>
      <w:rFonts w:ascii="Arial" w:eastAsia="SimSun" w:hAnsi="Arial"/>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rsid w:val="000E3FD7"/>
    <w:rPr>
      <w:rFonts w:ascii="Arial" w:eastAsia="SimSun" w:hAnsi="Arial"/>
      <w:b/>
      <w:color w:val="000000"/>
      <w:spacing w:val="-5"/>
      <w:sz w:val="22"/>
      <w:szCs w:val="22"/>
      <w:lang w:val="en-GB" w:eastAsia="zh-CN" w:bidi="ar-SA"/>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rsid w:val="000E3FD7"/>
    <w:rPr>
      <w:rFonts w:ascii="Arial" w:eastAsia="SimSun" w:hAnsi="Arial"/>
      <w:b/>
      <w:color w:val="000000"/>
      <w:spacing w:val="-5"/>
      <w:sz w:val="22"/>
      <w:szCs w:val="22"/>
      <w:lang w:val="en-GB" w:eastAsia="zh-CN" w:bidi="ar-SA"/>
    </w:rPr>
  </w:style>
  <w:style w:type="character" w:customStyle="1" w:styleId="IAPODIBenChar">
    <w:name w:val="IAPODIBen Char"/>
    <w:link w:val="IAPODIBen"/>
    <w:rsid w:val="000E3FD7"/>
    <w:rPr>
      <w:rFonts w:ascii="Arial" w:eastAsia="SimSun" w:hAnsi="Arial"/>
      <w:b/>
      <w:color w:val="000000"/>
      <w:spacing w:val="-5"/>
      <w:sz w:val="22"/>
      <w:szCs w:val="22"/>
      <w:lang w:val="en-GB" w:eastAsia="zh-CN" w:bidi="ar-SA"/>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eastAsia="Calibri"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rsid w:val="008031EC"/>
    <w:rPr>
      <w:rFonts w:ascii="Arial" w:eastAsia="SimSun" w:hAnsi="Arial"/>
      <w:b/>
      <w:color w:val="000000"/>
      <w:spacing w:val="-6"/>
      <w:sz w:val="22"/>
      <w:szCs w:val="22"/>
      <w:lang w:val="en-GB" w:eastAsia="zh-CN" w:bidi="ar-SA"/>
    </w:rPr>
  </w:style>
  <w:style w:type="character" w:customStyle="1" w:styleId="IAHeadTitleChar">
    <w:name w:val="IAHeadTitle Char"/>
    <w:link w:val="IAHeadTitle"/>
    <w:rsid w:val="008031EC"/>
    <w:rPr>
      <w:rFonts w:ascii="Arial" w:eastAsia="SimSun" w:hAnsi="Arial"/>
      <w:b/>
      <w:color w:val="000000"/>
      <w:spacing w:val="-6"/>
      <w:sz w:val="28"/>
      <w:szCs w:val="28"/>
      <w:lang w:val="en-GB" w:eastAsia="zh-CN" w:bidi="ar-SA"/>
    </w:rPr>
  </w:style>
  <w:style w:type="character" w:customStyle="1" w:styleId="IANoChar">
    <w:name w:val="IANo Char"/>
    <w:link w:val="IANo"/>
    <w:rsid w:val="005F32E7"/>
    <w:rPr>
      <w:rFonts w:ascii="Arial" w:eastAsia="SimSun" w:hAnsi="Arial"/>
      <w:b/>
      <w:color w:val="000000"/>
      <w:spacing w:val="-6"/>
      <w:sz w:val="28"/>
      <w:szCs w:val="22"/>
      <w:lang w:val="en-GB" w:eastAsia="en-US" w:bidi="ar-SA"/>
    </w:rPr>
  </w:style>
  <w:style w:type="paragraph" w:customStyle="1" w:styleId="IALeadDept">
    <w:name w:val="IALeadDept"/>
    <w:basedOn w:val="Normal"/>
    <w:rsid w:val="005F32E7"/>
    <w:pPr>
      <w:ind w:left="113"/>
    </w:pPr>
    <w:rPr>
      <w:rFonts w:eastAsia="Arial Unicode M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rsid w:val="00F91F5A"/>
    <w:rPr>
      <w:rFonts w:ascii="Arial" w:eastAsia="SimSun" w:hAnsi="Arial"/>
      <w:b/>
      <w:color w:val="000000"/>
      <w:spacing w:val="-5"/>
      <w:sz w:val="22"/>
      <w:szCs w:val="22"/>
      <w:lang w:val="en-GB" w:eastAsia="zh-CN" w:bidi="ar-SA"/>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rsid w:val="00F91F5A"/>
    <w:rPr>
      <w:rFonts w:ascii="Arial" w:eastAsia="SimSun" w:hAnsi="Arial"/>
      <w:b/>
      <w:color w:val="000000"/>
      <w:spacing w:val="-5"/>
      <w:sz w:val="22"/>
      <w:szCs w:val="22"/>
      <w:lang w:val="en-GB" w:eastAsia="zh-CN" w:bidi="ar-SA"/>
    </w:rPr>
  </w:style>
  <w:style w:type="character" w:customStyle="1" w:styleId="IAIOReviewMonthChar">
    <w:name w:val="IAIOReviewMonth Char"/>
    <w:link w:val="IAIOReviewMonth"/>
    <w:rsid w:val="00F91F5A"/>
    <w:rPr>
      <w:rFonts w:ascii="Arial" w:eastAsia="SimSun" w:hAnsi="Arial"/>
      <w:b/>
      <w:color w:val="000000"/>
      <w:spacing w:val="-5"/>
      <w:sz w:val="22"/>
      <w:szCs w:val="22"/>
      <w:lang w:val="en-GB" w:eastAsia="zh-CN" w:bidi="ar-SA"/>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rsid w:val="00D00846"/>
    <w:rPr>
      <w:rFonts w:ascii="Arial" w:eastAsia="SimSun" w:hAnsi="Arial"/>
      <w:b/>
      <w:color w:val="000000"/>
      <w:spacing w:val="-5"/>
      <w:lang w:val="en-GB" w:eastAsia="zh-CN" w:bidi="ar-SA"/>
    </w:rPr>
  </w:style>
  <w:style w:type="character" w:customStyle="1" w:styleId="IADateChar">
    <w:name w:val="IADate Char"/>
    <w:link w:val="IADate"/>
    <w:rsid w:val="00174C10"/>
    <w:rPr>
      <w:rFonts w:ascii="Arial" w:eastAsia="SimSun" w:hAnsi="Arial"/>
      <w:b/>
      <w:color w:val="000000"/>
      <w:spacing w:val="-5"/>
      <w:sz w:val="22"/>
      <w:szCs w:val="22"/>
      <w:lang w:val="en-GB" w:eastAsia="zh-CN" w:bidi="ar-SA"/>
    </w:rPr>
  </w:style>
  <w:style w:type="character" w:customStyle="1" w:styleId="IATableLinesChar">
    <w:name w:val="IATableLines Char"/>
    <w:basedOn w:val="IATableTextChar"/>
    <w:link w:val="IATableLines"/>
    <w:rsid w:val="00174C10"/>
    <w:rPr>
      <w:rFonts w:ascii="Arial" w:eastAsia="SimSun" w:hAnsi="Arial"/>
      <w:b/>
      <w:color w:val="000000"/>
      <w:spacing w:val="-5"/>
      <w:sz w:val="22"/>
      <w:lang w:val="en-GB" w:eastAsia="zh-CN" w:bidi="ar-SA"/>
    </w:rPr>
  </w:style>
  <w:style w:type="character" w:customStyle="1" w:styleId="IACOEChar">
    <w:name w:val="IACOE Char"/>
    <w:link w:val="IACOE"/>
    <w:rsid w:val="00B225B0"/>
    <w:rPr>
      <w:rFonts w:ascii="Arial" w:eastAsia="SimSun" w:hAnsi="Arial"/>
      <w:b/>
      <w:color w:val="000000"/>
      <w:spacing w:val="-5"/>
      <w:sz w:val="22"/>
      <w:szCs w:val="24"/>
      <w:lang w:val="en-GB" w:eastAsia="zh-CN" w:bidi="ar-SA"/>
    </w:rPr>
  </w:style>
  <w:style w:type="character" w:customStyle="1" w:styleId="IAStageChar">
    <w:name w:val="IAStage Char"/>
    <w:link w:val="IAStage"/>
    <w:rsid w:val="00174C10"/>
    <w:rPr>
      <w:rFonts w:ascii="Arial" w:eastAsia="SimSun" w:hAnsi="Arial"/>
      <w:b/>
      <w:color w:val="000000"/>
      <w:spacing w:val="-5"/>
      <w:sz w:val="22"/>
      <w:lang w:val="en-GB" w:eastAsia="zh-CN" w:bidi="ar-SA"/>
    </w:rPr>
  </w:style>
  <w:style w:type="character" w:customStyle="1" w:styleId="IASOIChar">
    <w:name w:val="IASOI Char"/>
    <w:link w:val="IASOI"/>
    <w:rsid w:val="00174C10"/>
    <w:rPr>
      <w:rFonts w:ascii="Arial" w:eastAsia="SimSun" w:hAnsi="Arial"/>
      <w:b/>
      <w:color w:val="000000"/>
      <w:spacing w:val="-5"/>
      <w:sz w:val="22"/>
      <w:lang w:val="en-GB" w:eastAsia="zh-CN" w:bidi="ar-SA"/>
    </w:rPr>
  </w:style>
  <w:style w:type="character" w:customStyle="1" w:styleId="IATOMChar">
    <w:name w:val="IATOM Char"/>
    <w:link w:val="IATOM"/>
    <w:rsid w:val="00174C10"/>
    <w:rPr>
      <w:rFonts w:ascii="Arial" w:eastAsia="SimSun" w:hAnsi="Arial"/>
      <w:b/>
      <w:color w:val="000000"/>
      <w:spacing w:val="-5"/>
      <w:sz w:val="22"/>
      <w:lang w:val="en-GB" w:eastAsia="zh-CN" w:bidi="ar-SA"/>
    </w:rPr>
  </w:style>
  <w:style w:type="character" w:customStyle="1" w:styleId="TitleChar">
    <w:name w:val="Title Char"/>
    <w:link w:val="Title"/>
    <w:rsid w:val="00174C10"/>
    <w:rPr>
      <w:rFonts w:ascii="Arial" w:hAnsi="Arial" w:cs="Arial"/>
      <w:bCs/>
      <w:color w:val="FFFFFF"/>
      <w:kern w:val="28"/>
      <w:sz w:val="32"/>
      <w:szCs w:val="32"/>
      <w:lang w:val="en-GB" w:eastAsia="en-US" w:bidi="ar-SA"/>
    </w:rPr>
  </w:style>
  <w:style w:type="character" w:customStyle="1" w:styleId="IARPCChar">
    <w:name w:val="IARPC Char"/>
    <w:link w:val="IARPC"/>
    <w:rsid w:val="00174C10"/>
    <w:rPr>
      <w:rFonts w:ascii="Arial" w:eastAsia="SimSun" w:hAnsi="Arial" w:cs="Arial"/>
      <w:bCs/>
      <w:color w:val="000000"/>
      <w:kern w:val="28"/>
      <w:sz w:val="24"/>
      <w:szCs w:val="24"/>
      <w:lang w:val="en-GB" w:eastAsia="en-US" w:bidi="ar-SA"/>
    </w:rPr>
  </w:style>
  <w:style w:type="character" w:customStyle="1" w:styleId="IAIOCheckMicroChar">
    <w:name w:val="IAIOCheckMicro Char"/>
    <w:basedOn w:val="IATableLinesChar"/>
    <w:link w:val="IAIOCheckMicro"/>
    <w:rsid w:val="00D478C9"/>
    <w:rPr>
      <w:rFonts w:ascii="Arial" w:eastAsia="SimSun" w:hAnsi="Arial"/>
      <w:b/>
      <w:color w:val="000000"/>
      <w:spacing w:val="-5"/>
      <w:sz w:val="22"/>
      <w:lang w:val="en-GB" w:eastAsia="zh-CN" w:bidi="ar-SA"/>
    </w:rPr>
  </w:style>
  <w:style w:type="character" w:customStyle="1" w:styleId="IAIOCheckSmallChar">
    <w:name w:val="IAIOCheckSmall Char"/>
    <w:basedOn w:val="IATableLinesChar"/>
    <w:link w:val="IAIOCheckSmall"/>
    <w:rsid w:val="00D478C9"/>
    <w:rPr>
      <w:rFonts w:ascii="Arial" w:eastAsia="SimSun" w:hAnsi="Arial"/>
      <w:b/>
      <w:color w:val="000000"/>
      <w:spacing w:val="-5"/>
      <w:sz w:val="22"/>
      <w:lang w:val="en-GB" w:eastAsia="zh-CN" w:bidi="ar-SA"/>
    </w:rPr>
  </w:style>
  <w:style w:type="character" w:customStyle="1" w:styleId="IAIOCheckMediumChar">
    <w:name w:val="IAIOCheckMedium Char"/>
    <w:basedOn w:val="IATableLinesChar"/>
    <w:link w:val="IAIOCheckMedium"/>
    <w:rsid w:val="00D478C9"/>
    <w:rPr>
      <w:rFonts w:ascii="Arial" w:eastAsia="SimSun" w:hAnsi="Arial"/>
      <w:b/>
      <w:color w:val="000000"/>
      <w:spacing w:val="-5"/>
      <w:sz w:val="22"/>
      <w:lang w:val="en-GB" w:eastAsia="zh-CN" w:bidi="ar-SA"/>
    </w:rPr>
  </w:style>
  <w:style w:type="character" w:customStyle="1" w:styleId="IAIOCheckLargeChar">
    <w:name w:val="IAIOCheckLarge Char"/>
    <w:basedOn w:val="IATableLinesChar"/>
    <w:link w:val="IAIOCheckLarge"/>
    <w:rsid w:val="00D478C9"/>
    <w:rPr>
      <w:rFonts w:ascii="Arial" w:eastAsia="SimSun" w:hAnsi="Arial"/>
      <w:b/>
      <w:color w:val="000000"/>
      <w:spacing w:val="-5"/>
      <w:sz w:val="22"/>
      <w:lang w:val="en-GB" w:eastAsia="zh-CN" w:bidi="ar-SA"/>
    </w:rPr>
  </w:style>
  <w:style w:type="character" w:customStyle="1" w:styleId="IAIOCO2TradedChar">
    <w:name w:val="IAIOCO2Traded Char"/>
    <w:link w:val="IAIOCO2Traded"/>
    <w:rsid w:val="00D478C9"/>
    <w:rPr>
      <w:rFonts w:ascii="Arial" w:eastAsia="SimSun" w:hAnsi="Arial"/>
      <w:b/>
      <w:color w:val="000000"/>
      <w:spacing w:val="-5"/>
      <w:sz w:val="22"/>
      <w:lang w:val="en-GB" w:eastAsia="zh-CN" w:bidi="ar-SA"/>
    </w:rPr>
  </w:style>
  <w:style w:type="character" w:customStyle="1" w:styleId="IALabel">
    <w:name w:val="IALabel"/>
    <w:rsid w:val="009F6692"/>
    <w:rPr>
      <w:color w:val="000000"/>
      <w:sz w:val="20"/>
    </w:rPr>
  </w:style>
  <w:style w:type="character" w:customStyle="1" w:styleId="Heading3Char">
    <w:name w:val="Heading 3 Char"/>
    <w:aliases w:val="EBHeading2 Char"/>
    <w:basedOn w:val="DefaultParagraphFont"/>
    <w:link w:val="Heading3"/>
    <w:rsid w:val="00073758"/>
    <w:rPr>
      <w:rFonts w:ascii="Arial" w:hAnsi="Arial" w:cs="Arial"/>
      <w:b/>
      <w:bCs/>
      <w:color w:val="000000"/>
      <w:sz w:val="24"/>
      <w:szCs w:val="22"/>
    </w:rPr>
  </w:style>
  <w:style w:type="character" w:customStyle="1" w:styleId="Heading4Char">
    <w:name w:val="Heading 4 Char"/>
    <w:aliases w:val="EBHeading3 Char"/>
    <w:basedOn w:val="DefaultParagraphFont"/>
    <w:link w:val="Heading4"/>
    <w:rsid w:val="00073758"/>
    <w:rPr>
      <w:rFonts w:ascii="Arial" w:hAnsi="Arial" w:cs="Arial"/>
      <w:b/>
      <w:bCs/>
      <w:color w:val="000000"/>
      <w:sz w:val="22"/>
      <w:szCs w:val="22"/>
    </w:rPr>
  </w:style>
  <w:style w:type="paragraph" w:styleId="ListParagraph">
    <w:name w:val="List Paragraph"/>
    <w:aliases w:val="F5 List Paragraph,List Paragraph1,Dot pt,No Spacing1,List Paragraph Char Char Char,Indicator Text,Colorful List - Accent 11,Numbered Para 1,Bullet 1,Bullet Points,MAIN CONTENT,List Paragraph2,Normal numbered,List Paragraph11,OBC Bullet"/>
    <w:basedOn w:val="Normal"/>
    <w:link w:val="ListParagraphChar"/>
    <w:uiPriority w:val="34"/>
    <w:qFormat/>
    <w:rsid w:val="00073758"/>
    <w:pPr>
      <w:spacing w:after="200" w:line="27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1 Char,Bullet Points Char,MAIN CONTENT Char"/>
    <w:basedOn w:val="DefaultParagraphFont"/>
    <w:link w:val="ListParagraph"/>
    <w:uiPriority w:val="34"/>
    <w:rsid w:val="00073758"/>
    <w:rPr>
      <w:rFonts w:asciiTheme="minorHAnsi" w:eastAsiaTheme="minorHAnsi" w:hAnsiTheme="minorHAnsi" w:cstheme="minorBidi"/>
      <w:sz w:val="22"/>
      <w:szCs w:val="22"/>
      <w:lang w:eastAsia="en-US"/>
    </w:rPr>
  </w:style>
  <w:style w:type="character" w:customStyle="1" w:styleId="FootnoteTextChar">
    <w:name w:val="Footnote Text Char"/>
    <w:link w:val="FootnoteText"/>
    <w:uiPriority w:val="99"/>
    <w:rsid w:val="00073758"/>
    <w:rPr>
      <w:rFonts w:ascii="Arial" w:eastAsia="SimSun" w:hAnsi="Arial"/>
      <w:sz w:val="16"/>
      <w:lang w:eastAsia="zh-CN"/>
    </w:rPr>
  </w:style>
  <w:style w:type="table" w:customStyle="1" w:styleId="TableGrid1">
    <w:name w:val="Table Grid1"/>
    <w:basedOn w:val="TableNormal"/>
    <w:next w:val="TableGrid"/>
    <w:uiPriority w:val="59"/>
    <w:rsid w:val="0007375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073758"/>
    <w:rPr>
      <w:sz w:val="16"/>
      <w:szCs w:val="16"/>
    </w:rPr>
  </w:style>
  <w:style w:type="paragraph" w:styleId="CommentText">
    <w:name w:val="annotation text"/>
    <w:basedOn w:val="Normal"/>
    <w:link w:val="CommentTextChar"/>
    <w:rsid w:val="00073758"/>
    <w:rPr>
      <w:sz w:val="20"/>
      <w:szCs w:val="20"/>
    </w:rPr>
  </w:style>
  <w:style w:type="character" w:customStyle="1" w:styleId="CommentTextChar">
    <w:name w:val="Comment Text Char"/>
    <w:basedOn w:val="DefaultParagraphFont"/>
    <w:link w:val="CommentText"/>
    <w:rsid w:val="00073758"/>
    <w:rPr>
      <w:rFonts w:ascii="Arial" w:hAnsi="Arial"/>
      <w:lang w:eastAsia="en-US"/>
    </w:rPr>
  </w:style>
  <w:style w:type="paragraph" w:styleId="CommentSubject">
    <w:name w:val="annotation subject"/>
    <w:basedOn w:val="CommentText"/>
    <w:next w:val="CommentText"/>
    <w:link w:val="CommentSubjectChar"/>
    <w:rsid w:val="00073758"/>
    <w:rPr>
      <w:b/>
      <w:bCs/>
    </w:rPr>
  </w:style>
  <w:style w:type="character" w:customStyle="1" w:styleId="CommentSubjectChar">
    <w:name w:val="Comment Subject Char"/>
    <w:basedOn w:val="CommentTextChar"/>
    <w:link w:val="CommentSubject"/>
    <w:rsid w:val="00073758"/>
    <w:rPr>
      <w:rFonts w:ascii="Arial" w:hAnsi="Arial"/>
      <w:b/>
      <w:bCs/>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link w:val="Heading3Char"/>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qFormat/>
    <w:rsid w:val="002B7335"/>
    <w:pPr>
      <w:spacing w:before="240"/>
      <w:outlineLvl w:val="3"/>
    </w:pPr>
    <w:rPr>
      <w:b/>
    </w:rPr>
  </w:style>
  <w:style w:type="paragraph" w:styleId="Heading5">
    <w:name w:val="heading 5"/>
    <w:aliases w:val="EBHeading4"/>
    <w:basedOn w:val="Normal"/>
    <w:next w:val="Normal"/>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rsid w:val="00402E80"/>
    <w:rPr>
      <w:rFonts w:ascii="Arial" w:eastAsia="SimSun" w:hAnsi="Arial"/>
      <w:b/>
      <w:color w:val="000000"/>
      <w:spacing w:val="-5"/>
      <w:lang w:val="en-GB" w:eastAsia="zh-CN" w:bidi="ar-SA"/>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rsid w:val="00220F29"/>
    <w:rPr>
      <w:rFonts w:ascii="Arial" w:eastAsia="SimSun" w:hAnsi="Arial"/>
      <w:b/>
      <w:color w:val="000000"/>
      <w:spacing w:val="-5"/>
      <w:sz w:val="22"/>
      <w:lang w:val="en-GB" w:eastAsia="zh-CN" w:bidi="ar-SA"/>
    </w:rPr>
  </w:style>
  <w:style w:type="paragraph" w:styleId="BodyText">
    <w:name w:val="Body Text"/>
    <w:basedOn w:val="Normal"/>
    <w:link w:val="BodyTextChar"/>
    <w:rsid w:val="003E54B6"/>
    <w:pPr>
      <w:spacing w:after="120"/>
    </w:pPr>
    <w:rPr>
      <w:rFonts w:cs="Arial"/>
      <w:bCs/>
      <w:color w:val="000000"/>
      <w:sz w:val="22"/>
      <w:szCs w:val="22"/>
      <w:lang w:eastAsia="en-GB"/>
    </w:rPr>
  </w:style>
  <w:style w:type="table" w:styleId="TableGrid">
    <w:name w:val="Table Grid"/>
    <w:basedOn w:val="TableNormal"/>
    <w:uiPriority w:val="5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7F64C7"/>
    <w:pPr>
      <w:ind w:left="113"/>
      <w:outlineLvl w:val="0"/>
    </w:pPr>
    <w:rPr>
      <w:rFonts w:cs="Arial"/>
      <w:bCs/>
      <w:color w:val="FFFFFF"/>
      <w:kern w:val="28"/>
      <w:sz w:val="32"/>
      <w:szCs w:val="32"/>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rsid w:val="00570F8E"/>
    <w:rPr>
      <w:rFonts w:ascii="Arial" w:eastAsia="SimSun" w:hAnsi="Arial"/>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vAlign w:val="center"/>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rsid w:val="006A5A2E"/>
    <w:rPr>
      <w:rFonts w:ascii="Arial" w:eastAsia="SimSun" w:hAnsi="Arial"/>
      <w:sz w:val="18"/>
      <w:lang w:val="en-GB" w:eastAsia="zh-CN" w:bidi="ar-SA"/>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rsid w:val="006A5A2E"/>
    <w:rPr>
      <w:rFonts w:ascii="Arial" w:eastAsia="SimSun" w:hAnsi="Arial"/>
      <w:b/>
      <w:bCs/>
      <w:i/>
      <w:iCs/>
      <w:sz w:val="18"/>
      <w:lang w:val="en-GB" w:eastAsia="zh-CN" w:bidi="ar-SA"/>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rsid w:val="009050B9"/>
    <w:rPr>
      <w:rFonts w:ascii="Arial" w:eastAsia="SimSun" w:hAnsi="Arial"/>
      <w:b/>
      <w:color w:val="000000"/>
      <w:spacing w:val="-5"/>
      <w:szCs w:val="22"/>
      <w:u w:val="single"/>
      <w:lang w:val="en-GB" w:eastAsia="zh-CN" w:bidi="ar-SA"/>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rsid w:val="00E96CB5"/>
    <w:pPr>
      <w:jc w:val="center"/>
    </w:pPr>
    <w:rPr>
      <w:caps/>
    </w:rPr>
  </w:style>
  <w:style w:type="paragraph" w:styleId="Footer">
    <w:name w:val="footer"/>
    <w:basedOn w:val="Normal"/>
    <w:rsid w:val="000407D8"/>
    <w:pPr>
      <w:tabs>
        <w:tab w:val="center" w:pos="5132"/>
        <w:tab w:val="right" w:pos="10260"/>
      </w:tabs>
      <w:jc w:val="center"/>
    </w:pPr>
    <w:rPr>
      <w:b/>
      <w:sz w:val="18"/>
    </w:rPr>
  </w:style>
  <w:style w:type="character" w:styleId="PageNumber">
    <w:name w:val="page number"/>
    <w:basedOn w:val="DefaultParagraphFont"/>
    <w:rsid w:val="00EB43FD"/>
  </w:style>
  <w:style w:type="character" w:customStyle="1" w:styleId="BodyTextChar">
    <w:name w:val="Body Text Char"/>
    <w:link w:val="BodyText"/>
    <w:rsid w:val="0049416F"/>
    <w:rPr>
      <w:rFonts w:ascii="Arial" w:hAnsi="Arial" w:cs="Arial"/>
      <w:bCs/>
      <w:color w:val="000000"/>
      <w:sz w:val="22"/>
      <w:szCs w:val="22"/>
      <w:lang w:val="en-GB" w:eastAsia="en-GB" w:bidi="ar-SA"/>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basedOn w:val="Normal"/>
    <w:link w:val="FootnoteTextChar"/>
    <w:uiPriority w:val="99"/>
    <w:rsid w:val="00490FF7"/>
    <w:rPr>
      <w:rFonts w:eastAsia="SimSun"/>
      <w:sz w:val="16"/>
      <w:szCs w:val="20"/>
      <w:lang w:eastAsia="zh-CN"/>
    </w:rPr>
  </w:style>
  <w:style w:type="character" w:styleId="FootnoteReference">
    <w:name w:val="footnote reference"/>
    <w:uiPriority w:val="99"/>
    <w:rsid w:val="00B84190"/>
    <w:rPr>
      <w:sz w:val="22"/>
      <w:vertAlign w:val="superscript"/>
    </w:rPr>
  </w:style>
  <w:style w:type="paragraph" w:customStyle="1" w:styleId="EBBodyPara">
    <w:name w:val="EBBodyPara"/>
    <w:basedOn w:val="BodyText"/>
    <w:rsid w:val="005A2FC0"/>
  </w:style>
  <w:style w:type="paragraph" w:styleId="BalloonText">
    <w:name w:val="Balloon Text"/>
    <w:basedOn w:val="Normal"/>
    <w:semiHidden/>
    <w:rsid w:val="00300CED"/>
    <w:rPr>
      <w:rFonts w:ascii="Tahoma" w:hAnsi="Tahoma" w:cs="Tahoma"/>
      <w:sz w:val="16"/>
      <w:szCs w:val="16"/>
    </w:rPr>
  </w:style>
  <w:style w:type="paragraph" w:customStyle="1" w:styleId="EBNumber">
    <w:name w:val="EBNumber"/>
    <w:basedOn w:val="BodyText"/>
    <w:rsid w:val="002B7335"/>
    <w:pPr>
      <w:numPr>
        <w:ilvl w:val="1"/>
        <w:numId w:val="20"/>
      </w:numPr>
    </w:pPr>
  </w:style>
  <w:style w:type="paragraph" w:customStyle="1" w:styleId="EBNumberRestart">
    <w:name w:val="EBNumberRestart"/>
    <w:basedOn w:val="BodyText"/>
    <w:next w:val="EBNumber"/>
    <w:rsid w:val="002B7335"/>
    <w:pPr>
      <w:numPr>
        <w:numId w:val="20"/>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2"/>
      </w:numPr>
    </w:pPr>
  </w:style>
  <w:style w:type="character" w:styleId="Hyperlink">
    <w:name w:val="Hyperlink"/>
    <w:rsid w:val="00B4136C"/>
    <w:rPr>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17"/>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rsid w:val="006D37CF"/>
    <w:rPr>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rsid w:val="00F622E8"/>
    <w:rPr>
      <w:rFonts w:ascii="Arial" w:eastAsia="SimSun" w:hAnsi="Arial"/>
      <w:b/>
      <w:color w:val="000000"/>
      <w:spacing w:val="-5"/>
      <w:szCs w:val="22"/>
      <w:lang w:val="en-GB" w:eastAsia="zh-CN" w:bidi="ar-SA"/>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rsid w:val="00F622E8"/>
    <w:rPr>
      <w:rFonts w:ascii="Arial" w:eastAsia="SimSun" w:hAnsi="Arial"/>
      <w:b/>
      <w:color w:val="000000"/>
      <w:spacing w:val="-5"/>
      <w:szCs w:val="22"/>
      <w:lang w:val="en-GB" w:eastAsia="zh-CN" w:bidi="ar-SA"/>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rsid w:val="00F622E8"/>
    <w:rPr>
      <w:rFonts w:ascii="Arial" w:eastAsia="SimSun" w:hAnsi="Arial"/>
      <w:b/>
      <w:color w:val="000000"/>
      <w:spacing w:val="-5"/>
      <w:szCs w:val="22"/>
      <w:lang w:val="en-GB" w:eastAsia="zh-CN" w:bidi="ar-SA"/>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rsid w:val="00F1653E"/>
    <w:rPr>
      <w:rFonts w:ascii="Arial" w:eastAsia="SimSun" w:hAnsi="Arial"/>
      <w:b/>
      <w:color w:val="000000"/>
      <w:spacing w:val="-5"/>
      <w:lang w:val="en-GB" w:eastAsia="zh-CN" w:bidi="ar-SA"/>
    </w:rPr>
  </w:style>
  <w:style w:type="character" w:customStyle="1" w:styleId="IPPOQ3Char">
    <w:name w:val="IPPOQ3 Char"/>
    <w:basedOn w:val="IAPOQ2Char"/>
    <w:link w:val="IPPOQ3"/>
    <w:rsid w:val="00F1653E"/>
    <w:rPr>
      <w:rFonts w:ascii="Arial" w:eastAsia="SimSun" w:hAnsi="Arial"/>
      <w:b/>
      <w:color w:val="000000"/>
      <w:spacing w:val="-5"/>
      <w:lang w:val="en-GB" w:eastAsia="zh-CN" w:bidi="ar-SA"/>
    </w:rPr>
  </w:style>
  <w:style w:type="character" w:customStyle="1" w:styleId="IAPOQ4Char">
    <w:name w:val="IAPOQ4 Char"/>
    <w:basedOn w:val="IPPOQ3Char"/>
    <w:link w:val="IAPOQ4"/>
    <w:rsid w:val="00F1653E"/>
    <w:rPr>
      <w:rFonts w:ascii="Arial" w:eastAsia="SimSun" w:hAnsi="Arial"/>
      <w:b/>
      <w:color w:val="000000"/>
      <w:spacing w:val="-5"/>
      <w:lang w:val="en-GB" w:eastAsia="zh-CN" w:bidi="ar-SA"/>
    </w:rPr>
  </w:style>
  <w:style w:type="character" w:customStyle="1" w:styleId="IAPOQ5Char">
    <w:name w:val="IAPOQ5 Char"/>
    <w:basedOn w:val="IAPOQ4Char"/>
    <w:link w:val="IAPOQ5"/>
    <w:rsid w:val="00F1653E"/>
    <w:rPr>
      <w:rFonts w:ascii="Arial" w:eastAsia="SimSun" w:hAnsi="Arial"/>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rsid w:val="000E3FD7"/>
    <w:rPr>
      <w:rFonts w:ascii="Arial" w:eastAsia="SimSun" w:hAnsi="Arial"/>
      <w:b/>
      <w:color w:val="000000"/>
      <w:spacing w:val="-5"/>
      <w:sz w:val="22"/>
      <w:szCs w:val="22"/>
      <w:lang w:val="en-GB" w:eastAsia="zh-CN" w:bidi="ar-SA"/>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rsid w:val="000E3FD7"/>
    <w:rPr>
      <w:rFonts w:ascii="Arial" w:eastAsia="SimSun" w:hAnsi="Arial"/>
      <w:b/>
      <w:color w:val="000000"/>
      <w:spacing w:val="-5"/>
      <w:sz w:val="22"/>
      <w:szCs w:val="22"/>
      <w:lang w:val="en-GB" w:eastAsia="zh-CN" w:bidi="ar-SA"/>
    </w:rPr>
  </w:style>
  <w:style w:type="character" w:customStyle="1" w:styleId="IAPODIBenChar">
    <w:name w:val="IAPODIBen Char"/>
    <w:link w:val="IAPODIBen"/>
    <w:rsid w:val="000E3FD7"/>
    <w:rPr>
      <w:rFonts w:ascii="Arial" w:eastAsia="SimSun" w:hAnsi="Arial"/>
      <w:b/>
      <w:color w:val="000000"/>
      <w:spacing w:val="-5"/>
      <w:sz w:val="22"/>
      <w:szCs w:val="22"/>
      <w:lang w:val="en-GB" w:eastAsia="zh-CN" w:bidi="ar-SA"/>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eastAsia="Calibri"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rsid w:val="008031EC"/>
    <w:rPr>
      <w:rFonts w:ascii="Arial" w:eastAsia="SimSun" w:hAnsi="Arial"/>
      <w:b/>
      <w:color w:val="000000"/>
      <w:spacing w:val="-6"/>
      <w:sz w:val="22"/>
      <w:szCs w:val="22"/>
      <w:lang w:val="en-GB" w:eastAsia="zh-CN" w:bidi="ar-SA"/>
    </w:rPr>
  </w:style>
  <w:style w:type="character" w:customStyle="1" w:styleId="IAHeadTitleChar">
    <w:name w:val="IAHeadTitle Char"/>
    <w:link w:val="IAHeadTitle"/>
    <w:rsid w:val="008031EC"/>
    <w:rPr>
      <w:rFonts w:ascii="Arial" w:eastAsia="SimSun" w:hAnsi="Arial"/>
      <w:b/>
      <w:color w:val="000000"/>
      <w:spacing w:val="-6"/>
      <w:sz w:val="28"/>
      <w:szCs w:val="28"/>
      <w:lang w:val="en-GB" w:eastAsia="zh-CN" w:bidi="ar-SA"/>
    </w:rPr>
  </w:style>
  <w:style w:type="character" w:customStyle="1" w:styleId="IANoChar">
    <w:name w:val="IANo Char"/>
    <w:link w:val="IANo"/>
    <w:rsid w:val="005F32E7"/>
    <w:rPr>
      <w:rFonts w:ascii="Arial" w:eastAsia="SimSun" w:hAnsi="Arial"/>
      <w:b/>
      <w:color w:val="000000"/>
      <w:spacing w:val="-6"/>
      <w:sz w:val="28"/>
      <w:szCs w:val="22"/>
      <w:lang w:val="en-GB" w:eastAsia="en-US" w:bidi="ar-SA"/>
    </w:rPr>
  </w:style>
  <w:style w:type="paragraph" w:customStyle="1" w:styleId="IALeadDept">
    <w:name w:val="IALeadDept"/>
    <w:basedOn w:val="Normal"/>
    <w:rsid w:val="005F32E7"/>
    <w:pPr>
      <w:ind w:left="113"/>
    </w:pPr>
    <w:rPr>
      <w:rFonts w:eastAsia="Arial Unicode M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rsid w:val="00F91F5A"/>
    <w:rPr>
      <w:rFonts w:ascii="Arial" w:eastAsia="SimSun" w:hAnsi="Arial"/>
      <w:b/>
      <w:color w:val="000000"/>
      <w:spacing w:val="-5"/>
      <w:sz w:val="22"/>
      <w:szCs w:val="22"/>
      <w:lang w:val="en-GB" w:eastAsia="zh-CN" w:bidi="ar-SA"/>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rsid w:val="00F91F5A"/>
    <w:rPr>
      <w:rFonts w:ascii="Arial" w:eastAsia="SimSun" w:hAnsi="Arial"/>
      <w:b/>
      <w:color w:val="000000"/>
      <w:spacing w:val="-5"/>
      <w:sz w:val="22"/>
      <w:szCs w:val="22"/>
      <w:lang w:val="en-GB" w:eastAsia="zh-CN" w:bidi="ar-SA"/>
    </w:rPr>
  </w:style>
  <w:style w:type="character" w:customStyle="1" w:styleId="IAIOReviewMonthChar">
    <w:name w:val="IAIOReviewMonth Char"/>
    <w:link w:val="IAIOReviewMonth"/>
    <w:rsid w:val="00F91F5A"/>
    <w:rPr>
      <w:rFonts w:ascii="Arial" w:eastAsia="SimSun" w:hAnsi="Arial"/>
      <w:b/>
      <w:color w:val="000000"/>
      <w:spacing w:val="-5"/>
      <w:sz w:val="22"/>
      <w:szCs w:val="22"/>
      <w:lang w:val="en-GB" w:eastAsia="zh-CN" w:bidi="ar-SA"/>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rsid w:val="00D00846"/>
    <w:rPr>
      <w:rFonts w:ascii="Arial" w:eastAsia="SimSun" w:hAnsi="Arial"/>
      <w:b/>
      <w:color w:val="000000"/>
      <w:spacing w:val="-5"/>
      <w:lang w:val="en-GB" w:eastAsia="zh-CN" w:bidi="ar-SA"/>
    </w:rPr>
  </w:style>
  <w:style w:type="character" w:customStyle="1" w:styleId="IADateChar">
    <w:name w:val="IADate Char"/>
    <w:link w:val="IADate"/>
    <w:rsid w:val="00174C10"/>
    <w:rPr>
      <w:rFonts w:ascii="Arial" w:eastAsia="SimSun" w:hAnsi="Arial"/>
      <w:b/>
      <w:color w:val="000000"/>
      <w:spacing w:val="-5"/>
      <w:sz w:val="22"/>
      <w:szCs w:val="22"/>
      <w:lang w:val="en-GB" w:eastAsia="zh-CN" w:bidi="ar-SA"/>
    </w:rPr>
  </w:style>
  <w:style w:type="character" w:customStyle="1" w:styleId="IATableLinesChar">
    <w:name w:val="IATableLines Char"/>
    <w:basedOn w:val="IATableTextChar"/>
    <w:link w:val="IATableLines"/>
    <w:rsid w:val="00174C10"/>
    <w:rPr>
      <w:rFonts w:ascii="Arial" w:eastAsia="SimSun" w:hAnsi="Arial"/>
      <w:b/>
      <w:color w:val="000000"/>
      <w:spacing w:val="-5"/>
      <w:sz w:val="22"/>
      <w:lang w:val="en-GB" w:eastAsia="zh-CN" w:bidi="ar-SA"/>
    </w:rPr>
  </w:style>
  <w:style w:type="character" w:customStyle="1" w:styleId="IACOEChar">
    <w:name w:val="IACOE Char"/>
    <w:link w:val="IACOE"/>
    <w:rsid w:val="00B225B0"/>
    <w:rPr>
      <w:rFonts w:ascii="Arial" w:eastAsia="SimSun" w:hAnsi="Arial"/>
      <w:b/>
      <w:color w:val="000000"/>
      <w:spacing w:val="-5"/>
      <w:sz w:val="22"/>
      <w:szCs w:val="24"/>
      <w:lang w:val="en-GB" w:eastAsia="zh-CN" w:bidi="ar-SA"/>
    </w:rPr>
  </w:style>
  <w:style w:type="character" w:customStyle="1" w:styleId="IAStageChar">
    <w:name w:val="IAStage Char"/>
    <w:link w:val="IAStage"/>
    <w:rsid w:val="00174C10"/>
    <w:rPr>
      <w:rFonts w:ascii="Arial" w:eastAsia="SimSun" w:hAnsi="Arial"/>
      <w:b/>
      <w:color w:val="000000"/>
      <w:spacing w:val="-5"/>
      <w:sz w:val="22"/>
      <w:lang w:val="en-GB" w:eastAsia="zh-CN" w:bidi="ar-SA"/>
    </w:rPr>
  </w:style>
  <w:style w:type="character" w:customStyle="1" w:styleId="IASOIChar">
    <w:name w:val="IASOI Char"/>
    <w:link w:val="IASOI"/>
    <w:rsid w:val="00174C10"/>
    <w:rPr>
      <w:rFonts w:ascii="Arial" w:eastAsia="SimSun" w:hAnsi="Arial"/>
      <w:b/>
      <w:color w:val="000000"/>
      <w:spacing w:val="-5"/>
      <w:sz w:val="22"/>
      <w:lang w:val="en-GB" w:eastAsia="zh-CN" w:bidi="ar-SA"/>
    </w:rPr>
  </w:style>
  <w:style w:type="character" w:customStyle="1" w:styleId="IATOMChar">
    <w:name w:val="IATOM Char"/>
    <w:link w:val="IATOM"/>
    <w:rsid w:val="00174C10"/>
    <w:rPr>
      <w:rFonts w:ascii="Arial" w:eastAsia="SimSun" w:hAnsi="Arial"/>
      <w:b/>
      <w:color w:val="000000"/>
      <w:spacing w:val="-5"/>
      <w:sz w:val="22"/>
      <w:lang w:val="en-GB" w:eastAsia="zh-CN" w:bidi="ar-SA"/>
    </w:rPr>
  </w:style>
  <w:style w:type="character" w:customStyle="1" w:styleId="TitleChar">
    <w:name w:val="Title Char"/>
    <w:link w:val="Title"/>
    <w:rsid w:val="00174C10"/>
    <w:rPr>
      <w:rFonts w:ascii="Arial" w:hAnsi="Arial" w:cs="Arial"/>
      <w:bCs/>
      <w:color w:val="FFFFFF"/>
      <w:kern w:val="28"/>
      <w:sz w:val="32"/>
      <w:szCs w:val="32"/>
      <w:lang w:val="en-GB" w:eastAsia="en-US" w:bidi="ar-SA"/>
    </w:rPr>
  </w:style>
  <w:style w:type="character" w:customStyle="1" w:styleId="IARPCChar">
    <w:name w:val="IARPC Char"/>
    <w:link w:val="IARPC"/>
    <w:rsid w:val="00174C10"/>
    <w:rPr>
      <w:rFonts w:ascii="Arial" w:eastAsia="SimSun" w:hAnsi="Arial" w:cs="Arial"/>
      <w:bCs/>
      <w:color w:val="000000"/>
      <w:kern w:val="28"/>
      <w:sz w:val="24"/>
      <w:szCs w:val="24"/>
      <w:lang w:val="en-GB" w:eastAsia="en-US" w:bidi="ar-SA"/>
    </w:rPr>
  </w:style>
  <w:style w:type="character" w:customStyle="1" w:styleId="IAIOCheckMicroChar">
    <w:name w:val="IAIOCheckMicro Char"/>
    <w:basedOn w:val="IATableLinesChar"/>
    <w:link w:val="IAIOCheckMicro"/>
    <w:rsid w:val="00D478C9"/>
    <w:rPr>
      <w:rFonts w:ascii="Arial" w:eastAsia="SimSun" w:hAnsi="Arial"/>
      <w:b/>
      <w:color w:val="000000"/>
      <w:spacing w:val="-5"/>
      <w:sz w:val="22"/>
      <w:lang w:val="en-GB" w:eastAsia="zh-CN" w:bidi="ar-SA"/>
    </w:rPr>
  </w:style>
  <w:style w:type="character" w:customStyle="1" w:styleId="IAIOCheckSmallChar">
    <w:name w:val="IAIOCheckSmall Char"/>
    <w:basedOn w:val="IATableLinesChar"/>
    <w:link w:val="IAIOCheckSmall"/>
    <w:rsid w:val="00D478C9"/>
    <w:rPr>
      <w:rFonts w:ascii="Arial" w:eastAsia="SimSun" w:hAnsi="Arial"/>
      <w:b/>
      <w:color w:val="000000"/>
      <w:spacing w:val="-5"/>
      <w:sz w:val="22"/>
      <w:lang w:val="en-GB" w:eastAsia="zh-CN" w:bidi="ar-SA"/>
    </w:rPr>
  </w:style>
  <w:style w:type="character" w:customStyle="1" w:styleId="IAIOCheckMediumChar">
    <w:name w:val="IAIOCheckMedium Char"/>
    <w:basedOn w:val="IATableLinesChar"/>
    <w:link w:val="IAIOCheckMedium"/>
    <w:rsid w:val="00D478C9"/>
    <w:rPr>
      <w:rFonts w:ascii="Arial" w:eastAsia="SimSun" w:hAnsi="Arial"/>
      <w:b/>
      <w:color w:val="000000"/>
      <w:spacing w:val="-5"/>
      <w:sz w:val="22"/>
      <w:lang w:val="en-GB" w:eastAsia="zh-CN" w:bidi="ar-SA"/>
    </w:rPr>
  </w:style>
  <w:style w:type="character" w:customStyle="1" w:styleId="IAIOCheckLargeChar">
    <w:name w:val="IAIOCheckLarge Char"/>
    <w:basedOn w:val="IATableLinesChar"/>
    <w:link w:val="IAIOCheckLarge"/>
    <w:rsid w:val="00D478C9"/>
    <w:rPr>
      <w:rFonts w:ascii="Arial" w:eastAsia="SimSun" w:hAnsi="Arial"/>
      <w:b/>
      <w:color w:val="000000"/>
      <w:spacing w:val="-5"/>
      <w:sz w:val="22"/>
      <w:lang w:val="en-GB" w:eastAsia="zh-CN" w:bidi="ar-SA"/>
    </w:rPr>
  </w:style>
  <w:style w:type="character" w:customStyle="1" w:styleId="IAIOCO2TradedChar">
    <w:name w:val="IAIOCO2Traded Char"/>
    <w:link w:val="IAIOCO2Traded"/>
    <w:rsid w:val="00D478C9"/>
    <w:rPr>
      <w:rFonts w:ascii="Arial" w:eastAsia="SimSun" w:hAnsi="Arial"/>
      <w:b/>
      <w:color w:val="000000"/>
      <w:spacing w:val="-5"/>
      <w:sz w:val="22"/>
      <w:lang w:val="en-GB" w:eastAsia="zh-CN" w:bidi="ar-SA"/>
    </w:rPr>
  </w:style>
  <w:style w:type="character" w:customStyle="1" w:styleId="IALabel">
    <w:name w:val="IALabel"/>
    <w:rsid w:val="009F6692"/>
    <w:rPr>
      <w:color w:val="000000"/>
      <w:sz w:val="20"/>
    </w:rPr>
  </w:style>
  <w:style w:type="character" w:customStyle="1" w:styleId="Heading3Char">
    <w:name w:val="Heading 3 Char"/>
    <w:aliases w:val="EBHeading2 Char"/>
    <w:basedOn w:val="DefaultParagraphFont"/>
    <w:link w:val="Heading3"/>
    <w:rsid w:val="00073758"/>
    <w:rPr>
      <w:rFonts w:ascii="Arial" w:hAnsi="Arial" w:cs="Arial"/>
      <w:b/>
      <w:bCs/>
      <w:color w:val="000000"/>
      <w:sz w:val="24"/>
      <w:szCs w:val="22"/>
    </w:rPr>
  </w:style>
  <w:style w:type="character" w:customStyle="1" w:styleId="Heading4Char">
    <w:name w:val="Heading 4 Char"/>
    <w:aliases w:val="EBHeading3 Char"/>
    <w:basedOn w:val="DefaultParagraphFont"/>
    <w:link w:val="Heading4"/>
    <w:rsid w:val="00073758"/>
    <w:rPr>
      <w:rFonts w:ascii="Arial" w:hAnsi="Arial" w:cs="Arial"/>
      <w:b/>
      <w:bCs/>
      <w:color w:val="000000"/>
      <w:sz w:val="22"/>
      <w:szCs w:val="22"/>
    </w:rPr>
  </w:style>
  <w:style w:type="paragraph" w:styleId="ListParagraph">
    <w:name w:val="List Paragraph"/>
    <w:aliases w:val="F5 List Paragraph,List Paragraph1,Dot pt,No Spacing1,List Paragraph Char Char Char,Indicator Text,Colorful List - Accent 11,Numbered Para 1,Bullet 1,Bullet Points,MAIN CONTENT,List Paragraph2,Normal numbered,List Paragraph11,OBC Bullet"/>
    <w:basedOn w:val="Normal"/>
    <w:link w:val="ListParagraphChar"/>
    <w:uiPriority w:val="34"/>
    <w:qFormat/>
    <w:rsid w:val="00073758"/>
    <w:pPr>
      <w:spacing w:after="200" w:line="27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1 Char,Bullet Points Char,MAIN CONTENT Char"/>
    <w:basedOn w:val="DefaultParagraphFont"/>
    <w:link w:val="ListParagraph"/>
    <w:uiPriority w:val="34"/>
    <w:rsid w:val="00073758"/>
    <w:rPr>
      <w:rFonts w:asciiTheme="minorHAnsi" w:eastAsiaTheme="minorHAnsi" w:hAnsiTheme="minorHAnsi" w:cstheme="minorBidi"/>
      <w:sz w:val="22"/>
      <w:szCs w:val="22"/>
      <w:lang w:eastAsia="en-US"/>
    </w:rPr>
  </w:style>
  <w:style w:type="character" w:customStyle="1" w:styleId="FootnoteTextChar">
    <w:name w:val="Footnote Text Char"/>
    <w:link w:val="FootnoteText"/>
    <w:uiPriority w:val="99"/>
    <w:rsid w:val="00073758"/>
    <w:rPr>
      <w:rFonts w:ascii="Arial" w:eastAsia="SimSun" w:hAnsi="Arial"/>
      <w:sz w:val="16"/>
      <w:lang w:eastAsia="zh-CN"/>
    </w:rPr>
  </w:style>
  <w:style w:type="table" w:customStyle="1" w:styleId="TableGrid1">
    <w:name w:val="Table Grid1"/>
    <w:basedOn w:val="TableNormal"/>
    <w:next w:val="TableGrid"/>
    <w:uiPriority w:val="59"/>
    <w:rsid w:val="0007375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073758"/>
    <w:rPr>
      <w:sz w:val="16"/>
      <w:szCs w:val="16"/>
    </w:rPr>
  </w:style>
  <w:style w:type="paragraph" w:styleId="CommentText">
    <w:name w:val="annotation text"/>
    <w:basedOn w:val="Normal"/>
    <w:link w:val="CommentTextChar"/>
    <w:rsid w:val="00073758"/>
    <w:rPr>
      <w:sz w:val="20"/>
      <w:szCs w:val="20"/>
    </w:rPr>
  </w:style>
  <w:style w:type="character" w:customStyle="1" w:styleId="CommentTextChar">
    <w:name w:val="Comment Text Char"/>
    <w:basedOn w:val="DefaultParagraphFont"/>
    <w:link w:val="CommentText"/>
    <w:rsid w:val="00073758"/>
    <w:rPr>
      <w:rFonts w:ascii="Arial" w:hAnsi="Arial"/>
      <w:lang w:eastAsia="en-US"/>
    </w:rPr>
  </w:style>
  <w:style w:type="paragraph" w:styleId="CommentSubject">
    <w:name w:val="annotation subject"/>
    <w:basedOn w:val="CommentText"/>
    <w:next w:val="CommentText"/>
    <w:link w:val="CommentSubjectChar"/>
    <w:rsid w:val="00073758"/>
    <w:rPr>
      <w:b/>
      <w:bCs/>
    </w:rPr>
  </w:style>
  <w:style w:type="character" w:customStyle="1" w:styleId="CommentSubjectChar">
    <w:name w:val="Comment Subject Char"/>
    <w:basedOn w:val="CommentTextChar"/>
    <w:link w:val="CommentSubject"/>
    <w:rsid w:val="00073758"/>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51097">
      <w:bodyDiv w:val="1"/>
      <w:marLeft w:val="0"/>
      <w:marRight w:val="0"/>
      <w:marTop w:val="0"/>
      <w:marBottom w:val="0"/>
      <w:divBdr>
        <w:top w:val="none" w:sz="0" w:space="0" w:color="auto"/>
        <w:left w:val="none" w:sz="0" w:space="0" w:color="auto"/>
        <w:bottom w:val="none" w:sz="0" w:space="0" w:color="auto"/>
        <w:right w:val="none" w:sz="0" w:space="0" w:color="auto"/>
      </w:divBdr>
    </w:div>
    <w:div w:id="495535940">
      <w:bodyDiv w:val="1"/>
      <w:marLeft w:val="0"/>
      <w:marRight w:val="0"/>
      <w:marTop w:val="0"/>
      <w:marBottom w:val="0"/>
      <w:divBdr>
        <w:top w:val="none" w:sz="0" w:space="0" w:color="auto"/>
        <w:left w:val="none" w:sz="0" w:space="0" w:color="auto"/>
        <w:bottom w:val="none" w:sz="0" w:space="0" w:color="auto"/>
        <w:right w:val="none" w:sz="0" w:space="0" w:color="auto"/>
      </w:divBdr>
    </w:div>
    <w:div w:id="735397701">
      <w:bodyDiv w:val="1"/>
      <w:marLeft w:val="0"/>
      <w:marRight w:val="0"/>
      <w:marTop w:val="0"/>
      <w:marBottom w:val="0"/>
      <w:divBdr>
        <w:top w:val="none" w:sz="0" w:space="0" w:color="auto"/>
        <w:left w:val="none" w:sz="0" w:space="0" w:color="auto"/>
        <w:bottom w:val="none" w:sz="0" w:space="0" w:color="auto"/>
        <w:right w:val="none" w:sz="0" w:space="0" w:color="auto"/>
      </w:divBdr>
    </w:div>
    <w:div w:id="801385130">
      <w:bodyDiv w:val="1"/>
      <w:marLeft w:val="0"/>
      <w:marRight w:val="0"/>
      <w:marTop w:val="0"/>
      <w:marBottom w:val="0"/>
      <w:divBdr>
        <w:top w:val="none" w:sz="0" w:space="0" w:color="auto"/>
        <w:left w:val="none" w:sz="0" w:space="0" w:color="auto"/>
        <w:bottom w:val="none" w:sz="0" w:space="0" w:color="auto"/>
        <w:right w:val="none" w:sz="0" w:space="0" w:color="auto"/>
      </w:divBdr>
    </w:div>
    <w:div w:id="948972132">
      <w:bodyDiv w:val="1"/>
      <w:marLeft w:val="0"/>
      <w:marRight w:val="0"/>
      <w:marTop w:val="0"/>
      <w:marBottom w:val="0"/>
      <w:divBdr>
        <w:top w:val="none" w:sz="0" w:space="0" w:color="auto"/>
        <w:left w:val="none" w:sz="0" w:space="0" w:color="auto"/>
        <w:bottom w:val="none" w:sz="0" w:space="0" w:color="auto"/>
        <w:right w:val="none" w:sz="0" w:space="0" w:color="auto"/>
      </w:divBdr>
    </w:div>
    <w:div w:id="1055817686">
      <w:bodyDiv w:val="1"/>
      <w:marLeft w:val="0"/>
      <w:marRight w:val="0"/>
      <w:marTop w:val="0"/>
      <w:marBottom w:val="0"/>
      <w:divBdr>
        <w:top w:val="none" w:sz="0" w:space="0" w:color="auto"/>
        <w:left w:val="none" w:sz="0" w:space="0" w:color="auto"/>
        <w:bottom w:val="none" w:sz="0" w:space="0" w:color="auto"/>
        <w:right w:val="none" w:sz="0" w:space="0" w:color="auto"/>
      </w:divBdr>
    </w:div>
    <w:div w:id="1261641921">
      <w:bodyDiv w:val="1"/>
      <w:marLeft w:val="0"/>
      <w:marRight w:val="0"/>
      <w:marTop w:val="0"/>
      <w:marBottom w:val="0"/>
      <w:divBdr>
        <w:top w:val="none" w:sz="0" w:space="0" w:color="auto"/>
        <w:left w:val="none" w:sz="0" w:space="0" w:color="auto"/>
        <w:bottom w:val="none" w:sz="0" w:space="0" w:color="auto"/>
        <w:right w:val="none" w:sz="0" w:space="0" w:color="auto"/>
      </w:divBdr>
    </w:div>
    <w:div w:id="1432967598">
      <w:bodyDiv w:val="1"/>
      <w:marLeft w:val="0"/>
      <w:marRight w:val="0"/>
      <w:marTop w:val="0"/>
      <w:marBottom w:val="0"/>
      <w:divBdr>
        <w:top w:val="none" w:sz="0" w:space="0" w:color="auto"/>
        <w:left w:val="none" w:sz="0" w:space="0" w:color="auto"/>
        <w:bottom w:val="none" w:sz="0" w:space="0" w:color="auto"/>
        <w:right w:val="none" w:sz="0" w:space="0" w:color="auto"/>
      </w:divBdr>
    </w:div>
    <w:div w:id="1855530621">
      <w:bodyDiv w:val="1"/>
      <w:marLeft w:val="0"/>
      <w:marRight w:val="0"/>
      <w:marTop w:val="0"/>
      <w:marBottom w:val="0"/>
      <w:divBdr>
        <w:top w:val="none" w:sz="0" w:space="0" w:color="auto"/>
        <w:left w:val="none" w:sz="0" w:space="0" w:color="auto"/>
        <w:bottom w:val="none" w:sz="0" w:space="0" w:color="auto"/>
        <w:right w:val="none" w:sz="0" w:space="0" w:color="auto"/>
      </w:divBdr>
    </w:div>
    <w:div w:id="212935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www.york.ac.uk/media/che/documents/reports/resubmitted_report.pdf" TargetMode="External"/><Relationship Id="rId2" Type="http://schemas.openxmlformats.org/officeDocument/2006/relationships/hyperlink" Target="https://www.gov.uk/government/publications/managing-public-money" TargetMode="External"/><Relationship Id="rId1" Type="http://schemas.openxmlformats.org/officeDocument/2006/relationships/hyperlink" Target="http://www.cqc.org.uk/sites/default/files/20141003_final_asc_ria_final_1.pdf" TargetMode="External"/><Relationship Id="rId4" Type="http://schemas.openxmlformats.org/officeDocument/2006/relationships/hyperlink" Target="http://www.cqc.org.uk/sites/default/files/20150323_cqc_fees_scheme_2015-1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qian\AppData\Roaming\Microsoft\Templates\impact-assessment-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58EF3-D53B-4318-8E95-D9587803C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impact-assessment-template</Template>
  <TotalTime>1</TotalTime>
  <Pages>17</Pages>
  <Words>8731</Words>
  <Characters>49767</Characters>
  <Application>Microsoft Office Word</Application>
  <DocSecurity>4</DocSecurity>
  <Lines>414</Lines>
  <Paragraphs>116</Paragraphs>
  <ScaleCrop>false</ScaleCrop>
  <HeadingPairs>
    <vt:vector size="2" baseType="variant">
      <vt:variant>
        <vt:lpstr>Title</vt:lpstr>
      </vt:variant>
      <vt:variant>
        <vt:i4>1</vt:i4>
      </vt:variant>
    </vt:vector>
  </HeadingPairs>
  <TitlesOfParts>
    <vt:vector size="1" baseType="lpstr">
      <vt:lpstr>Impact Assessment</vt:lpstr>
    </vt:vector>
  </TitlesOfParts>
  <Company>IMS3</Company>
  <LinksUpToDate>false</LinksUpToDate>
  <CharactersWithSpaces>58382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dc:title>
  <dc:creator>Qian, Tongtong</dc:creator>
  <cp:lastModifiedBy>Duncan, James</cp:lastModifiedBy>
  <cp:revision>2</cp:revision>
  <cp:lastPrinted>2016-02-22T09:20:00Z</cp:lastPrinted>
  <dcterms:created xsi:type="dcterms:W3CDTF">2016-02-26T14:17:00Z</dcterms:created>
  <dcterms:modified xsi:type="dcterms:W3CDTF">2016-02-26T14:17:00Z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Final</vt:lpwstr>
  </property>
</Properties>
</file>