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2"/>
        <w:jc w:val="center"/>
        <w:rPr>
          <w:rFonts w:ascii="Times New Roman" w:cs="Times New Roman" w:eastAsia="Times New Roman" w:hAnsi="Times New Roman"/>
          <w:sz w:val="32"/>
          <w:szCs w:val="32"/>
        </w:rPr>
      </w:pPr>
      <w:bookmarkStart w:colFirst="0" w:colLast="0" w:name="_wf16li2rz989" w:id="0"/>
      <w:bookmarkEnd w:id="0"/>
      <w:r w:rsidDel="00000000" w:rsidR="00000000" w:rsidRPr="00000000">
        <w:rPr>
          <w:rtl w:val="0"/>
        </w:rPr>
        <w:t xml:space="preserve">Communications Team </w:t>
      </w:r>
      <w:r w:rsidDel="00000000" w:rsidR="00000000" w:rsidRPr="00000000">
        <w:rPr>
          <w:rFonts w:ascii="Times New Roman" w:cs="Times New Roman" w:eastAsia="Times New Roman" w:hAnsi="Times New Roman"/>
          <w:rtl w:val="0"/>
        </w:rPr>
        <w:t xml:space="preserve">(Homework - Review)</w:t>
      </w:r>
      <w:r w:rsidDel="00000000" w:rsidR="00000000" w:rsidRPr="00000000">
        <w:rPr>
          <w:rtl w:val="0"/>
        </w:rPr>
      </w:r>
    </w:p>
    <w:p w:rsidR="00000000" w:rsidDel="00000000" w:rsidP="00000000" w:rsidRDefault="00000000" w:rsidRPr="00000000" w14:paraId="00000002">
      <w:pPr>
        <w:numPr>
          <w:ilvl w:val="0"/>
          <w:numId w:val="2"/>
        </w:numPr>
        <w:ind w:left="720" w:hanging="360"/>
      </w:pPr>
      <w:r w:rsidDel="00000000" w:rsidR="00000000" w:rsidRPr="00000000">
        <w:rPr>
          <w:rFonts w:ascii="Times New Roman" w:cs="Times New Roman" w:eastAsia="Times New Roman" w:hAnsi="Times New Roman"/>
          <w:b w:val="1"/>
          <w:rtl w:val="0"/>
        </w:rPr>
        <w:t xml:space="preserve">Branding:</w:t>
      </w:r>
      <w:r w:rsidDel="00000000" w:rsidR="00000000" w:rsidRPr="00000000">
        <w:rPr>
          <w:rFonts w:ascii="Times New Roman" w:cs="Times New Roman" w:eastAsia="Times New Roman" w:hAnsi="Times New Roman"/>
          <w:rtl w:val="0"/>
        </w:rPr>
        <w:t xml:space="preserve"> Must use </w:t>
      </w:r>
      <w:r w:rsidDel="00000000" w:rsidR="00000000" w:rsidRPr="00000000">
        <w:rPr>
          <w:rFonts w:ascii="Times New Roman" w:cs="Times New Roman" w:eastAsia="Times New Roman" w:hAnsi="Times New Roman"/>
          <w:b w:val="1"/>
          <w:rtl w:val="0"/>
        </w:rPr>
        <w:t xml:space="preserve">All Ports Tours</w:t>
      </w:r>
      <w:r w:rsidDel="00000000" w:rsidR="00000000" w:rsidRPr="00000000">
        <w:rPr>
          <w:rFonts w:ascii="Times New Roman" w:cs="Times New Roman" w:eastAsia="Times New Roman" w:hAnsi="Times New Roman"/>
          <w:rtl w:val="0"/>
        </w:rPr>
        <w:t xml:space="preserve"> brand; identify team only by number &amp; region (e.g., “Team 10 – US West”). </w:t>
      </w:r>
      <w:r w:rsidDel="00000000" w:rsidR="00000000" w:rsidRPr="00000000">
        <w:rPr>
          <w:rFonts w:ascii="Times New Roman" w:cs="Times New Roman" w:eastAsia="Times New Roman" w:hAnsi="Times New Roman"/>
          <w:b w:val="1"/>
          <w:rtl w:val="0"/>
        </w:rPr>
        <w:t xml:space="preserve">No institution names</w:t>
      </w:r>
      <w:r w:rsidDel="00000000" w:rsidR="00000000" w:rsidRPr="00000000">
        <w:rPr>
          <w:rFonts w:ascii="Times New Roman" w:cs="Times New Roman" w:eastAsia="Times New Roman" w:hAnsi="Times New Roman"/>
          <w:rtl w:val="0"/>
        </w:rPr>
        <w:t xml:space="preserve"> (university or firm)</w:t>
      </w:r>
    </w:p>
    <w:p w:rsidR="00000000" w:rsidDel="00000000" w:rsidP="00000000" w:rsidRDefault="00000000" w:rsidRPr="00000000" w14:paraId="00000003">
      <w:pPr>
        <w:numPr>
          <w:ilvl w:val="0"/>
          <w:numId w:val="2"/>
        </w:numPr>
        <w:ind w:left="720" w:hanging="360"/>
      </w:pPr>
      <w:r w:rsidDel="00000000" w:rsidR="00000000" w:rsidRPr="00000000">
        <w:rPr>
          <w:rFonts w:ascii="Times New Roman" w:cs="Times New Roman" w:eastAsia="Times New Roman" w:hAnsi="Times New Roman"/>
          <w:b w:val="1"/>
          <w:sz w:val="24"/>
          <w:szCs w:val="24"/>
          <w:rtl w:val="0"/>
        </w:rPr>
        <w:t xml:space="preserve">Appendix</w:t>
      </w:r>
      <w:r w:rsidDel="00000000" w:rsidR="00000000" w:rsidRPr="00000000">
        <w:rPr>
          <w:rFonts w:ascii="Times New Roman" w:cs="Times New Roman" w:eastAsia="Times New Roman" w:hAnsi="Times New Roman"/>
          <w:sz w:val="24"/>
          <w:szCs w:val="24"/>
          <w:rtl w:val="0"/>
        </w:rPr>
        <w:br w:type="textWrapping"/>
        <w:t xml:space="preserve">Constantly Remind</w:t>
      </w:r>
      <w:r w:rsidDel="00000000" w:rsidR="00000000" w:rsidRPr="00000000">
        <w:rPr>
          <w:rFonts w:ascii="Times New Roman" w:cs="Times New Roman" w:eastAsia="Times New Roman" w:hAnsi="Times New Roman"/>
          <w:sz w:val="24"/>
          <w:szCs w:val="24"/>
          <w:rtl w:val="0"/>
        </w:rPr>
        <w:t xml:space="preserve"> Engineering to Capture Supporting evidence, logs, screenshots, data tables, etc.</w:t>
      </w:r>
    </w:p>
    <w:p w:rsidR="00000000" w:rsidDel="00000000" w:rsidP="00000000" w:rsidRDefault="00000000" w:rsidRPr="00000000" w14:paraId="00000004">
      <w:pPr>
        <w:numPr>
          <w:ilvl w:val="0"/>
          <w:numId w:val="2"/>
        </w:numPr>
        <w:ind w:left="720" w:hanging="360"/>
      </w:pPr>
      <w:r w:rsidDel="00000000" w:rsidR="00000000" w:rsidRPr="00000000">
        <w:rPr>
          <w:rFonts w:ascii="Times New Roman" w:cs="Times New Roman" w:eastAsia="Times New Roman" w:hAnsi="Times New Roman"/>
          <w:sz w:val="24"/>
          <w:szCs w:val="24"/>
          <w:rtl w:val="0"/>
        </w:rPr>
        <w:t xml:space="preserve">Classify data into the following categories: Confidential, Internal Use Only, and Public.</w:t>
      </w:r>
    </w:p>
    <w:p w:rsidR="00000000" w:rsidDel="00000000" w:rsidP="00000000" w:rsidRDefault="00000000" w:rsidRPr="00000000" w14:paraId="00000005">
      <w:pPr>
        <w:numPr>
          <w:ilvl w:val="0"/>
          <w:numId w:val="2"/>
        </w:numPr>
        <w:ind w:left="720" w:hanging="360"/>
      </w:pPr>
      <w:r w:rsidDel="00000000" w:rsidR="00000000" w:rsidRPr="00000000">
        <w:rPr>
          <w:rFonts w:ascii="Times New Roman" w:cs="Times New Roman" w:eastAsia="Times New Roman" w:hAnsi="Times New Roman"/>
          <w:b w:val="1"/>
          <w:sz w:val="24"/>
          <w:szCs w:val="24"/>
          <w:rtl w:val="0"/>
        </w:rPr>
        <w:t xml:space="preserve">Create folders for everyone’s name in OneDrive</w:t>
      </w:r>
      <w:r w:rsidDel="00000000" w:rsidR="00000000" w:rsidRPr="00000000">
        <w:rPr>
          <w:rFonts w:ascii="Times New Roman" w:cs="Times New Roman" w:eastAsia="Times New Roman" w:hAnsi="Times New Roman"/>
          <w:sz w:val="24"/>
          <w:szCs w:val="24"/>
          <w:rtl w:val="0"/>
        </w:rPr>
        <w:t xml:space="preserve"> so all team members can upload and access their files. On the </w:t>
      </w:r>
      <w:r w:rsidDel="00000000" w:rsidR="00000000" w:rsidRPr="00000000">
        <w:rPr>
          <w:rFonts w:ascii="Times New Roman" w:cs="Times New Roman" w:eastAsia="Times New Roman" w:hAnsi="Times New Roman"/>
          <w:b w:val="1"/>
          <w:sz w:val="24"/>
          <w:szCs w:val="24"/>
          <w:rtl w:val="0"/>
        </w:rPr>
        <w:t xml:space="preserve">day of the event</w:t>
      </w:r>
      <w:r w:rsidDel="00000000" w:rsidR="00000000" w:rsidRPr="00000000">
        <w:rPr>
          <w:rFonts w:ascii="Times New Roman" w:cs="Times New Roman" w:eastAsia="Times New Roman" w:hAnsi="Times New Roman"/>
          <w:sz w:val="24"/>
          <w:szCs w:val="24"/>
          <w:rtl w:val="0"/>
        </w:rPr>
        <w:t xml:space="preserve">, use these folders to </w:t>
      </w:r>
      <w:r w:rsidDel="00000000" w:rsidR="00000000" w:rsidRPr="00000000">
        <w:rPr>
          <w:rFonts w:ascii="Times New Roman" w:cs="Times New Roman" w:eastAsia="Times New Roman" w:hAnsi="Times New Roman"/>
          <w:b w:val="1"/>
          <w:sz w:val="24"/>
          <w:szCs w:val="24"/>
          <w:rtl w:val="0"/>
        </w:rPr>
        <w:t xml:space="preserve">organize, collect, and securely share evidence or updates in real time.</w:t>
      </w:r>
      <w:r w:rsidDel="00000000" w:rsidR="00000000" w:rsidRPr="00000000">
        <w:rPr>
          <w:rtl w:val="0"/>
        </w:rPr>
      </w:r>
    </w:p>
    <w:p w:rsidR="00000000" w:rsidDel="00000000" w:rsidP="00000000" w:rsidRDefault="00000000" w:rsidRPr="00000000" w14:paraId="00000006">
      <w:pPr>
        <w:numPr>
          <w:ilvl w:val="0"/>
          <w:numId w:val="2"/>
        </w:numPr>
        <w:ind w:left="720" w:hanging="360"/>
      </w:pPr>
      <w:r w:rsidDel="00000000" w:rsidR="00000000" w:rsidRPr="00000000">
        <w:rPr>
          <w:rFonts w:ascii="Times New Roman" w:cs="Times New Roman" w:eastAsia="Times New Roman" w:hAnsi="Times New Roman"/>
          <w:b w:val="1"/>
          <w:sz w:val="24"/>
          <w:szCs w:val="24"/>
          <w:rtl w:val="0"/>
        </w:rPr>
        <w:t xml:space="preserve">Think about encrypting your documents</w:t>
      </w:r>
      <w:r w:rsidDel="00000000" w:rsidR="00000000" w:rsidRPr="00000000">
        <w:rPr>
          <w:rFonts w:ascii="Times New Roman" w:cs="Times New Roman" w:eastAsia="Times New Roman" w:hAnsi="Times New Roman"/>
          <w:sz w:val="24"/>
          <w:szCs w:val="24"/>
          <w:rtl w:val="0"/>
        </w:rPr>
        <w:t xml:space="preserve"> or identifying a </w:t>
      </w:r>
      <w:r w:rsidDel="00000000" w:rsidR="00000000" w:rsidRPr="00000000">
        <w:rPr>
          <w:rFonts w:ascii="Times New Roman" w:cs="Times New Roman" w:eastAsia="Times New Roman" w:hAnsi="Times New Roman"/>
          <w:b w:val="1"/>
          <w:sz w:val="24"/>
          <w:szCs w:val="24"/>
          <w:rtl w:val="0"/>
        </w:rPr>
        <w:t xml:space="preserve">secure method of delivery</w:t>
      </w:r>
      <w:r w:rsidDel="00000000" w:rsidR="00000000" w:rsidRPr="00000000">
        <w:rPr>
          <w:rFonts w:ascii="Times New Roman" w:cs="Times New Roman" w:eastAsia="Times New Roman" w:hAnsi="Times New Roman"/>
          <w:sz w:val="24"/>
          <w:szCs w:val="24"/>
          <w:rtl w:val="0"/>
        </w:rPr>
        <w:t xml:space="preserve"> for sensitive files.</w:t>
      </w:r>
      <w:r w:rsidDel="00000000" w:rsidR="00000000" w:rsidRPr="00000000">
        <w:rPr>
          <w:rtl w:val="0"/>
        </w:rPr>
      </w:r>
    </w:p>
    <w:p w:rsidR="00000000" w:rsidDel="00000000" w:rsidP="00000000" w:rsidRDefault="00000000" w:rsidRPr="00000000" w14:paraId="00000007">
      <w:pPr>
        <w:numPr>
          <w:ilvl w:val="0"/>
          <w:numId w:val="2"/>
        </w:numPr>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sz w:val="24"/>
          <w:szCs w:val="24"/>
          <w:highlight w:val="green"/>
          <w:rtl w:val="0"/>
        </w:rPr>
        <w:t xml:space="preserve">Comms Bonus Points:</w:t>
      </w:r>
      <w:r w:rsidDel="00000000" w:rsidR="00000000" w:rsidRPr="00000000">
        <w:rPr>
          <w:rFonts w:ascii="Times New Roman" w:cs="Times New Roman" w:eastAsia="Times New Roman" w:hAnsi="Times New Roman"/>
          <w:sz w:val="24"/>
          <w:szCs w:val="24"/>
          <w:rtl w:val="0"/>
        </w:rPr>
        <w:br w:type="textWrapping"/>
        <w:br w:type="textWrapping"/>
        <w:t xml:space="preserve">1. Incident Response</w:t>
      </w:r>
    </w:p>
    <w:p w:rsidR="00000000" w:rsidDel="00000000" w:rsidP="00000000" w:rsidRDefault="00000000" w:rsidRPr="00000000" w14:paraId="00000008">
      <w:pPr>
        <w:ind w:left="72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When the Incident is reported, submit an incident response form for submission to the dedicated shipboard personnel AND shoreside security team.</w:t>
        <w:br w:type="textWrapping"/>
        <w:br w:type="textWrapping"/>
        <w:t xml:space="preserve"> 2. The client is moving from AD to Entra and may move into a hybrid mode. </w:t>
        <w:br w:type="textWrapping"/>
        <w:tab/>
        <w:t xml:space="preserve">See below Recommendation Write Up to add to the report</w:t>
        <w:br w:type="textWrapping"/>
        <w:br w:type="textWrapping"/>
        <w:t xml:space="preserve">3. Client wants external confirmation to remain effective against today's threats. </w:t>
        <w:br w:type="textWrapping"/>
        <w:tab/>
        <w:t xml:space="preserve">Write Up about Ransomware Being Today's biggest threats. See below</w:t>
      </w:r>
    </w:p>
    <w:p w:rsidR="00000000" w:rsidDel="00000000" w:rsidP="00000000" w:rsidRDefault="00000000" w:rsidRPr="00000000" w14:paraId="00000009">
      <w:pPr>
        <w:ind w:left="72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A">
      <w:pPr>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4. Add a Section to the Report for what the client did well first!!!</w:t>
      </w:r>
    </w:p>
    <w:p w:rsidR="00000000" w:rsidDel="00000000" w:rsidP="00000000" w:rsidRDefault="00000000" w:rsidRPr="00000000" w14:paraId="0000000B">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C">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500688" cy="2219325"/>
            <wp:effectExtent b="0" l="0" r="0" t="0"/>
            <wp:docPr id="2"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5500688" cy="2219325"/>
                    </a:xfrm>
                    <a:prstGeom prst="rect"/>
                    <a:ln/>
                  </pic:spPr>
                </pic:pic>
              </a:graphicData>
            </a:graphic>
          </wp:inline>
        </w:drawing>
      </w:r>
      <w:r w:rsidDel="00000000" w:rsidR="00000000" w:rsidRPr="00000000">
        <w:rPr>
          <w:rtl w:val="0"/>
        </w:rPr>
      </w:r>
    </w:p>
    <w:p w:rsidR="00000000" w:rsidDel="00000000" w:rsidP="00000000" w:rsidRDefault="00000000" w:rsidRPr="00000000" w14:paraId="0000000D">
      <w:pPr>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sz w:val="24"/>
          <w:szCs w:val="24"/>
          <w:u w:val="single"/>
          <w:rtl w:val="0"/>
        </w:rPr>
        <w:t xml:space="preserve">Review Below and Take Note to the Verbiage</w:t>
      </w:r>
      <w:r w:rsidDel="00000000" w:rsidR="00000000" w:rsidRPr="00000000">
        <w:rPr>
          <w:rtl w:val="0"/>
        </w:rPr>
      </w:r>
    </w:p>
    <w:p w:rsidR="00000000" w:rsidDel="00000000" w:rsidP="00000000" w:rsidRDefault="00000000" w:rsidRPr="00000000" w14:paraId="0000000E">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0F">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0">
      <w:pP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1">
      <w:pPr>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12">
      <w:pP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943600" cy="3619500"/>
            <wp:effectExtent b="0" l="0" r="0" t="0"/>
            <wp:docPr id="1"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943600" cy="3619500"/>
                    </a:xfrm>
                    <a:prstGeom prst="rect"/>
                    <a:ln/>
                  </pic:spPr>
                </pic:pic>
              </a:graphicData>
            </a:graphic>
          </wp:inline>
        </w:drawing>
      </w:r>
      <w:r w:rsidDel="00000000" w:rsidR="00000000" w:rsidRPr="00000000">
        <w:rPr>
          <w:rtl w:val="0"/>
        </w:rPr>
      </w:r>
    </w:p>
    <w:p w:rsidR="00000000" w:rsidDel="00000000" w:rsidP="00000000" w:rsidRDefault="00000000" w:rsidRPr="00000000" w14:paraId="00000013">
      <w:pPr>
        <w:pStyle w:val="Heading2"/>
        <w:keepNext w:val="0"/>
        <w:keepLines w:val="0"/>
        <w:spacing w:after="80" w:lineRule="auto"/>
        <w:rPr>
          <w:rFonts w:ascii="Times New Roman" w:cs="Times New Roman" w:eastAsia="Times New Roman" w:hAnsi="Times New Roman"/>
          <w:sz w:val="22"/>
          <w:szCs w:val="22"/>
        </w:rPr>
      </w:pPr>
      <w:bookmarkStart w:colFirst="0" w:colLast="0" w:name="_x0esd57z54wr" w:id="1"/>
      <w:bookmarkEnd w:id="1"/>
      <w:r w:rsidDel="00000000" w:rsidR="00000000" w:rsidRPr="00000000">
        <w:rPr>
          <w:rFonts w:ascii="Times New Roman" w:cs="Times New Roman" w:eastAsia="Times New Roman" w:hAnsi="Times New Roman"/>
          <w:b w:val="1"/>
          <w:sz w:val="34"/>
          <w:szCs w:val="34"/>
          <w:rtl w:val="0"/>
        </w:rPr>
        <w:t xml:space="preserve">It's possible we could add the following …..</w:t>
        <w:br w:type="textWrapping"/>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4">
      <w:pPr>
        <w:pStyle w:val="Heading2"/>
        <w:keepNext w:val="0"/>
        <w:keepLines w:val="0"/>
        <w:spacing w:after="80" w:lineRule="auto"/>
        <w:rPr>
          <w:rFonts w:ascii="Times New Roman" w:cs="Times New Roman" w:eastAsia="Times New Roman" w:hAnsi="Times New Roman"/>
          <w:b w:val="1"/>
          <w:sz w:val="34"/>
          <w:szCs w:val="34"/>
        </w:rPr>
      </w:pPr>
      <w:bookmarkStart w:colFirst="0" w:colLast="0" w:name="_a31s9es7se3k" w:id="2"/>
      <w:bookmarkEnd w:id="2"/>
      <w:r w:rsidDel="00000000" w:rsidR="00000000" w:rsidRPr="00000000">
        <w:rPr>
          <w:rFonts w:ascii="Times New Roman" w:cs="Times New Roman" w:eastAsia="Times New Roman" w:hAnsi="Times New Roman"/>
          <w:b w:val="1"/>
          <w:sz w:val="34"/>
          <w:szCs w:val="34"/>
          <w:rtl w:val="0"/>
        </w:rPr>
        <w:t xml:space="preserve">1. Migration to Microsoft Entra and Hybrid Identity Planning</w:t>
      </w:r>
    </w:p>
    <w:p w:rsidR="00000000" w:rsidDel="00000000" w:rsidP="00000000" w:rsidRDefault="00000000" w:rsidRPr="00000000" w14:paraId="00000015">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The client is currently planning a migration from Microsoft Entra ID (Entra) — moving away from traditional Active Directory (AD) — and may adopt a hybrid identity model (on-premises + cloud). This transition represents a strategic move towards a more scalable, flexible identity and access management (IAM) structure. According to Microsoft documentation, hybrid identity “creates a common user identity for authentication and authorization to all resources, regardless of location.”</w:t>
      </w:r>
      <w:hyperlink r:id="rId8">
        <w:r w:rsidDel="00000000" w:rsidR="00000000" w:rsidRPr="00000000">
          <w:rPr>
            <w:rFonts w:ascii="Times New Roman" w:cs="Times New Roman" w:eastAsia="Times New Roman" w:hAnsi="Times New Roman"/>
            <w:rtl w:val="0"/>
          </w:rPr>
          <w:t xml:space="preserve"> </w:t>
        </w:r>
      </w:hyperlink>
      <w:hyperlink r:id="rId9">
        <w:r w:rsidDel="00000000" w:rsidR="00000000" w:rsidRPr="00000000">
          <w:rPr>
            <w:rFonts w:ascii="Times New Roman" w:cs="Times New Roman" w:eastAsia="Times New Roman" w:hAnsi="Times New Roman"/>
            <w:color w:val="1155cc"/>
            <w:u w:val="single"/>
            <w:rtl w:val="0"/>
          </w:rPr>
          <w:t xml:space="preserve">Microsoft Learn+1</w:t>
        </w:r>
      </w:hyperlink>
      <w:r w:rsidDel="00000000" w:rsidR="00000000" w:rsidRPr="00000000">
        <w:rPr>
          <w:rtl w:val="0"/>
        </w:rPr>
      </w:r>
    </w:p>
    <w:p w:rsidR="00000000" w:rsidDel="00000000" w:rsidP="00000000" w:rsidRDefault="00000000" w:rsidRPr="00000000" w14:paraId="00000016">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By moving to Entra, the organization can strengthen its security posture through advanced capabilities such as Conditional Access, MFA, and consolidated identity governance. A recent commissioned study by Forrester Research found that organisations adopting the Entra Suite achieved a </w:t>
      </w:r>
      <w:r w:rsidDel="00000000" w:rsidR="00000000" w:rsidRPr="00000000">
        <w:rPr>
          <w:rFonts w:ascii="Times New Roman" w:cs="Times New Roman" w:eastAsia="Times New Roman" w:hAnsi="Times New Roman"/>
          <w:b w:val="1"/>
          <w:rtl w:val="0"/>
        </w:rPr>
        <w:t xml:space="preserve">240 % ROI</w:t>
      </w:r>
      <w:r w:rsidDel="00000000" w:rsidR="00000000" w:rsidRPr="00000000">
        <w:rPr>
          <w:rFonts w:ascii="Times New Roman" w:cs="Times New Roman" w:eastAsia="Times New Roman" w:hAnsi="Times New Roman"/>
          <w:rtl w:val="0"/>
        </w:rPr>
        <w:t xml:space="preserve"> and significantly reduced identity-related risks and vendor sprawl.</w:t>
      </w:r>
      <w:hyperlink r:id="rId10">
        <w:r w:rsidDel="00000000" w:rsidR="00000000" w:rsidRPr="00000000">
          <w:rPr>
            <w:rFonts w:ascii="Times New Roman" w:cs="Times New Roman" w:eastAsia="Times New Roman" w:hAnsi="Times New Roman"/>
            <w:rtl w:val="0"/>
          </w:rPr>
          <w:t xml:space="preserve"> </w:t>
        </w:r>
      </w:hyperlink>
      <w:hyperlink r:id="rId11">
        <w:r w:rsidDel="00000000" w:rsidR="00000000" w:rsidRPr="00000000">
          <w:rPr>
            <w:rFonts w:ascii="Times New Roman" w:cs="Times New Roman" w:eastAsia="Times New Roman" w:hAnsi="Times New Roman"/>
            <w:color w:val="1155cc"/>
            <w:u w:val="single"/>
            <w:rtl w:val="0"/>
          </w:rPr>
          <w:t xml:space="preserve">Microsoft+1</w:t>
        </w:r>
      </w:hyperlink>
      <w:r w:rsidDel="00000000" w:rsidR="00000000" w:rsidRPr="00000000">
        <w:rPr>
          <w:rtl w:val="0"/>
        </w:rPr>
      </w:r>
    </w:p>
    <w:p w:rsidR="00000000" w:rsidDel="00000000" w:rsidP="00000000" w:rsidRDefault="00000000" w:rsidRPr="00000000" w14:paraId="00000017">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When adopting a hybrid model, the client retains on-premises infrastructure where needed (e.g., legacy apps) while leveraging Entra’s cloud-native identity services for newer applications and remote access scenarios. For this migration to be successful, it’s recommended that the team assesses existing identity footprints (users, groups, privileges, dependencies), plans synchronization strategies (e.g., Azure AD Connect), and enables security-centric features such as Entra Identity Protection and Privileged Identity Management (PIM). These steps help mitigate credential-based risks and over-privileged access.</w:t>
      </w:r>
      <w:hyperlink r:id="rId12">
        <w:r w:rsidDel="00000000" w:rsidR="00000000" w:rsidRPr="00000000">
          <w:rPr>
            <w:rFonts w:ascii="Times New Roman" w:cs="Times New Roman" w:eastAsia="Times New Roman" w:hAnsi="Times New Roman"/>
            <w:rtl w:val="0"/>
          </w:rPr>
          <w:t xml:space="preserve"> </w:t>
        </w:r>
      </w:hyperlink>
      <w:hyperlink r:id="rId13">
        <w:r w:rsidDel="00000000" w:rsidR="00000000" w:rsidRPr="00000000">
          <w:rPr>
            <w:rFonts w:ascii="Times New Roman" w:cs="Times New Roman" w:eastAsia="Times New Roman" w:hAnsi="Times New Roman"/>
            <w:color w:val="1155cc"/>
            <w:u w:val="single"/>
            <w:rtl w:val="0"/>
          </w:rPr>
          <w:t xml:space="preserve">Kocho</w:t>
        </w:r>
      </w:hyperlink>
      <w:r w:rsidDel="00000000" w:rsidR="00000000" w:rsidRPr="00000000">
        <w:rPr>
          <w:rtl w:val="0"/>
        </w:rPr>
      </w:r>
    </w:p>
    <w:p w:rsidR="00000000" w:rsidDel="00000000" w:rsidP="00000000" w:rsidRDefault="00000000" w:rsidRPr="00000000" w14:paraId="00000018">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Modern identity platforms also tie directly into threat-monitoring and detection capabilities. For example, Entra’s integration with broader Defender tools enables real-time visibility across cloud and on-premises identity systems.</w:t>
      </w:r>
      <w:hyperlink r:id="rId14">
        <w:r w:rsidDel="00000000" w:rsidR="00000000" w:rsidRPr="00000000">
          <w:rPr>
            <w:rFonts w:ascii="Times New Roman" w:cs="Times New Roman" w:eastAsia="Times New Roman" w:hAnsi="Times New Roman"/>
            <w:rtl w:val="0"/>
          </w:rPr>
          <w:t xml:space="preserve"> </w:t>
        </w:r>
      </w:hyperlink>
      <w:hyperlink r:id="rId15">
        <w:r w:rsidDel="00000000" w:rsidR="00000000" w:rsidRPr="00000000">
          <w:rPr>
            <w:rFonts w:ascii="Times New Roman" w:cs="Times New Roman" w:eastAsia="Times New Roman" w:hAnsi="Times New Roman"/>
            <w:color w:val="1155cc"/>
            <w:u w:val="single"/>
            <w:rtl w:val="0"/>
          </w:rPr>
          <w:t xml:space="preserve">Microsoft</w:t>
        </w:r>
      </w:hyperlink>
      <w:r w:rsidDel="00000000" w:rsidR="00000000" w:rsidRPr="00000000">
        <w:rPr>
          <w:rtl w:val="0"/>
        </w:rPr>
      </w:r>
    </w:p>
    <w:p w:rsidR="00000000" w:rsidDel="00000000" w:rsidP="00000000" w:rsidRDefault="00000000" w:rsidRPr="00000000" w14:paraId="00000019">
      <w:pPr>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A">
      <w:pPr>
        <w:pStyle w:val="Heading2"/>
        <w:keepNext w:val="0"/>
        <w:keepLines w:val="0"/>
        <w:spacing w:after="80" w:lineRule="auto"/>
        <w:rPr>
          <w:rFonts w:ascii="Times New Roman" w:cs="Times New Roman" w:eastAsia="Times New Roman" w:hAnsi="Times New Roman"/>
          <w:b w:val="1"/>
          <w:sz w:val="34"/>
          <w:szCs w:val="34"/>
        </w:rPr>
      </w:pPr>
      <w:bookmarkStart w:colFirst="0" w:colLast="0" w:name="_lrdxvuxrrvyn" w:id="3"/>
      <w:bookmarkEnd w:id="3"/>
      <w:r w:rsidDel="00000000" w:rsidR="00000000" w:rsidRPr="00000000">
        <w:rPr>
          <w:rFonts w:ascii="Times New Roman" w:cs="Times New Roman" w:eastAsia="Times New Roman" w:hAnsi="Times New Roman"/>
          <w:b w:val="1"/>
          <w:sz w:val="34"/>
          <w:szCs w:val="34"/>
          <w:rtl w:val="0"/>
        </w:rPr>
        <w:t xml:space="preserve">2. Ransomware as a Major Threat and the Value of External Validation</w:t>
      </w:r>
    </w:p>
    <w:p w:rsidR="00000000" w:rsidDel="00000000" w:rsidP="00000000" w:rsidRDefault="00000000" w:rsidRPr="00000000" w14:paraId="0000001B">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Ransomware continues to impose one of the most pervasive threats in today’s cybersecurity landscape. According to the Sophos “State of Ransomware 2025” report, the average cost to recover from a ransomware incident (excluding any ransom paid) reached approximately </w:t>
      </w:r>
      <w:r w:rsidDel="00000000" w:rsidR="00000000" w:rsidRPr="00000000">
        <w:rPr>
          <w:rFonts w:ascii="Times New Roman" w:cs="Times New Roman" w:eastAsia="Times New Roman" w:hAnsi="Times New Roman"/>
          <w:b w:val="1"/>
          <w:rtl w:val="0"/>
        </w:rPr>
        <w:t xml:space="preserve">US $1.53 million</w:t>
      </w:r>
      <w:r w:rsidDel="00000000" w:rsidR="00000000" w:rsidRPr="00000000">
        <w:rPr>
          <w:rFonts w:ascii="Times New Roman" w:cs="Times New Roman" w:eastAsia="Times New Roman" w:hAnsi="Times New Roman"/>
          <w:rtl w:val="0"/>
        </w:rPr>
        <w:t xml:space="preserve"> globally.</w:t>
      </w:r>
      <w:hyperlink r:id="rId16">
        <w:r w:rsidDel="00000000" w:rsidR="00000000" w:rsidRPr="00000000">
          <w:rPr>
            <w:rFonts w:ascii="Times New Roman" w:cs="Times New Roman" w:eastAsia="Times New Roman" w:hAnsi="Times New Roman"/>
            <w:rtl w:val="0"/>
          </w:rPr>
          <w:t xml:space="preserve"> </w:t>
        </w:r>
      </w:hyperlink>
      <w:hyperlink r:id="rId17">
        <w:r w:rsidDel="00000000" w:rsidR="00000000" w:rsidRPr="00000000">
          <w:rPr>
            <w:rFonts w:ascii="Times New Roman" w:cs="Times New Roman" w:eastAsia="Times New Roman" w:hAnsi="Times New Roman"/>
            <w:color w:val="1155cc"/>
            <w:u w:val="single"/>
            <w:rtl w:val="0"/>
          </w:rPr>
          <w:t xml:space="preserve">Bright Defense+1</w:t>
        </w:r>
      </w:hyperlink>
      <w:r w:rsidDel="00000000" w:rsidR="00000000" w:rsidRPr="00000000">
        <w:rPr>
          <w:rtl w:val="0"/>
        </w:rPr>
      </w:r>
    </w:p>
    <w:p w:rsidR="00000000" w:rsidDel="00000000" w:rsidP="00000000" w:rsidRDefault="00000000" w:rsidRPr="00000000" w14:paraId="0000001C">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In a separate global study by CrowdStrike, </w:t>
      </w:r>
      <w:r w:rsidDel="00000000" w:rsidR="00000000" w:rsidRPr="00000000">
        <w:rPr>
          <w:rFonts w:ascii="Times New Roman" w:cs="Times New Roman" w:eastAsia="Times New Roman" w:hAnsi="Times New Roman"/>
          <w:b w:val="1"/>
          <w:rtl w:val="0"/>
        </w:rPr>
        <w:t xml:space="preserve">78 %</w:t>
      </w:r>
      <w:r w:rsidDel="00000000" w:rsidR="00000000" w:rsidRPr="00000000">
        <w:rPr>
          <w:rFonts w:ascii="Times New Roman" w:cs="Times New Roman" w:eastAsia="Times New Roman" w:hAnsi="Times New Roman"/>
          <w:rtl w:val="0"/>
        </w:rPr>
        <w:t xml:space="preserve"> of respondent organisations reported being hit by ransomware in the past year, yet only </w:t>
      </w:r>
      <w:r w:rsidDel="00000000" w:rsidR="00000000" w:rsidRPr="00000000">
        <w:rPr>
          <w:rFonts w:ascii="Times New Roman" w:cs="Times New Roman" w:eastAsia="Times New Roman" w:hAnsi="Times New Roman"/>
          <w:b w:val="1"/>
          <w:rtl w:val="0"/>
        </w:rPr>
        <w:t xml:space="preserve">22 %</w:t>
      </w:r>
      <w:r w:rsidDel="00000000" w:rsidR="00000000" w:rsidRPr="00000000">
        <w:rPr>
          <w:rFonts w:ascii="Times New Roman" w:cs="Times New Roman" w:eastAsia="Times New Roman" w:hAnsi="Times New Roman"/>
          <w:rtl w:val="0"/>
        </w:rPr>
        <w:t xml:space="preserve"> of victims who believed they were “very well prepared” managed to recover within 24 hours.</w:t>
      </w:r>
      <w:hyperlink r:id="rId18">
        <w:r w:rsidDel="00000000" w:rsidR="00000000" w:rsidRPr="00000000">
          <w:rPr>
            <w:rFonts w:ascii="Times New Roman" w:cs="Times New Roman" w:eastAsia="Times New Roman" w:hAnsi="Times New Roman"/>
            <w:rtl w:val="0"/>
          </w:rPr>
          <w:t xml:space="preserve"> </w:t>
        </w:r>
      </w:hyperlink>
      <w:hyperlink r:id="rId19">
        <w:r w:rsidDel="00000000" w:rsidR="00000000" w:rsidRPr="00000000">
          <w:rPr>
            <w:rFonts w:ascii="Times New Roman" w:cs="Times New Roman" w:eastAsia="Times New Roman" w:hAnsi="Times New Roman"/>
            <w:color w:val="1155cc"/>
            <w:u w:val="single"/>
            <w:rtl w:val="0"/>
          </w:rPr>
          <w:t xml:space="preserve">CrowdStrike</w:t>
        </w:r>
      </w:hyperlink>
      <w:r w:rsidDel="00000000" w:rsidR="00000000" w:rsidRPr="00000000">
        <w:rPr>
          <w:rtl w:val="0"/>
        </w:rPr>
      </w:r>
    </w:p>
    <w:p w:rsidR="00000000" w:rsidDel="00000000" w:rsidP="00000000" w:rsidRDefault="00000000" w:rsidRPr="00000000" w14:paraId="0000001D">
      <w:pPr>
        <w:spacing w:after="240" w:before="240" w:lineRule="auto"/>
        <w:rPr>
          <w:rFonts w:ascii="Times New Roman" w:cs="Times New Roman" w:eastAsia="Times New Roman" w:hAnsi="Times New Roman"/>
          <w:color w:val="1155cc"/>
          <w:u w:val="single"/>
        </w:rPr>
      </w:pPr>
      <w:r w:rsidDel="00000000" w:rsidR="00000000" w:rsidRPr="00000000">
        <w:rPr>
          <w:rFonts w:ascii="Times New Roman" w:cs="Times New Roman" w:eastAsia="Times New Roman" w:hAnsi="Times New Roman"/>
          <w:rtl w:val="0"/>
        </w:rPr>
        <w:t xml:space="preserve">In terms of identity and access risk, a 2024 report by SpyCloud found that </w:t>
      </w:r>
      <w:r w:rsidDel="00000000" w:rsidR="00000000" w:rsidRPr="00000000">
        <w:rPr>
          <w:rFonts w:ascii="Times New Roman" w:cs="Times New Roman" w:eastAsia="Times New Roman" w:hAnsi="Times New Roman"/>
          <w:b w:val="1"/>
          <w:rtl w:val="0"/>
        </w:rPr>
        <w:t xml:space="preserve">91 %</w:t>
      </w:r>
      <w:r w:rsidDel="00000000" w:rsidR="00000000" w:rsidRPr="00000000">
        <w:rPr>
          <w:rFonts w:ascii="Times New Roman" w:cs="Times New Roman" w:eastAsia="Times New Roman" w:hAnsi="Times New Roman"/>
          <w:rtl w:val="0"/>
        </w:rPr>
        <w:t xml:space="preserve"> of organisations reported an identity-related breach in the past year—highlighting how identity remains a major attack vector.</w:t>
      </w:r>
      <w:hyperlink r:id="rId20">
        <w:r w:rsidDel="00000000" w:rsidR="00000000" w:rsidRPr="00000000">
          <w:rPr>
            <w:rFonts w:ascii="Times New Roman" w:cs="Times New Roman" w:eastAsia="Times New Roman" w:hAnsi="Times New Roman"/>
            <w:rtl w:val="0"/>
          </w:rPr>
          <w:t xml:space="preserve"> </w:t>
        </w:r>
      </w:hyperlink>
      <w:hyperlink r:id="rId21">
        <w:r w:rsidDel="00000000" w:rsidR="00000000" w:rsidRPr="00000000">
          <w:rPr>
            <w:rFonts w:ascii="Times New Roman" w:cs="Times New Roman" w:eastAsia="Times New Roman" w:hAnsi="Times New Roman"/>
            <w:color w:val="1155cc"/>
            <w:u w:val="single"/>
            <w:rtl w:val="0"/>
          </w:rPr>
          <w:t xml:space="preserve">SpyCloud</w:t>
        </w:r>
      </w:hyperlink>
      <w:r w:rsidDel="00000000" w:rsidR="00000000" w:rsidRPr="00000000">
        <w:rPr>
          <w:rtl w:val="0"/>
        </w:rPr>
      </w:r>
    </w:p>
    <w:p w:rsidR="00000000" w:rsidDel="00000000" w:rsidP="00000000" w:rsidRDefault="00000000" w:rsidRPr="00000000" w14:paraId="0000001E">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Given these trends, external validation of security controls (penetration testing, red-team exercises, third-party audits) becomes critical to maintain resilience. External validation helps confirm that identity controls, detection capabilities, and recovery processes are working as intended—not just configured. This aligns with best practices for defending against highly targeted ransomware campaigns that exploit identity weaknesses, lateral movement opportunities, and mis-configured access.</w:t>
      </w:r>
    </w:p>
    <w:p w:rsidR="00000000" w:rsidDel="00000000" w:rsidP="00000000" w:rsidRDefault="00000000" w:rsidRPr="00000000" w14:paraId="0000001F">
      <w:pPr>
        <w:spacing w:after="240" w:before="24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By pairing the migration to Entra with external validation, the organisation can:</w:t>
      </w:r>
    </w:p>
    <w:p w:rsidR="00000000" w:rsidDel="00000000" w:rsidP="00000000" w:rsidRDefault="00000000" w:rsidRPr="00000000" w14:paraId="00000020">
      <w:pPr>
        <w:numPr>
          <w:ilvl w:val="0"/>
          <w:numId w:val="1"/>
        </w:numPr>
        <w:spacing w:after="0" w:afterAutospacing="0" w:before="24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Ensure the new hybrid identity architecture is configured securely and supports modern threat-detection.</w:t>
        <w:br w:type="textWrapping"/>
      </w:r>
    </w:p>
    <w:p w:rsidR="00000000" w:rsidDel="00000000" w:rsidP="00000000" w:rsidRDefault="00000000" w:rsidRPr="00000000" w14:paraId="00000021">
      <w:pPr>
        <w:numPr>
          <w:ilvl w:val="0"/>
          <w:numId w:val="1"/>
        </w:numPr>
        <w:spacing w:after="0" w:afterAutospacing="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Confirm that identity-based access controls (MFA, least-privilege, conditional access) are enforced and effective.</w:t>
        <w:br w:type="textWrapping"/>
      </w:r>
    </w:p>
    <w:p w:rsidR="00000000" w:rsidDel="00000000" w:rsidP="00000000" w:rsidRDefault="00000000" w:rsidRPr="00000000" w14:paraId="00000022">
      <w:pPr>
        <w:numPr>
          <w:ilvl w:val="0"/>
          <w:numId w:val="1"/>
        </w:numPr>
        <w:spacing w:after="240" w:before="0" w:beforeAutospacing="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Validate recovery and incident-response capabilities in the event of a ransomware or identity-compromise incident.</w:t>
      </w:r>
    </w:p>
    <w:p w:rsidR="00000000" w:rsidDel="00000000" w:rsidP="00000000" w:rsidRDefault="00000000" w:rsidRPr="00000000" w14:paraId="00000023">
      <w:pPr>
        <w:rPr>
          <w:rFonts w:ascii="Times New Roman" w:cs="Times New Roman" w:eastAsia="Times New Roman" w:hAnsi="Times New Roman"/>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20" Type="http://schemas.openxmlformats.org/officeDocument/2006/relationships/hyperlink" Target="https://spycloud.com/blog/cybersecurity-industry-statistics-account-takeover-ransomware-data-breaches-bec-fraud/?utm_source=chatgpt.com" TargetMode="External"/><Relationship Id="rId11" Type="http://schemas.openxmlformats.org/officeDocument/2006/relationships/hyperlink" Target="https://www.microsoft.com/en-us/security/blog/2023/04/20/microsoft-entra-delivers-240-percent-roi-according-to-new-forrester-study/?utm_source=chatgpt.com" TargetMode="External"/><Relationship Id="rId10" Type="http://schemas.openxmlformats.org/officeDocument/2006/relationships/hyperlink" Target="https://www.microsoft.com/en-us/security/blog/2023/04/20/microsoft-entra-delivers-240-percent-roi-according-to-new-forrester-study/?utm_source=chatgpt.com" TargetMode="External"/><Relationship Id="rId21" Type="http://schemas.openxmlformats.org/officeDocument/2006/relationships/hyperlink" Target="https://spycloud.com/blog/cybersecurity-industry-statistics-account-takeover-ransomware-data-breaches-bec-fraud/?utm_source=chatgpt.com" TargetMode="External"/><Relationship Id="rId13" Type="http://schemas.openxmlformats.org/officeDocument/2006/relationships/hyperlink" Target="https://kocho.co.uk/blog/7-business-benefits-microsoft-entra-id/?utm_source=chatgpt.com" TargetMode="External"/><Relationship Id="rId12" Type="http://schemas.openxmlformats.org/officeDocument/2006/relationships/hyperlink" Target="https://kocho.co.uk/blog/7-business-benefits-microsoft-entra-id/?utm_source=chatgpt.com"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learn.microsoft.com/en-us/entra/identity/hybrid/whatis-hybrid-identity?utm_source=chatgpt.com" TargetMode="External"/><Relationship Id="rId15" Type="http://schemas.openxmlformats.org/officeDocument/2006/relationships/hyperlink" Target="https://www.microsoft.com/en-us/security/blog/2025/07/31/modernize-your-identity-defense-with-microsoft-identity-threat-detection-and-response/?utm_source=chatgpt.com" TargetMode="External"/><Relationship Id="rId14" Type="http://schemas.openxmlformats.org/officeDocument/2006/relationships/hyperlink" Target="https://www.microsoft.com/en-us/security/blog/2025/07/31/modernize-your-identity-defense-with-microsoft-identity-threat-detection-and-response/?utm_source=chatgpt.com" TargetMode="External"/><Relationship Id="rId17" Type="http://schemas.openxmlformats.org/officeDocument/2006/relationships/hyperlink" Target="https://www.brightdefense.com/resources/ransomware-statistics/?utm_source=chatgpt.com" TargetMode="External"/><Relationship Id="rId16" Type="http://schemas.openxmlformats.org/officeDocument/2006/relationships/hyperlink" Target="https://www.brightdefense.com/resources/ransomware-statistics/?utm_source=chatgpt.com" TargetMode="External"/><Relationship Id="rId5" Type="http://schemas.openxmlformats.org/officeDocument/2006/relationships/styles" Target="styles.xml"/><Relationship Id="rId19" Type="http://schemas.openxmlformats.org/officeDocument/2006/relationships/hyperlink" Target="https://www.crowdstrike.com/en-us/resources/reports/state-of-ransomware-survey/?utm_source=chatgpt.com" TargetMode="External"/><Relationship Id="rId6" Type="http://schemas.openxmlformats.org/officeDocument/2006/relationships/image" Target="media/image1.png"/><Relationship Id="rId18" Type="http://schemas.openxmlformats.org/officeDocument/2006/relationships/hyperlink" Target="https://www.crowdstrike.com/en-us/resources/reports/state-of-ransomware-survey/?utm_source=chatgpt.com" TargetMode="External"/><Relationship Id="rId7" Type="http://schemas.openxmlformats.org/officeDocument/2006/relationships/image" Target="media/image2.png"/><Relationship Id="rId8" Type="http://schemas.openxmlformats.org/officeDocument/2006/relationships/hyperlink" Target="https://learn.microsoft.com/en-us/entra/identity/hybrid/whatis-hybrid-identity?utm_source=chatgpt.co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