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F4FC" w14:textId="4982A190" w:rsidR="0067231D" w:rsidRPr="0067231D" w:rsidRDefault="0067231D" w:rsidP="0067231D">
      <w:pPr>
        <w:pStyle w:val="Heading1"/>
        <w:rPr>
          <w:rFonts w:eastAsia="Times New Roman"/>
        </w:rPr>
      </w:pPr>
      <w:r>
        <w:rPr>
          <w:rFonts w:eastAsia="Times New Roman"/>
        </w:rPr>
        <w:t>Business Memorandum – Inject Response</w:t>
      </w:r>
    </w:p>
    <w:p w14:paraId="0C712EA8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4691"/>
      </w:tblGrid>
      <w:tr w:rsidR="0067231D" w:rsidRPr="0067231D" w14:paraId="5F8B87EA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7A4F7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To: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91F0" w14:textId="392C5281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kern w:val="0"/>
                <w14:ligatures w14:val="none"/>
              </w:rPr>
              <w:t>All Ports Tours Security Team</w:t>
            </w:r>
          </w:p>
        </w:tc>
      </w:tr>
      <w:tr w:rsidR="0067231D" w:rsidRPr="0067231D" w14:paraId="157A8481" w14:textId="77777777">
        <w:trPr>
          <w:trHeight w:val="2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1326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From: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44F0" w14:textId="2B845D5E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proofErr w:type="spellStart"/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NetRunners</w:t>
            </w:r>
            <w:proofErr w:type="spellEnd"/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 xml:space="preserve"> Security Consulting</w:t>
            </w: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7231D" w:rsidRPr="0067231D" w14:paraId="5B2E1B51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A101F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4524" w14:textId="34513B62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kern w:val="0"/>
                <w14:ligatures w14:val="none"/>
              </w:rPr>
              <w:t>October 18</w:t>
            </w:r>
            <w:r w:rsidRPr="0067231D">
              <w:rPr>
                <w:rFonts w:ascii="Grandview" w:eastAsia="Times New Roman" w:hAnsi="Grandview" w:cs="Times New Roman"/>
                <w:kern w:val="0"/>
                <w:vertAlign w:val="superscript"/>
                <w14:ligatures w14:val="none"/>
              </w:rPr>
              <w:t>th</w:t>
            </w:r>
            <w:r w:rsidRPr="0067231D">
              <w:rPr>
                <w:rFonts w:ascii="Grandview" w:eastAsia="Times New Roman" w:hAnsi="Grandview" w:cs="Times New Roman"/>
                <w:kern w:val="0"/>
                <w14:ligatures w14:val="none"/>
              </w:rPr>
              <w:t>, 2025</w:t>
            </w:r>
          </w:p>
        </w:tc>
      </w:tr>
      <w:tr w:rsidR="0067231D" w:rsidRPr="0067231D" w14:paraId="23F174DA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AD6D5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Subject: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6C23" w14:textId="71BAB9FA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Inject Response</w:t>
            </w:r>
          </w:p>
        </w:tc>
      </w:tr>
      <w:tr w:rsidR="0067231D" w:rsidRPr="0067231D" w14:paraId="7A77D9C4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C8586" w14:textId="1004434E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Ref: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0D3E" w14:textId="3AE3705D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In reference to the inject</w:t>
            </w:r>
          </w:p>
        </w:tc>
      </w:tr>
      <w:tr w:rsidR="0067231D" w:rsidRPr="0067231D" w14:paraId="3D5AAC54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1C20" w14:textId="2236165A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Action</w:t>
            </w:r>
          </w:p>
          <w:p w14:paraId="4A45F56E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Required: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55D3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</w:p>
          <w:p w14:paraId="111A69D4" w14:textId="3729D583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Required if security mishaps are existent</w:t>
            </w: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A91E2D6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17DCC736" w14:textId="77777777" w:rsidR="0067231D" w:rsidRPr="0067231D" w:rsidRDefault="00275CE3" w:rsidP="0067231D">
      <w:pPr>
        <w:rPr>
          <w:rFonts w:ascii="Grandview" w:eastAsia="Times New Roman" w:hAnsi="Grandview" w:cs="Times New Roman"/>
          <w:kern w:val="0"/>
          <w14:ligatures w14:val="none"/>
        </w:rPr>
      </w:pPr>
      <w:r w:rsidRPr="00275CE3">
        <w:rPr>
          <w:rFonts w:ascii="Grandview" w:eastAsia="Times New Roman" w:hAnsi="Grandview" w:cs="Times New Roman"/>
          <w:noProof/>
          <w:kern w:val="0"/>
        </w:rPr>
        <w:pict w14:anchorId="7BB637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E3322A" w14:textId="77777777" w:rsidR="0067231D" w:rsidRDefault="0067231D" w:rsidP="0067231D">
      <w:pPr>
        <w:rPr>
          <w:rFonts w:ascii="Grandview" w:eastAsia="Times New Roman" w:hAnsi="Grandvie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BD327A1" w14:textId="3CE07B33" w:rsidR="0067231D" w:rsidRDefault="0067231D" w:rsidP="0067231D">
      <w:pPr>
        <w:pStyle w:val="Heading2"/>
        <w:rPr>
          <w:rFonts w:eastAsia="Times New Roman"/>
        </w:rPr>
      </w:pPr>
      <w:r w:rsidRPr="0067231D">
        <w:rPr>
          <w:rFonts w:eastAsia="Times New Roman"/>
        </w:rPr>
        <w:t>SUMMARY</w:t>
      </w:r>
    </w:p>
    <w:p w14:paraId="6BF24EAA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76667561" w14:textId="1B3D03C2" w:rsidR="0067231D" w:rsidRPr="0067231D" w:rsidRDefault="0067231D" w:rsidP="0067231D">
      <w:pPr>
        <w:rPr>
          <w:rFonts w:ascii="Grandview" w:eastAsia="Times New Roman" w:hAnsi="Grandview" w:cs="Arial"/>
          <w:color w:val="000000"/>
          <w:kern w:val="0"/>
          <w:sz w:val="22"/>
          <w:szCs w:val="22"/>
          <w14:ligatures w14:val="none"/>
        </w:rPr>
      </w:pPr>
      <w:r>
        <w:rPr>
          <w:rFonts w:ascii="Grandview" w:eastAsia="Times New Roman" w:hAnsi="Grandview" w:cs="Times New Roman"/>
          <w:color w:val="000000"/>
          <w:kern w:val="0"/>
          <w:sz w:val="22"/>
          <w:szCs w:val="22"/>
          <w14:ligatures w14:val="none"/>
        </w:rPr>
        <w:t>Inject Response</w:t>
      </w:r>
    </w:p>
    <w:p w14:paraId="53B1F636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623F854B" w14:textId="77777777" w:rsidR="000E78DD" w:rsidRPr="0067231D" w:rsidRDefault="000E78DD">
      <w:pPr>
        <w:rPr>
          <w:rFonts w:ascii="Grandview" w:hAnsi="Grandview"/>
        </w:rPr>
      </w:pPr>
    </w:p>
    <w:sectPr w:rsidR="000E78DD" w:rsidRPr="006723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05892" w14:textId="77777777" w:rsidR="00275CE3" w:rsidRDefault="00275CE3" w:rsidP="0067231D">
      <w:r>
        <w:separator/>
      </w:r>
    </w:p>
  </w:endnote>
  <w:endnote w:type="continuationSeparator" w:id="0">
    <w:p w14:paraId="3398DA61" w14:textId="77777777" w:rsidR="00275CE3" w:rsidRDefault="00275CE3" w:rsidP="0067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3B183" w14:textId="108289A6" w:rsidR="0067231D" w:rsidRDefault="0067231D">
    <w:pPr>
      <w:pStyle w:val="Footer"/>
    </w:pPr>
    <w:proofErr w:type="spellStart"/>
    <w:r>
      <w:t>NetRunners</w:t>
    </w:r>
    <w:proofErr w:type="spellEnd"/>
    <w:r>
      <w:t xml:space="preserve">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780F4" w14:textId="77777777" w:rsidR="00275CE3" w:rsidRDefault="00275CE3" w:rsidP="0067231D">
      <w:r>
        <w:separator/>
      </w:r>
    </w:p>
  </w:footnote>
  <w:footnote w:type="continuationSeparator" w:id="0">
    <w:p w14:paraId="1B54B667" w14:textId="77777777" w:rsidR="00275CE3" w:rsidRDefault="00275CE3" w:rsidP="0067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A3B"/>
    <w:multiLevelType w:val="multilevel"/>
    <w:tmpl w:val="92C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D"/>
    <w:rsid w:val="000E78DD"/>
    <w:rsid w:val="00181974"/>
    <w:rsid w:val="001B536A"/>
    <w:rsid w:val="00275CE3"/>
    <w:rsid w:val="005D6435"/>
    <w:rsid w:val="0067231D"/>
    <w:rsid w:val="008976DF"/>
    <w:rsid w:val="009D4703"/>
    <w:rsid w:val="00BB4141"/>
    <w:rsid w:val="00D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9A35"/>
  <w15:chartTrackingRefBased/>
  <w15:docId w15:val="{B2CC4046-EC33-1D49-9C07-ED525E6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Web"/>
    <w:link w:val="CodeblockChar"/>
    <w:autoRedefine/>
    <w:qFormat/>
    <w:rsid w:val="008976DF"/>
    <w:pPr>
      <w:pBdr>
        <w:top w:val="single" w:sz="6" w:space="1" w:color="171717" w:themeColor="background2" w:themeShade="1A"/>
        <w:left w:val="single" w:sz="6" w:space="4" w:color="171717" w:themeColor="background2" w:themeShade="1A"/>
        <w:bottom w:val="single" w:sz="6" w:space="1" w:color="171717" w:themeColor="background2" w:themeShade="1A"/>
        <w:right w:val="single" w:sz="6" w:space="4" w:color="171717" w:themeColor="background2" w:themeShade="1A"/>
      </w:pBdr>
      <w:shd w:val="pct15" w:color="auto" w:fill="auto"/>
      <w:spacing w:before="100" w:beforeAutospacing="1" w:after="100" w:afterAutospacing="1"/>
    </w:pPr>
    <w:rPr>
      <w:rFonts w:ascii="Courier New" w:eastAsiaTheme="majorEastAsia" w:hAnsi="Courier New"/>
      <w:color w:val="010C24"/>
    </w:rPr>
  </w:style>
  <w:style w:type="character" w:customStyle="1" w:styleId="CodeblockChar">
    <w:name w:val="Codeblock Char"/>
    <w:basedOn w:val="DefaultParagraphFont"/>
    <w:link w:val="Codeblock"/>
    <w:rsid w:val="008976DF"/>
    <w:rPr>
      <w:rFonts w:ascii="Courier New" w:eastAsiaTheme="majorEastAsia" w:hAnsi="Courier New" w:cs="Times New Roman"/>
      <w:color w:val="010C24"/>
      <w:shd w:val="pct15" w:color="auto" w:fill="auto"/>
    </w:rPr>
  </w:style>
  <w:style w:type="paragraph" w:styleId="NormalWeb">
    <w:name w:val="Normal (Web)"/>
    <w:basedOn w:val="Normal"/>
    <w:uiPriority w:val="99"/>
    <w:semiHidden/>
    <w:unhideWhenUsed/>
    <w:rsid w:val="008976DF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2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31D"/>
  </w:style>
  <w:style w:type="paragraph" w:styleId="Footer">
    <w:name w:val="footer"/>
    <w:basedOn w:val="Normal"/>
    <w:link w:val="FooterChar"/>
    <w:uiPriority w:val="99"/>
    <w:unhideWhenUsed/>
    <w:rsid w:val="00672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Yavuz</dc:creator>
  <cp:keywords/>
  <dc:description/>
  <cp:lastModifiedBy>Derya Yavuz</cp:lastModifiedBy>
  <cp:revision>1</cp:revision>
  <dcterms:created xsi:type="dcterms:W3CDTF">2025-09-18T02:25:00Z</dcterms:created>
  <dcterms:modified xsi:type="dcterms:W3CDTF">2025-09-18T02:29:00Z</dcterms:modified>
</cp:coreProperties>
</file>