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530"/>
        <w:gridCol w:w="2360"/>
        <w:gridCol w:w="2360"/>
        <w:gridCol w:w="2360"/>
      </w:tblGrid>
      <w:tr w:rsidR="0048234F" w14:paraId="195D1DA9" w14:textId="77777777" w:rsidTr="00D52869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</w:tcBorders>
            <w:shd w:val="clear" w:color="auto" w:fill="7030A0"/>
            <w:tcMar>
              <w:left w:w="105" w:type="dxa"/>
              <w:right w:w="105" w:type="dxa"/>
            </w:tcMar>
            <w:vAlign w:val="center"/>
          </w:tcPr>
          <w:p w14:paraId="2B6E22C1" w14:textId="77777777" w:rsidR="0048234F" w:rsidRDefault="0048234F" w:rsidP="00485A0D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2DE126" wp14:editId="52235455">
                  <wp:extent cx="228602" cy="228602"/>
                  <wp:effectExtent l="0" t="0" r="0" b="0"/>
                  <wp:docPr id="1207731135" name="drawing" descr="Group 1955695160, Grouped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73113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2" cy="22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6" w:space="0" w:color="auto"/>
            </w:tcBorders>
            <w:shd w:val="clear" w:color="auto" w:fill="7030A0"/>
            <w:tcMar>
              <w:left w:w="105" w:type="dxa"/>
              <w:right w:w="105" w:type="dxa"/>
            </w:tcMar>
            <w:vAlign w:val="center"/>
          </w:tcPr>
          <w:p w14:paraId="3B380308" w14:textId="77777777" w:rsidR="0048234F" w:rsidRDefault="0048234F" w:rsidP="00485A0D">
            <w:pPr>
              <w:spacing w:line="259" w:lineRule="auto"/>
              <w:jc w:val="center"/>
              <w:rPr>
                <w:rFonts w:ascii="Grandview" w:eastAsia="Grandview" w:hAnsi="Grandview" w:cs="Grandview"/>
                <w:color w:val="FFFFFF" w:themeColor="background1"/>
              </w:rPr>
            </w:pPr>
          </w:p>
        </w:tc>
        <w:tc>
          <w:tcPr>
            <w:tcW w:w="7080" w:type="dxa"/>
            <w:gridSpan w:val="3"/>
            <w:tcBorders>
              <w:top w:val="single" w:sz="6" w:space="0" w:color="auto"/>
              <w:right w:val="single" w:sz="6" w:space="0" w:color="auto"/>
            </w:tcBorders>
            <w:shd w:val="clear" w:color="auto" w:fill="7030A0"/>
            <w:tcMar>
              <w:left w:w="105" w:type="dxa"/>
              <w:right w:w="105" w:type="dxa"/>
            </w:tcMar>
            <w:vAlign w:val="center"/>
          </w:tcPr>
          <w:p w14:paraId="6ED9173B" w14:textId="61525271" w:rsidR="0048234F" w:rsidRDefault="00E335C8" w:rsidP="00485A0D">
            <w:pPr>
              <w:pStyle w:val="FindingTitle"/>
              <w:rPr>
                <w:rFonts w:ascii="Grandview" w:eastAsia="Grandview" w:hAnsi="Grandview" w:cs="Grandview"/>
                <w:sz w:val="28"/>
                <w:szCs w:val="28"/>
              </w:rPr>
            </w:pPr>
            <w:r>
              <w:rPr>
                <w:rFonts w:ascii="Grandview" w:eastAsia="Grandview" w:hAnsi="Grandview" w:cs="Grandview"/>
                <w:sz w:val="28"/>
                <w:szCs w:val="28"/>
              </w:rPr>
              <w:t>Machines</w:t>
            </w:r>
            <w:r w:rsidR="008235D1">
              <w:rPr>
                <w:rFonts w:ascii="Grandview" w:eastAsia="Grandview" w:hAnsi="Grandview" w:cs="Grandview"/>
                <w:sz w:val="28"/>
                <w:szCs w:val="28"/>
              </w:rPr>
              <w:t xml:space="preserve"> Vulnerable to </w:t>
            </w:r>
            <w:proofErr w:type="spellStart"/>
            <w:r w:rsidR="008235D1">
              <w:rPr>
                <w:rFonts w:ascii="Grandview" w:eastAsia="Grandview" w:hAnsi="Grandview" w:cs="Grandview"/>
                <w:sz w:val="28"/>
                <w:szCs w:val="28"/>
              </w:rPr>
              <w:t>Zero</w:t>
            </w:r>
            <w:r w:rsidR="001E313A">
              <w:rPr>
                <w:rFonts w:ascii="Grandview" w:eastAsia="Grandview" w:hAnsi="Grandview" w:cs="Grandview"/>
                <w:sz w:val="28"/>
                <w:szCs w:val="28"/>
              </w:rPr>
              <w:t>l</w:t>
            </w:r>
            <w:r w:rsidR="008235D1">
              <w:rPr>
                <w:rFonts w:ascii="Grandview" w:eastAsia="Grandview" w:hAnsi="Grandview" w:cs="Grandview"/>
                <w:sz w:val="28"/>
                <w:szCs w:val="28"/>
              </w:rPr>
              <w:t>ogon</w:t>
            </w:r>
            <w:proofErr w:type="spellEnd"/>
            <w:r>
              <w:rPr>
                <w:rFonts w:ascii="Grandview" w:eastAsia="Grandview" w:hAnsi="Grandview" w:cs="Grandview"/>
                <w:sz w:val="28"/>
                <w:szCs w:val="28"/>
              </w:rPr>
              <w:t xml:space="preserve"> (CVE-2020-1472)</w:t>
            </w:r>
          </w:p>
        </w:tc>
      </w:tr>
      <w:tr w:rsidR="0048234F" w14:paraId="67FFB456" w14:textId="77777777" w:rsidTr="00485A0D">
        <w:trPr>
          <w:trHeight w:val="300"/>
        </w:trPr>
        <w:tc>
          <w:tcPr>
            <w:tcW w:w="9225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4478D2D" w14:textId="77777777" w:rsidR="0048234F" w:rsidRDefault="0048234F" w:rsidP="00485A0D">
            <w:pPr>
              <w:spacing w:line="259" w:lineRule="auto"/>
              <w:jc w:val="center"/>
              <w:rPr>
                <w:rFonts w:ascii="Grandview" w:eastAsia="Grandview" w:hAnsi="Grandview" w:cs="Grandview"/>
                <w:sz w:val="20"/>
                <w:szCs w:val="20"/>
              </w:rPr>
            </w:pPr>
            <w:r w:rsidRPr="70A14D17">
              <w:rPr>
                <w:rFonts w:ascii="Grandview" w:eastAsia="Grandview" w:hAnsi="Grandview" w:cs="Grandview"/>
                <w:b/>
                <w:bCs/>
                <w:sz w:val="20"/>
                <w:szCs w:val="20"/>
              </w:rPr>
              <w:t>Findings Categorization</w:t>
            </w:r>
          </w:p>
        </w:tc>
      </w:tr>
      <w:tr w:rsidR="0048234F" w14:paraId="7FA53F9C" w14:textId="77777777" w:rsidTr="00485A0D">
        <w:trPr>
          <w:trHeight w:val="300"/>
        </w:trPr>
        <w:tc>
          <w:tcPr>
            <w:tcW w:w="2145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57B641E6" w14:textId="77777777" w:rsidR="0048234F" w:rsidRDefault="0048234F" w:rsidP="00485A0D">
            <w:pPr>
              <w:spacing w:line="259" w:lineRule="auto"/>
              <w:jc w:val="center"/>
              <w:rPr>
                <w:rFonts w:ascii="Grandview" w:eastAsia="Grandview" w:hAnsi="Grandview" w:cs="Grandview"/>
                <w:sz w:val="20"/>
                <w:szCs w:val="20"/>
              </w:rPr>
            </w:pPr>
            <w:r w:rsidRPr="70A14D17">
              <w:rPr>
                <w:rFonts w:ascii="Grandview" w:eastAsia="Grandview" w:hAnsi="Grandview" w:cs="Grandview"/>
                <w:b/>
                <w:bCs/>
                <w:sz w:val="20"/>
                <w:szCs w:val="20"/>
              </w:rPr>
              <w:t>Business Impact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center"/>
          </w:tcPr>
          <w:p w14:paraId="060AFBA9" w14:textId="50710E38" w:rsidR="0048234F" w:rsidRDefault="00D52869" w:rsidP="00485A0D">
            <w:pPr>
              <w:spacing w:line="259" w:lineRule="auto"/>
              <w:jc w:val="center"/>
              <w:rPr>
                <w:rFonts w:ascii="Grandview Display" w:eastAsia="Grandview Display" w:hAnsi="Grandview Display" w:cs="Grandview Display"/>
                <w:sz w:val="20"/>
                <w:szCs w:val="20"/>
              </w:rPr>
            </w:pPr>
            <w:r>
              <w:rPr>
                <w:rFonts w:ascii="Grandview Display" w:eastAsia="Grandview Display" w:hAnsi="Grandview Display" w:cs="Grandview Display"/>
                <w:sz w:val="20"/>
                <w:szCs w:val="20"/>
              </w:rPr>
              <w:t>Critical</w:t>
            </w:r>
          </w:p>
        </w:tc>
        <w:tc>
          <w:tcPr>
            <w:tcW w:w="23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6E653378" w14:textId="77777777" w:rsidR="0048234F" w:rsidRDefault="0048234F" w:rsidP="00485A0D">
            <w:pPr>
              <w:spacing w:line="259" w:lineRule="auto"/>
              <w:jc w:val="center"/>
              <w:rPr>
                <w:rFonts w:ascii="Grandview" w:eastAsia="Grandview" w:hAnsi="Grandview" w:cs="Grandview"/>
                <w:sz w:val="20"/>
                <w:szCs w:val="20"/>
              </w:rPr>
            </w:pPr>
            <w:r w:rsidRPr="5E5ADA07">
              <w:rPr>
                <w:rFonts w:ascii="Grandview" w:eastAsia="Grandview" w:hAnsi="Grandview" w:cs="Grandview"/>
                <w:b/>
                <w:bCs/>
                <w:sz w:val="20"/>
                <w:szCs w:val="20"/>
              </w:rPr>
              <w:t xml:space="preserve">CVSS v4.0 </w:t>
            </w:r>
            <w:proofErr w:type="gramStart"/>
            <w:r w:rsidRPr="5E5ADA07">
              <w:rPr>
                <w:rFonts w:ascii="Grandview" w:eastAsia="Grandview" w:hAnsi="Grandview" w:cs="Grandview"/>
                <w:b/>
                <w:bCs/>
                <w:sz w:val="20"/>
                <w:szCs w:val="20"/>
              </w:rPr>
              <w:t>Score</w:t>
            </w:r>
            <w:proofErr w:type="gramEnd"/>
          </w:p>
        </w:tc>
        <w:tc>
          <w:tcPr>
            <w:tcW w:w="236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7481D3" w14:textId="7C0796C7" w:rsidR="0048234F" w:rsidRDefault="00C016EC" w:rsidP="0048234F">
            <w:pPr>
              <w:spacing w:line="259" w:lineRule="auto"/>
              <w:jc w:val="center"/>
              <w:rPr>
                <w:rFonts w:ascii="Grandview Display" w:eastAsia="Grandview Display" w:hAnsi="Grandview Display" w:cs="Grandview Display"/>
                <w:color w:val="FFFFFF" w:themeColor="background1"/>
                <w:sz w:val="20"/>
                <w:szCs w:val="20"/>
              </w:rPr>
            </w:pPr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9.3</w:t>
            </w:r>
          </w:p>
        </w:tc>
      </w:tr>
      <w:tr w:rsidR="0048234F" w14:paraId="678C0419" w14:textId="77777777" w:rsidTr="00485A0D">
        <w:trPr>
          <w:trHeight w:val="300"/>
        </w:trPr>
        <w:tc>
          <w:tcPr>
            <w:tcW w:w="214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1863A36" w14:textId="77777777" w:rsidR="0048234F" w:rsidRDefault="0048234F" w:rsidP="00485A0D">
            <w:pPr>
              <w:spacing w:line="259" w:lineRule="auto"/>
              <w:jc w:val="center"/>
              <w:rPr>
                <w:rFonts w:ascii="Grandview" w:eastAsia="Grandview" w:hAnsi="Grandview" w:cs="Grandview"/>
                <w:sz w:val="20"/>
                <w:szCs w:val="20"/>
              </w:rPr>
            </w:pPr>
            <w:r w:rsidRPr="70A14D17">
              <w:rPr>
                <w:rFonts w:ascii="Grandview" w:eastAsia="Grandview" w:hAnsi="Grandview" w:cs="Grandview"/>
                <w:b/>
                <w:bCs/>
                <w:sz w:val="20"/>
                <w:szCs w:val="20"/>
              </w:rPr>
              <w:t>CVSS Vector</w:t>
            </w:r>
          </w:p>
        </w:tc>
        <w:tc>
          <w:tcPr>
            <w:tcW w:w="7080" w:type="dxa"/>
            <w:gridSpan w:val="3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069B99" w14:textId="55922A23" w:rsidR="0048234F" w:rsidRDefault="00C016EC" w:rsidP="00D52869">
            <w:pPr>
              <w:spacing w:line="259" w:lineRule="auto"/>
              <w:jc w:val="center"/>
              <w:rPr>
                <w:rFonts w:ascii="Grandview Display" w:eastAsia="Grandview Display" w:hAnsi="Grandview Display" w:cs="Grandview Display"/>
                <w:sz w:val="20"/>
                <w:szCs w:val="20"/>
              </w:rPr>
            </w:pPr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CVSS:4.0/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AV:N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AC:L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AT:N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PR:N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UI:N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/VC:H/VI:H/VA:H/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SC:N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SI:N</w:t>
            </w:r>
            <w:proofErr w:type="gramEnd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/</w:t>
            </w:r>
            <w:proofErr w:type="gramStart"/>
            <w:r w:rsidRPr="00C016EC">
              <w:rPr>
                <w:rFonts w:ascii="Grandview Display" w:eastAsia="Grandview Display" w:hAnsi="Grandview Display" w:cs="Grandview Display"/>
                <w:sz w:val="20"/>
                <w:szCs w:val="20"/>
              </w:rPr>
              <w:t>SA:N</w:t>
            </w:r>
            <w:proofErr w:type="gramEnd"/>
          </w:p>
        </w:tc>
      </w:tr>
    </w:tbl>
    <w:p w14:paraId="01862E88" w14:textId="77777777" w:rsidR="0048234F" w:rsidRDefault="0048234F" w:rsidP="0048234F">
      <w:pPr>
        <w:spacing w:line="259" w:lineRule="auto"/>
        <w:rPr>
          <w:rFonts w:ascii="Grandview" w:eastAsia="Grandview" w:hAnsi="Grandview" w:cs="Grandview"/>
          <w:color w:val="0A2F40"/>
          <w:sz w:val="28"/>
          <w:szCs w:val="28"/>
        </w:rPr>
      </w:pPr>
    </w:p>
    <w:p w14:paraId="13B3C15E" w14:textId="77777777" w:rsidR="0048234F" w:rsidRDefault="0048234F" w:rsidP="0048234F">
      <w:pPr>
        <w:pStyle w:val="In-FindingHeaders"/>
        <w:rPr>
          <w:rFonts w:ascii="Grandview" w:eastAsia="Grandview" w:hAnsi="Grandview" w:cs="Grandview"/>
        </w:rPr>
      </w:pPr>
      <w:r w:rsidRPr="5E5ADA07">
        <w:rPr>
          <w:rFonts w:ascii="Grandview" w:eastAsia="Grandview" w:hAnsi="Grandview" w:cs="Grandview"/>
        </w:rPr>
        <w:t>Technical Description</w:t>
      </w:r>
    </w:p>
    <w:p w14:paraId="2CC938A7" w14:textId="10B7B18C" w:rsidR="00284862" w:rsidRDefault="004E5034" w:rsidP="0048234F">
      <w:p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The </w:t>
      </w:r>
      <w:proofErr w:type="spell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Zerologon</w:t>
      </w:r>
      <w:proofErr w:type="spellEnd"/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(CVE-2020-1472) vulnerability is a critical vulnerability in </w:t>
      </w:r>
      <w:r w:rsidR="00284862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the </w:t>
      </w:r>
      <w:r w:rsidR="00284862" w:rsidRP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cryptographic authentication scheme used by the </w:t>
      </w:r>
      <w:proofErr w:type="spellStart"/>
      <w:r w:rsidR="00284862" w:rsidRP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Netlogon</w:t>
      </w:r>
      <w:proofErr w:type="spellEnd"/>
      <w:r w:rsidR="00284862" w:rsidRP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Remote Protocol, which can be used</w:t>
      </w:r>
      <w:r w:rsidR="00284862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for different tasks including updating </w:t>
      </w:r>
      <w:r w:rsidR="00284862" w:rsidRP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computer passwords.</w:t>
      </w:r>
    </w:p>
    <w:p w14:paraId="61D7B172" w14:textId="158DCCE7" w:rsidR="00495373" w:rsidRDefault="00284862" w:rsidP="0048234F">
      <w:p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Any</w:t>
      </w:r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</w:t>
      </w:r>
      <w:r w:rsid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unauthenticated </w:t>
      </w:r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attacker </w:t>
      </w:r>
      <w:r w:rsidR="00C016EC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with </w:t>
      </w:r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server </w:t>
      </w:r>
      <w:r w:rsidR="00C016EC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access </w:t>
      </w:r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can send </w:t>
      </w:r>
      <w:r w:rsid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specially</w:t>
      </w:r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crafted packet</w:t>
      </w:r>
      <w:r w:rsidR="00C016EC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s</w:t>
      </w:r>
      <w:r w:rsid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</w:t>
      </w:r>
      <w:r w:rsid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and change the machine</w:t>
      </w:r>
      <w:r w:rsidR="00C016EC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account</w:t>
      </w:r>
      <w:r w:rsid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password</w:t>
      </w: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. An attacker can then </w:t>
      </w:r>
      <w:proofErr w:type="gram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authenticate to</w:t>
      </w:r>
      <w:proofErr w:type="gramEnd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the domain with the compromised </w:t>
      </w:r>
      <w:r w:rsidR="00C016EC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machine</w:t>
      </w: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account.</w:t>
      </w:r>
    </w:p>
    <w:p w14:paraId="1E7735B5" w14:textId="77777777" w:rsidR="0048234F" w:rsidRDefault="0048234F" w:rsidP="0048234F">
      <w:pPr>
        <w:pStyle w:val="In-FindingHeaders"/>
        <w:rPr>
          <w:rFonts w:ascii="Grandview" w:eastAsia="Grandview" w:hAnsi="Grandview" w:cs="Grandview"/>
        </w:rPr>
      </w:pPr>
      <w:r w:rsidRPr="70A14D17">
        <w:rPr>
          <w:rFonts w:ascii="Grandview" w:eastAsia="Grandview" w:hAnsi="Grandview" w:cs="Grandview"/>
        </w:rPr>
        <w:t>Business Impact Description</w:t>
      </w:r>
    </w:p>
    <w:p w14:paraId="2EC565FC" w14:textId="2DC7345E" w:rsidR="00D52869" w:rsidRDefault="00A0319B" w:rsidP="0048234F">
      <w:p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If the Domain Controller is vulnerable, an attacker could</w:t>
      </w:r>
      <w:r w:rsidR="006E4D01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</w:t>
      </w: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authenticate to the domain as the Domain Controller and perform a </w:t>
      </w:r>
      <w:proofErr w:type="spell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DCSync</w:t>
      </w:r>
      <w:proofErr w:type="spellEnd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attack to extract credentials for every domain account including Domain Admins.</w:t>
      </w:r>
      <w:r w:rsidR="006E4D01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</w:t>
      </w:r>
      <w:r w:rsidR="006E4D01" w:rsidRPr="006E4D01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Exploitation of this vulnerability could lead to severe consequences, including threats to public safety, the compromise of internal </w:t>
      </w:r>
      <w:r w:rsidR="006E4D01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APT </w:t>
      </w:r>
      <w:r w:rsidR="006E4D01" w:rsidRPr="006E4D01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corporate systems, and the exfiltration of sensitive information.</w:t>
      </w:r>
    </w:p>
    <w:p w14:paraId="5F6CF57E" w14:textId="77777777" w:rsidR="0048234F" w:rsidRDefault="0048234F" w:rsidP="0048234F">
      <w:pPr>
        <w:spacing w:line="259" w:lineRule="auto"/>
        <w:rPr>
          <w:rFonts w:ascii="Grandview" w:eastAsia="Grandview" w:hAnsi="Grandview" w:cs="Grandview"/>
          <w:color w:val="0A2F40"/>
          <w:sz w:val="28"/>
          <w:szCs w:val="28"/>
        </w:rPr>
      </w:pPr>
      <w:r w:rsidRPr="70A14D17">
        <w:rPr>
          <w:rFonts w:ascii="Grandview" w:eastAsia="Grandview" w:hAnsi="Grandview" w:cs="Grandview"/>
          <w:color w:val="0A2F40"/>
          <w:sz w:val="28"/>
          <w:szCs w:val="28"/>
        </w:rPr>
        <w:t>Affected Systems</w:t>
      </w:r>
    </w:p>
    <w:p w14:paraId="4616A967" w14:textId="729BAA0F" w:rsidR="00E335C8" w:rsidRPr="00E335C8" w:rsidRDefault="00E335C8" w:rsidP="00E335C8">
      <w:p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The following systems in the </w:t>
      </w:r>
      <w:proofErr w:type="spellStart"/>
      <w:proofErr w:type="gram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internal.local</w:t>
      </w:r>
      <w:proofErr w:type="spellEnd"/>
      <w:proofErr w:type="gramEnd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domain are susceptible to the </w:t>
      </w:r>
      <w:proofErr w:type="spell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ZeroLogon</w:t>
      </w:r>
      <w:proofErr w:type="spellEnd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vulnerability:</w:t>
      </w:r>
    </w:p>
    <w:p w14:paraId="760C261A" w14:textId="58283826" w:rsidR="0048234F" w:rsidRPr="00E335C8" w:rsidRDefault="0048234F" w:rsidP="00E335C8">
      <w:pPr>
        <w:pStyle w:val="ListParagraph"/>
        <w:numPr>
          <w:ilvl w:val="0"/>
          <w:numId w:val="4"/>
        </w:num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 w:rsidRPr="00E335C8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10.x.x.x – Desktop1</w:t>
      </w:r>
      <w:r w:rsidR="00D52869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– Domain Controller</w:t>
      </w:r>
    </w:p>
    <w:p w14:paraId="586F6FF1" w14:textId="77777777" w:rsidR="0048234F" w:rsidRDefault="0048234F" w:rsidP="0048234F">
      <w:pPr>
        <w:pStyle w:val="In-FindingHeaders"/>
        <w:rPr>
          <w:rFonts w:ascii="Grandview" w:eastAsia="Grandview" w:hAnsi="Grandview" w:cs="Grandview"/>
        </w:rPr>
      </w:pPr>
      <w:r w:rsidRPr="6C6AC3AF">
        <w:rPr>
          <w:rFonts w:ascii="Grandview" w:eastAsia="Grandview" w:hAnsi="Grandview" w:cs="Grandview"/>
        </w:rPr>
        <w:t>Finding Evidence</w:t>
      </w:r>
    </w:p>
    <w:p w14:paraId="462650AF" w14:textId="514540E3" w:rsidR="0048234F" w:rsidRDefault="00E335C8" w:rsidP="0048234F">
      <w:p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CENTRAL-05</w:t>
      </w:r>
      <w:r w:rsidR="00AE4E55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u</w:t>
      </w:r>
      <w:r w:rsidR="00FB69EE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sed </w:t>
      </w:r>
      <w:proofErr w:type="spellStart"/>
      <w:r w:rsidR="00FB69EE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NetExec</w:t>
      </w:r>
      <w:proofErr w:type="spellEnd"/>
      <w:r w:rsidR="00FB69EE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to identify machines vulnerable to </w:t>
      </w:r>
      <w:proofErr w:type="spellStart"/>
      <w:r w:rsid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ZeroLogon</w:t>
      </w:r>
      <w:proofErr w:type="spellEnd"/>
      <w:r w:rsidR="00FB69EE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. Engineers</w:t>
      </w:r>
      <w:r w:rsidR="00AE4E55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</w:t>
      </w:r>
      <w:r w:rsidR="00FB69EE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found 3 machines</w:t>
      </w:r>
      <w:r w:rsidR="00495373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, including a Domain Controller, that were vulnerable.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AE4E55" w14:paraId="3FBC7FB0" w14:textId="77777777" w:rsidTr="00485A0D">
        <w:trPr>
          <w:trHeight w:val="300"/>
        </w:trPr>
        <w:tc>
          <w:tcPr>
            <w:tcW w:w="715" w:type="dxa"/>
            <w:shd w:val="clear" w:color="auto" w:fill="7F7F7F" w:themeFill="text1" w:themeFillTint="80"/>
          </w:tcPr>
          <w:p w14:paraId="12BAC726" w14:textId="77777777" w:rsidR="00AE4E55" w:rsidRDefault="00AE4E55" w:rsidP="00485A0D"/>
        </w:tc>
        <w:tc>
          <w:tcPr>
            <w:tcW w:w="8635" w:type="dxa"/>
          </w:tcPr>
          <w:p w14:paraId="2276B9A4" w14:textId="4D0FCFE6" w:rsidR="00AE4E55" w:rsidRPr="0090315F" w:rsidRDefault="00495373" w:rsidP="00485A0D">
            <w:pPr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2"/>
              </w:rPr>
              <w:t>NetExec</w:t>
            </w:r>
            <w:proofErr w:type="spellEnd"/>
            <w:r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2"/>
              </w:rPr>
              <w:t>smb</w:t>
            </w:r>
            <w:proofErr w:type="spellEnd"/>
            <w:r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2"/>
              </w:rPr>
              <w:t>ip</w:t>
            </w:r>
            <w:proofErr w:type="spellEnd"/>
            <w:r>
              <w:rPr>
                <w:rFonts w:ascii="Courier New" w:hAnsi="Courier New" w:cs="Courier New"/>
                <w:sz w:val="20"/>
                <w:szCs w:val="22"/>
              </w:rPr>
              <w:t xml:space="preserve"> -</w:t>
            </w:r>
            <w:proofErr w:type="gramStart"/>
            <w:r>
              <w:rPr>
                <w:rFonts w:ascii="Courier New" w:hAnsi="Courier New" w:cs="Courier New"/>
                <w:sz w:val="20"/>
                <w:szCs w:val="22"/>
              </w:rPr>
              <w:t>u ‘’</w:t>
            </w:r>
            <w:proofErr w:type="gramEnd"/>
            <w:r>
              <w:rPr>
                <w:rFonts w:ascii="Courier New" w:hAnsi="Courier New" w:cs="Courier New"/>
                <w:sz w:val="20"/>
                <w:szCs w:val="22"/>
              </w:rPr>
              <w:t xml:space="preserve"> -</w:t>
            </w:r>
            <w:proofErr w:type="gramStart"/>
            <w:r>
              <w:rPr>
                <w:rFonts w:ascii="Courier New" w:hAnsi="Courier New" w:cs="Courier New"/>
                <w:sz w:val="20"/>
                <w:szCs w:val="22"/>
              </w:rPr>
              <w:t>p ‘’</w:t>
            </w:r>
            <w:proofErr w:type="gramEnd"/>
            <w:r>
              <w:rPr>
                <w:rFonts w:ascii="Courier New" w:hAnsi="Courier New" w:cs="Courier New"/>
                <w:sz w:val="20"/>
                <w:szCs w:val="22"/>
              </w:rPr>
              <w:t xml:space="preserve"> -M </w:t>
            </w:r>
            <w:proofErr w:type="spellStart"/>
            <w:r>
              <w:rPr>
                <w:rFonts w:ascii="Courier New" w:hAnsi="Courier New" w:cs="Courier New"/>
                <w:sz w:val="20"/>
                <w:szCs w:val="22"/>
              </w:rPr>
              <w:t>zerologon</w:t>
            </w:r>
            <w:proofErr w:type="spellEnd"/>
          </w:p>
        </w:tc>
      </w:tr>
    </w:tbl>
    <w:p w14:paraId="226BACA1" w14:textId="77777777" w:rsidR="00AE4E55" w:rsidRDefault="00AE4E55" w:rsidP="00AE4E55">
      <w:pPr>
        <w:spacing w:line="259" w:lineRule="auto"/>
        <w:jc w:val="center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</w:p>
    <w:p w14:paraId="7E1FAE4F" w14:textId="2723727A" w:rsidR="00AE4E55" w:rsidRDefault="00AE4E55" w:rsidP="000B36B4">
      <w:pPr>
        <w:spacing w:line="259" w:lineRule="auto"/>
        <w:jc w:val="center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/screenshot1</w:t>
      </w:r>
    </w:p>
    <w:p w14:paraId="7E32853D" w14:textId="14086637" w:rsidR="00495373" w:rsidRPr="000B36B4" w:rsidRDefault="00495373" w:rsidP="00495373">
      <w:p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CENTRAL-05 did not exploit </w:t>
      </w:r>
      <w:proofErr w:type="gram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the vulnerability</w:t>
      </w:r>
      <w:proofErr w:type="gramEnd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due to the potential risk of </w:t>
      </w:r>
      <w:r w:rsidR="00C016EC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downtime.</w:t>
      </w:r>
    </w:p>
    <w:p w14:paraId="39456E4C" w14:textId="0A24537B" w:rsidR="00930BEC" w:rsidRPr="00930BEC" w:rsidRDefault="0048234F" w:rsidP="00930BEC">
      <w:pPr>
        <w:pStyle w:val="In-FindingHeaders"/>
        <w:rPr>
          <w:rFonts w:ascii="Grandview" w:eastAsia="Grandview" w:hAnsi="Grandview" w:cs="Grandview"/>
          <w:sz w:val="20"/>
          <w:szCs w:val="20"/>
        </w:rPr>
      </w:pPr>
      <w:r w:rsidRPr="70A14D17">
        <w:rPr>
          <w:rFonts w:ascii="Grandview" w:eastAsia="Grandview" w:hAnsi="Grandview" w:cs="Grandview"/>
        </w:rPr>
        <w:t>Mitigations</w:t>
      </w:r>
    </w:p>
    <w:p w14:paraId="52878834" w14:textId="0128ECCC" w:rsidR="0048234F" w:rsidRDefault="00284862" w:rsidP="0048234F">
      <w:pPr>
        <w:pStyle w:val="ListParagraph"/>
        <w:numPr>
          <w:ilvl w:val="0"/>
          <w:numId w:val="2"/>
        </w:num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Install </w:t>
      </w:r>
      <w:proofErr w:type="gramStart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the August</w:t>
      </w:r>
      <w:proofErr w:type="gramEnd"/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11, </w:t>
      </w:r>
      <w:r w:rsidR="00D52869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2020,</w:t>
      </w: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 </w:t>
      </w:r>
      <w:r w:rsidR="00AC439D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Windows </w:t>
      </w:r>
      <w:r w:rsidR="006E4D01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 xml:space="preserve">security </w:t>
      </w: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updates on all vulnerable systems.</w:t>
      </w:r>
    </w:p>
    <w:p w14:paraId="1DF11108" w14:textId="0F2D901F" w:rsidR="00FB69EE" w:rsidRDefault="00FB69EE" w:rsidP="00FB69EE">
      <w:pPr>
        <w:pStyle w:val="ListParagraph"/>
        <w:numPr>
          <w:ilvl w:val="0"/>
          <w:numId w:val="2"/>
        </w:numPr>
        <w:spacing w:line="259" w:lineRule="auto"/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</w:pPr>
      <w:r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Perform regular patch management and ensure devices are updated to mitigate security vulnerabilities</w:t>
      </w:r>
      <w:r w:rsidR="00284862">
        <w:rPr>
          <w:rFonts w:ascii="Grandview Display" w:eastAsia="Grandview Display" w:hAnsi="Grandview Display" w:cs="Grandview Display"/>
          <w:color w:val="000000" w:themeColor="text1"/>
          <w:sz w:val="20"/>
          <w:szCs w:val="20"/>
        </w:rPr>
        <w:t>.</w:t>
      </w:r>
    </w:p>
    <w:p w14:paraId="34812096" w14:textId="77777777" w:rsidR="0048234F" w:rsidRDefault="0048234F" w:rsidP="0048234F">
      <w:pPr>
        <w:pStyle w:val="In-FindingHeaders"/>
        <w:rPr>
          <w:rFonts w:ascii="Grandview" w:eastAsia="Grandview" w:hAnsi="Grandview" w:cs="Grandview"/>
        </w:rPr>
      </w:pPr>
      <w:r w:rsidRPr="70A14D17">
        <w:rPr>
          <w:rFonts w:ascii="Grandview" w:eastAsia="Grandview" w:hAnsi="Grandview" w:cs="Grandview"/>
        </w:rPr>
        <w:t>References</w:t>
      </w:r>
    </w:p>
    <w:p w14:paraId="22F637BA" w14:textId="79789904" w:rsidR="0048234F" w:rsidRDefault="00E335C8" w:rsidP="004B7186">
      <w:pPr>
        <w:pStyle w:val="ListParagraph"/>
        <w:numPr>
          <w:ilvl w:val="0"/>
          <w:numId w:val="6"/>
        </w:numPr>
        <w:spacing w:line="259" w:lineRule="auto"/>
        <w:rPr>
          <w:rFonts w:ascii="Grandview Display" w:eastAsia="Grandview Display" w:hAnsi="Grandview Display" w:cs="Grandview Display"/>
          <w:b/>
          <w:bCs/>
          <w:color w:val="000000" w:themeColor="text1"/>
          <w:sz w:val="20"/>
          <w:szCs w:val="20"/>
        </w:rPr>
      </w:pPr>
      <w:hyperlink r:id="rId6" w:history="1">
        <w:proofErr w:type="spellStart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ZeroLogon</w:t>
        </w:r>
        <w:proofErr w:type="spellEnd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 xml:space="preserve"> </w:t>
        </w:r>
        <w:proofErr w:type="spellStart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WhitePaper</w:t>
        </w:r>
        <w:proofErr w:type="spellEnd"/>
      </w:hyperlink>
    </w:p>
    <w:p w14:paraId="19133524" w14:textId="1CF02D9D" w:rsidR="00E335C8" w:rsidRDefault="00E335C8" w:rsidP="004B7186">
      <w:pPr>
        <w:pStyle w:val="ListParagraph"/>
        <w:numPr>
          <w:ilvl w:val="0"/>
          <w:numId w:val="5"/>
        </w:numPr>
        <w:spacing w:line="259" w:lineRule="auto"/>
        <w:rPr>
          <w:rFonts w:ascii="Grandview Display" w:eastAsia="Grandview Display" w:hAnsi="Grandview Display" w:cs="Grandview Display"/>
          <w:b/>
          <w:bCs/>
          <w:color w:val="000000" w:themeColor="text1"/>
          <w:sz w:val="20"/>
          <w:szCs w:val="20"/>
        </w:rPr>
      </w:pPr>
      <w:hyperlink r:id="rId7" w:history="1">
        <w:proofErr w:type="spellStart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ZeroLogon</w:t>
        </w:r>
        <w:proofErr w:type="spellEnd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 xml:space="preserve"> Vulnerability Scanner</w:t>
        </w:r>
      </w:hyperlink>
    </w:p>
    <w:p w14:paraId="038B938B" w14:textId="77228201" w:rsidR="00E335C8" w:rsidRDefault="00E335C8" w:rsidP="0048234F">
      <w:pPr>
        <w:pStyle w:val="ListParagraph"/>
        <w:numPr>
          <w:ilvl w:val="0"/>
          <w:numId w:val="1"/>
        </w:numPr>
        <w:spacing w:line="259" w:lineRule="auto"/>
        <w:rPr>
          <w:rFonts w:ascii="Grandview Display" w:eastAsia="Grandview Display" w:hAnsi="Grandview Display" w:cs="Grandview Display"/>
          <w:b/>
          <w:bCs/>
          <w:color w:val="000000" w:themeColor="text1"/>
          <w:sz w:val="20"/>
          <w:szCs w:val="20"/>
        </w:rPr>
      </w:pPr>
      <w:hyperlink r:id="rId8" w:history="1"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 xml:space="preserve">MSRC </w:t>
        </w:r>
        <w:proofErr w:type="spellStart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Net</w:t>
        </w:r>
        <w:r w:rsidR="001E313A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l</w:t>
        </w:r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ogon</w:t>
        </w:r>
        <w:proofErr w:type="spellEnd"/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 xml:space="preserve"> CVE-2020-1472</w:t>
        </w:r>
      </w:hyperlink>
    </w:p>
    <w:p w14:paraId="0A8683F8" w14:textId="0BE1D4EE" w:rsidR="00E335C8" w:rsidRPr="00E335C8" w:rsidRDefault="00E335C8" w:rsidP="0048234F">
      <w:pPr>
        <w:pStyle w:val="ListParagraph"/>
        <w:numPr>
          <w:ilvl w:val="0"/>
          <w:numId w:val="1"/>
        </w:numPr>
        <w:spacing w:line="259" w:lineRule="auto"/>
        <w:rPr>
          <w:rFonts w:ascii="Grandview Display" w:eastAsia="Grandview Display" w:hAnsi="Grandview Display" w:cs="Grandview Display"/>
          <w:b/>
          <w:bCs/>
          <w:color w:val="000000" w:themeColor="text1"/>
          <w:sz w:val="20"/>
          <w:szCs w:val="20"/>
        </w:rPr>
      </w:pPr>
      <w:hyperlink r:id="rId9" w:history="1">
        <w:r w:rsidRPr="00E335C8">
          <w:rPr>
            <w:rStyle w:val="Hyperlink"/>
            <w:rFonts w:ascii="Grandview Display" w:eastAsia="Grandview Display" w:hAnsi="Grandview Display" w:cs="Grandview Display"/>
            <w:b/>
            <w:bCs/>
            <w:sz w:val="20"/>
            <w:szCs w:val="20"/>
          </w:rPr>
          <w:t>Microsoft Mitigation Support Guide</w:t>
        </w:r>
      </w:hyperlink>
    </w:p>
    <w:p w14:paraId="53EB59E8" w14:textId="77777777" w:rsidR="00E335C8" w:rsidRPr="00E335C8" w:rsidRDefault="00E335C8" w:rsidP="00E335C8">
      <w:pPr>
        <w:pStyle w:val="ListParagraph"/>
        <w:spacing w:line="259" w:lineRule="auto"/>
        <w:rPr>
          <w:rFonts w:ascii="Grandview Display" w:eastAsia="Grandview Display" w:hAnsi="Grandview Display" w:cs="Grandview Display"/>
          <w:b/>
          <w:bCs/>
          <w:color w:val="000000" w:themeColor="text1"/>
          <w:sz w:val="20"/>
          <w:szCs w:val="20"/>
        </w:rPr>
      </w:pPr>
    </w:p>
    <w:p w14:paraId="5AC498FC" w14:textId="77777777" w:rsidR="0048234F" w:rsidRDefault="0048234F" w:rsidP="0048234F">
      <w:pPr>
        <w:spacing w:line="259" w:lineRule="auto"/>
        <w:ind w:left="2160"/>
        <w:rPr>
          <w:rFonts w:ascii="Grandview Display" w:eastAsia="Grandview Display" w:hAnsi="Grandview Display" w:cs="Grandview Display"/>
          <w:color w:val="000000" w:themeColor="text1"/>
          <w:sz w:val="48"/>
          <w:szCs w:val="48"/>
        </w:rPr>
      </w:pPr>
      <w:r w:rsidRPr="70A14D17">
        <w:rPr>
          <w:rFonts w:ascii="Grandview Display" w:eastAsia="Grandview Display" w:hAnsi="Grandview Display" w:cs="Grandview Display"/>
          <w:b/>
          <w:bCs/>
          <w:color w:val="000000" w:themeColor="text1"/>
          <w:sz w:val="48"/>
          <w:szCs w:val="48"/>
        </w:rPr>
        <w:t>END OF FINDING BLOCK</w:t>
      </w:r>
    </w:p>
    <w:p w14:paraId="5FE15BDE" w14:textId="77777777" w:rsidR="0048234F" w:rsidRDefault="0048234F"/>
    <w:sectPr w:rsidR="0048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EFDB"/>
    <w:multiLevelType w:val="hybridMultilevel"/>
    <w:tmpl w:val="4794784C"/>
    <w:lvl w:ilvl="0" w:tplc="7CB6C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06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23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8C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68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6F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8A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0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6A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4DA3"/>
    <w:multiLevelType w:val="hybridMultilevel"/>
    <w:tmpl w:val="A650DA78"/>
    <w:lvl w:ilvl="0" w:tplc="530A12EE">
      <w:numFmt w:val="bullet"/>
      <w:lvlText w:val=""/>
      <w:lvlJc w:val="left"/>
      <w:pPr>
        <w:ind w:left="720" w:hanging="360"/>
      </w:pPr>
      <w:rPr>
        <w:rFonts w:ascii="Symbol" w:eastAsia="Grandview Display" w:hAnsi="Symbol" w:cs="Grandview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E2F89"/>
    <w:multiLevelType w:val="hybridMultilevel"/>
    <w:tmpl w:val="B2EC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AEF04"/>
    <w:multiLevelType w:val="hybridMultilevel"/>
    <w:tmpl w:val="353A66D2"/>
    <w:lvl w:ilvl="0" w:tplc="E47AB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D01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0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66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AA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C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AB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49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0942C"/>
    <w:multiLevelType w:val="hybridMultilevel"/>
    <w:tmpl w:val="2C26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E4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E7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0A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4A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05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67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44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6F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F632F"/>
    <w:multiLevelType w:val="hybridMultilevel"/>
    <w:tmpl w:val="FF18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05402">
    <w:abstractNumId w:val="4"/>
  </w:num>
  <w:num w:numId="2" w16cid:durableId="1636834374">
    <w:abstractNumId w:val="0"/>
  </w:num>
  <w:num w:numId="3" w16cid:durableId="172494551">
    <w:abstractNumId w:val="3"/>
  </w:num>
  <w:num w:numId="4" w16cid:durableId="54740573">
    <w:abstractNumId w:val="1"/>
  </w:num>
  <w:num w:numId="5" w16cid:durableId="1419788411">
    <w:abstractNumId w:val="5"/>
  </w:num>
  <w:num w:numId="6" w16cid:durableId="1637225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4F"/>
    <w:rsid w:val="000B36B4"/>
    <w:rsid w:val="001D6C23"/>
    <w:rsid w:val="001E313A"/>
    <w:rsid w:val="00284862"/>
    <w:rsid w:val="0048234F"/>
    <w:rsid w:val="00495373"/>
    <w:rsid w:val="004B7186"/>
    <w:rsid w:val="004E5034"/>
    <w:rsid w:val="006314F4"/>
    <w:rsid w:val="0067727D"/>
    <w:rsid w:val="006E4D01"/>
    <w:rsid w:val="008235D1"/>
    <w:rsid w:val="0091120B"/>
    <w:rsid w:val="00930BEC"/>
    <w:rsid w:val="00A0319B"/>
    <w:rsid w:val="00A66439"/>
    <w:rsid w:val="00AC439D"/>
    <w:rsid w:val="00AE4E55"/>
    <w:rsid w:val="00C016EC"/>
    <w:rsid w:val="00C912B2"/>
    <w:rsid w:val="00D52869"/>
    <w:rsid w:val="00DC25DA"/>
    <w:rsid w:val="00DC7CE7"/>
    <w:rsid w:val="00E335C8"/>
    <w:rsid w:val="00E427C8"/>
    <w:rsid w:val="00FB69EE"/>
    <w:rsid w:val="1BAB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9E87"/>
  <w15:chartTrackingRefBased/>
  <w15:docId w15:val="{D30008CE-E1A8-4FA3-9E7A-993D9882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4F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4F"/>
    <w:rPr>
      <w:b/>
      <w:bCs/>
      <w:smallCaps/>
      <w:color w:val="0F4761" w:themeColor="accent1" w:themeShade="BF"/>
      <w:spacing w:val="5"/>
    </w:rPr>
  </w:style>
  <w:style w:type="paragraph" w:customStyle="1" w:styleId="FindingTitle">
    <w:name w:val="Finding Title"/>
    <w:basedOn w:val="Normal"/>
    <w:next w:val="Normal"/>
    <w:link w:val="FindingTitleChar"/>
    <w:uiPriority w:val="1"/>
    <w:qFormat/>
    <w:rsid w:val="0048234F"/>
    <w:pPr>
      <w:keepNext/>
      <w:keepLines/>
      <w:spacing w:before="40" w:after="0" w:line="259" w:lineRule="auto"/>
      <w:ind w:left="360" w:hanging="360"/>
      <w:jc w:val="center"/>
      <w:outlineLvl w:val="2"/>
    </w:pPr>
    <w:rPr>
      <w:rFonts w:eastAsiaTheme="majorEastAsia" w:cstheme="majorBidi"/>
      <w:b/>
      <w:bCs/>
      <w:color w:val="FFFFFF" w:themeColor="background1"/>
      <w:sz w:val="32"/>
      <w:szCs w:val="32"/>
    </w:rPr>
  </w:style>
  <w:style w:type="character" w:customStyle="1" w:styleId="FindingTitleChar">
    <w:name w:val="Finding Title Char"/>
    <w:basedOn w:val="DefaultParagraphFont"/>
    <w:link w:val="FindingTitle"/>
    <w:uiPriority w:val="1"/>
    <w:rsid w:val="0048234F"/>
    <w:rPr>
      <w:rFonts w:eastAsiaTheme="majorEastAsia" w:cstheme="majorBidi"/>
      <w:b/>
      <w:bCs/>
      <w:color w:val="FFFFFF" w:themeColor="background1"/>
      <w:kern w:val="0"/>
      <w:sz w:val="32"/>
      <w:szCs w:val="32"/>
      <w:lang w:eastAsia="ja-JP"/>
      <w14:ligatures w14:val="none"/>
    </w:rPr>
  </w:style>
  <w:style w:type="paragraph" w:customStyle="1" w:styleId="In-FindingHeaders">
    <w:name w:val="In-Finding Headers"/>
    <w:basedOn w:val="Normal"/>
    <w:next w:val="Normal"/>
    <w:link w:val="In-FindingHeadersChar"/>
    <w:uiPriority w:val="1"/>
    <w:qFormat/>
    <w:rsid w:val="0048234F"/>
    <w:pPr>
      <w:spacing w:line="259" w:lineRule="auto"/>
    </w:pPr>
    <w:rPr>
      <w:rFonts w:eastAsiaTheme="majorEastAsia" w:cstheme="majorBidi"/>
      <w:color w:val="0A2F40"/>
      <w:sz w:val="28"/>
      <w:szCs w:val="28"/>
    </w:rPr>
  </w:style>
  <w:style w:type="character" w:customStyle="1" w:styleId="In-FindingHeadersChar">
    <w:name w:val="In-Finding Headers Char"/>
    <w:basedOn w:val="DefaultParagraphFont"/>
    <w:link w:val="In-FindingHeaders"/>
    <w:uiPriority w:val="1"/>
    <w:rsid w:val="0048234F"/>
    <w:rPr>
      <w:rFonts w:eastAsiaTheme="majorEastAsia" w:cstheme="majorBidi"/>
      <w:color w:val="0A2F40"/>
      <w:kern w:val="0"/>
      <w:sz w:val="28"/>
      <w:szCs w:val="28"/>
      <w:lang w:eastAsia="ja-JP"/>
      <w14:ligatures w14:val="none"/>
    </w:rPr>
  </w:style>
  <w:style w:type="table" w:styleId="TableGrid">
    <w:name w:val="Table Grid"/>
    <w:basedOn w:val="TableNormal"/>
    <w:uiPriority w:val="59"/>
    <w:rsid w:val="0048234F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823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BEC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7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7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727D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27D"/>
    <w:rPr>
      <w:rFonts w:eastAsiaTheme="minorEastAsia"/>
      <w:b/>
      <w:bCs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rc.microsoft.com/update-guide/vulnerability/CVE-2020-14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aBV/CVE-2020-14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security.bureauveritas.com/blog/zero-log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topic/how-to-manage-the-changes-in-netlogon-secure-channel-connections-associated-with-cve-2020-1472-f7e8cc17-0309-1d6a-304e-5ba73cd1a1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Davis</dc:creator>
  <cp:keywords/>
  <dc:description/>
  <cp:lastModifiedBy>Eric Esquivel (student)</cp:lastModifiedBy>
  <cp:revision>9</cp:revision>
  <dcterms:created xsi:type="dcterms:W3CDTF">2025-10-07T00:49:00Z</dcterms:created>
  <dcterms:modified xsi:type="dcterms:W3CDTF">2025-10-07T03:58:00Z</dcterms:modified>
</cp:coreProperties>
</file>