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4A2F21" w:color="auto" w:val="clear"/>
            <w:tcMar>
              <w:top w:type="dxa" w:w="160"/>
              <w:left w:type="dxa" w:w="200"/>
              <w:bottom w:type="dxa" w:w="160"/>
              <w:right w:type="dxa" w:w="200"/>
            </w:tcMar>
          </w:tcPr>
          <w:p>
            <w:pPr>
              <w:spacing w:after="20"/>
            </w:pPr>
            <w:r>
              <w:rPr>
                <w:rFonts w:ascii="Georgia" w:cs="Georgia" w:eastAsia="Georgia" w:hAnsi="Georgia"/>
                <w:b/>
                <w:bCs/>
                <w:color w:val="F6ECDC"/>
                <w:spacing w:val="60"/>
                <w:sz w:val="20"/>
                <w:szCs w:val="20"/>
              </w:rPr>
              <w:t xml:space="preserve">BUTTERS FAMILY FARM</w:t>
            </w:r>
          </w:p>
          <w:p>
            <w:pPr>
              <w:spacing w:after="0"/>
            </w:pPr>
            <w:r>
              <w:rPr>
                <w:rFonts w:ascii="Calibri" w:cs="Calibri" w:eastAsia="Calibri" w:hAnsi="Calibri"/>
                <w:color w:val="C9A06B"/>
                <w:sz w:val="16"/>
                <w:szCs w:val="16"/>
              </w:rPr>
              <w:t xml:space="preserve">Security Assessment  ·  Inject Response</w:t>
            </w:r>
          </w:p>
        </w:tc>
      </w:tr>
    </w:tbl>
    <w:p>
      <w:pPr>
        <w:pBdr>
          <w:bottom w:val="single" w:color="4A2F21" w:sz="16" w:space="0"/>
        </w:pBdr>
        <w:spacing w:after="160" w:before="0" w:line="4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3380"/>
        <w:gridCol w:w="1300"/>
        <w:gridCol w:w="3380"/>
      </w:tblGrid>
      <w:tr>
        <w:tc>
          <w:tcPr>
            <w:tcW w:type="dxa" w:w="1300"/>
            <w:tcBorders>
              <w:top w:val="none" w:color="FFFFFF" w:sz="0"/>
              <w:left w:val="none" w:color="FFFFFF" w:sz="0"/>
              <w:bottom w:val="none" w:color="FFFFFF" w:sz="0"/>
              <w:right w:val="none" w:color="FFFFFF" w:sz="0"/>
            </w:tcBorders>
            <w:shd w:fill="F6ECDC" w:color="auto" w:val="clear"/>
            <w:tcMar>
              <w:top w:type="dxa" w:w="70"/>
              <w:left w:type="dxa" w:w="160"/>
              <w:bottom w:type="dxa" w:w="70"/>
              <w:right w:type="dxa" w:w="100"/>
            </w:tcMar>
            <w:vAlign w:val="center"/>
          </w:tcPr>
          <w:p>
            <w:pPr>
              <w:spacing w:after="0"/>
            </w:pPr>
            <w:r>
              <w:rPr>
                <w:rFonts w:ascii="Calibri" w:cs="Calibri" w:eastAsia="Calibri" w:hAnsi="Calibri"/>
                <w:b/>
                <w:bCs/>
                <w:color w:val="7B4A2D"/>
                <w:sz w:val="16"/>
                <w:szCs w:val="16"/>
              </w:rPr>
              <w:t xml:space="preserve">Inject ID</w:t>
            </w:r>
          </w:p>
        </w:tc>
        <w:tc>
          <w:tcPr>
            <w:tcW w:type="dxa" w:w="338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color w:val="2C1C12"/>
                <w:sz w:val="18"/>
                <w:szCs w:val="18"/>
              </w:rPr>
              <w:t xml:space="preserve">INJ-###</w:t>
            </w:r>
          </w:p>
        </w:tc>
        <w:tc>
          <w:tcPr>
            <w:tcW w:type="dxa" w:w="130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b/>
                <w:bCs/>
                <w:color w:val="7B4A2D"/>
                <w:sz w:val="16"/>
                <w:szCs w:val="16"/>
              </w:rPr>
              <w:t xml:space="preserve">Received</w:t>
            </w:r>
          </w:p>
        </w:tc>
        <w:tc>
          <w:tcPr>
            <w:tcW w:type="dxa" w:w="338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color w:val="2C1C12"/>
                <w:sz w:val="18"/>
                <w:szCs w:val="18"/>
              </w:rPr>
              <w:t xml:space="preserve">2026-11-07 HH:MM ET</w:t>
            </w:r>
          </w:p>
        </w:tc>
      </w:tr>
      <w:tr>
        <w:tc>
          <w:tcPr>
            <w:tcW w:type="dxa" w:w="1300"/>
            <w:tcBorders>
              <w:top w:val="none" w:color="FFFFFF" w:sz="0"/>
              <w:left w:val="none" w:color="FFFFFF" w:sz="0"/>
              <w:bottom w:val="none" w:color="FFFFFF" w:sz="0"/>
              <w:right w:val="none" w:color="FFFFFF" w:sz="0"/>
            </w:tcBorders>
            <w:shd w:fill="F6ECDC" w:color="auto" w:val="clear"/>
            <w:tcMar>
              <w:top w:type="dxa" w:w="70"/>
              <w:left w:type="dxa" w:w="160"/>
              <w:bottom w:type="dxa" w:w="70"/>
              <w:right w:type="dxa" w:w="100"/>
            </w:tcMar>
            <w:vAlign w:val="center"/>
          </w:tcPr>
          <w:p>
            <w:pPr>
              <w:spacing w:after="0"/>
            </w:pPr>
            <w:r>
              <w:rPr>
                <w:rFonts w:ascii="Calibri" w:cs="Calibri" w:eastAsia="Calibri" w:hAnsi="Calibri"/>
                <w:b/>
                <w:bCs/>
                <w:color w:val="7B4A2D"/>
                <w:sz w:val="16"/>
                <w:szCs w:val="16"/>
              </w:rPr>
              <w:t xml:space="preserve">Status</w:t>
            </w:r>
          </w:p>
        </w:tc>
        <w:tc>
          <w:tcPr>
            <w:tcW w:type="dxa" w:w="338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b/>
                <w:bCs/>
                <w:color w:val="4A2F21"/>
                <w:sz w:val="16"/>
                <w:szCs w:val="16"/>
                <w:shd w:fill="8FD0E3" w:color="auto" w:val="clear"/>
              </w:rPr>
              <w:t xml:space="preserve"> SUBMITTED </w:t>
            </w:r>
          </w:p>
        </w:tc>
        <w:tc>
          <w:tcPr>
            <w:tcW w:type="dxa" w:w="130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b/>
                <w:bCs/>
                <w:color w:val="7B4A2D"/>
                <w:sz w:val="16"/>
                <w:szCs w:val="16"/>
              </w:rPr>
              <w:t xml:space="preserve">Due</w:t>
            </w:r>
          </w:p>
        </w:tc>
        <w:tc>
          <w:tcPr>
            <w:tcW w:type="dxa" w:w="338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color w:val="2C1C12"/>
                <w:sz w:val="18"/>
                <w:szCs w:val="18"/>
              </w:rPr>
              <w:t xml:space="preserve">2026-11-07 HH:MM ET</w:t>
            </w:r>
          </w:p>
        </w:tc>
      </w:tr>
      <w:tr>
        <w:tc>
          <w:tcPr>
            <w:tcW w:type="dxa" w:w="1300"/>
            <w:tcBorders>
              <w:top w:val="none" w:color="FFFFFF" w:sz="0"/>
              <w:left w:val="none" w:color="FFFFFF" w:sz="0"/>
              <w:bottom w:val="none" w:color="FFFFFF" w:sz="0"/>
              <w:right w:val="none" w:color="FFFFFF" w:sz="0"/>
            </w:tcBorders>
            <w:shd w:fill="F6ECDC" w:color="auto" w:val="clear"/>
            <w:tcMar>
              <w:top w:type="dxa" w:w="70"/>
              <w:left w:type="dxa" w:w="160"/>
              <w:bottom w:type="dxa" w:w="70"/>
              <w:right w:type="dxa" w:w="100"/>
            </w:tcMar>
            <w:vAlign w:val="center"/>
          </w:tcPr>
          <w:p>
            <w:pPr>
              <w:spacing w:after="0"/>
            </w:pPr>
            <w:r>
              <w:rPr>
                <w:rFonts w:ascii="Calibri" w:cs="Calibri" w:eastAsia="Calibri" w:hAnsi="Calibri"/>
                <w:b/>
                <w:bCs/>
                <w:color w:val="7B4A2D"/>
                <w:sz w:val="16"/>
                <w:szCs w:val="16"/>
              </w:rPr>
              <w:t xml:space="preserve">Prepared by</w:t>
            </w:r>
          </w:p>
        </w:tc>
        <w:tc>
          <w:tcPr>
            <w:tcW w:type="dxa" w:w="338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color w:val="2C1C12"/>
                <w:sz w:val="18"/>
                <w:szCs w:val="18"/>
              </w:rPr>
              <w:t xml:space="preserve">Southeast-# Team</w:t>
            </w:r>
          </w:p>
        </w:tc>
        <w:tc>
          <w:tcPr>
            <w:tcW w:type="dxa" w:w="130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b/>
                <w:bCs/>
                <w:color w:val="7B4A2D"/>
                <w:sz w:val="16"/>
                <w:szCs w:val="16"/>
              </w:rPr>
              <w:t xml:space="preserve">Engagement</w:t>
            </w:r>
          </w:p>
        </w:tc>
        <w:tc>
          <w:tcPr>
            <w:tcW w:type="dxa" w:w="338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color w:val="2C1C12"/>
                <w:sz w:val="18"/>
                <w:szCs w:val="18"/>
              </w:rPr>
              <w:t xml:space="preserve">Q4 2026 Pre-Expansion Test</w:t>
            </w:r>
          </w:p>
        </w:tc>
      </w:tr>
      <w:tr>
        <w:tc>
          <w:tcPr>
            <w:tcW w:type="dxa" w:w="1300"/>
            <w:tcBorders>
              <w:top w:val="none" w:color="FFFFFF" w:sz="0"/>
              <w:left w:val="none" w:color="FFFFFF" w:sz="0"/>
              <w:bottom w:val="none" w:color="FFFFFF" w:sz="0"/>
              <w:right w:val="none" w:color="FFFFFF" w:sz="0"/>
            </w:tcBorders>
            <w:shd w:fill="F6ECDC" w:color="auto" w:val="clear"/>
            <w:tcMar>
              <w:top w:type="dxa" w:w="70"/>
              <w:left w:type="dxa" w:w="160"/>
              <w:bottom w:type="dxa" w:w="70"/>
              <w:right w:type="dxa" w:w="100"/>
            </w:tcMar>
            <w:vAlign w:val="center"/>
          </w:tcPr>
          <w:p>
            <w:pPr>
              <w:spacing w:after="0"/>
            </w:pPr>
            <w:r>
              <w:rPr>
                <w:rFonts w:ascii="Calibri" w:cs="Calibri" w:eastAsia="Calibri" w:hAnsi="Calibri"/>
                <w:b/>
                <w:bCs/>
                <w:color w:val="7B4A2D"/>
                <w:sz w:val="16"/>
                <w:szCs w:val="16"/>
              </w:rPr>
              <w:t xml:space="preserve">Client</w:t>
            </w:r>
          </w:p>
        </w:tc>
        <w:tc>
          <w:tcPr>
            <w:tcW w:type="dxa" w:w="338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color w:val="2C1C12"/>
                <w:sz w:val="18"/>
                <w:szCs w:val="18"/>
              </w:rPr>
              <w:t xml:space="preserve">Butters Family Farm</w:t>
            </w:r>
          </w:p>
        </w:tc>
        <w:tc>
          <w:tcPr>
            <w:tcW w:type="dxa" w:w="130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b/>
                <w:bCs/>
                <w:color w:val="7B4A2D"/>
                <w:sz w:val="16"/>
                <w:szCs w:val="16"/>
              </w:rPr>
              <w:t xml:space="preserve">Document</w:t>
            </w:r>
          </w:p>
        </w:tc>
        <w:tc>
          <w:tcPr>
            <w:tcW w:type="dxa" w:w="3380"/>
            <w:tcBorders>
              <w:top w:val="none" w:color="FFFFFF" w:sz="0"/>
              <w:left w:val="none" w:color="FFFFFF" w:sz="0"/>
              <w:bottom w:val="none" w:color="FFFFFF" w:sz="0"/>
              <w:right w:val="none" w:color="FFFFFF" w:sz="0"/>
            </w:tcBorders>
            <w:shd w:fill="F6ECDC" w:color="auto" w:val="clear"/>
            <w:tcMar>
              <w:top w:type="dxa" w:w="70"/>
              <w:left w:type="dxa" w:w="100"/>
              <w:bottom w:type="dxa" w:w="70"/>
              <w:right w:type="dxa" w:w="100"/>
            </w:tcMar>
            <w:vAlign w:val="center"/>
          </w:tcPr>
          <w:p>
            <w:pPr>
              <w:spacing w:after="0"/>
            </w:pPr>
            <w:r>
              <w:rPr>
                <w:rFonts w:ascii="Calibri" w:cs="Calibri" w:eastAsia="Calibri" w:hAnsi="Calibri"/>
                <w:color w:val="2C1C12"/>
                <w:sz w:val="18"/>
                <w:szCs w:val="18"/>
              </w:rPr>
              <w:t xml:space="preserve">BFF-SE#-INJ-### Rev 1.0</w:t>
            </w:r>
          </w:p>
        </w:tc>
      </w:tr>
    </w:tbl>
    <w:p>
      <w:pPr>
        <w:spacing w:after="200" w:before="0" w:line="20" w:lineRule="exact"/>
      </w:pPr>
    </w:p>
    <w:p>
      <w:pPr>
        <w:tabs>
          <w:tab w:val="left" w:pos="900"/>
        </w:tabs>
        <w:spacing w:after="40"/>
        <w:ind w:left="900" w:hanging="900"/>
      </w:pPr>
      <w:r>
        <w:rPr>
          <w:rFonts w:ascii="Calibri" w:cs="Calibri" w:eastAsia="Calibri" w:hAnsi="Calibri"/>
          <w:b/>
          <w:bCs/>
          <w:color w:val="7B4A2D"/>
        </w:rPr>
        <w:t xml:space="preserve">To:</w:t>
      </w:r>
      <w:r>
        <w:rPr>
          <w:rFonts w:ascii="Calibri" w:cs="Calibri" w:eastAsia="Calibri" w:hAnsi="Calibri"/>
          <w:color w:val="2C1C12"/>
        </w:rPr>
        <w:t xml:space="preserve">	Robin McGrass, Head of Security, Butters Family Farm</w:t>
      </w:r>
    </w:p>
    <w:p>
      <w:pPr>
        <w:tabs>
          <w:tab w:val="left" w:pos="900"/>
        </w:tabs>
        <w:spacing w:after="40"/>
        <w:ind w:left="900" w:hanging="900"/>
      </w:pPr>
      <w:r>
        <w:rPr>
          <w:rFonts w:ascii="Calibri" w:cs="Calibri" w:eastAsia="Calibri" w:hAnsi="Calibri"/>
          <w:b/>
          <w:bCs/>
          <w:color w:val="7B4A2D"/>
        </w:rPr>
        <w:t xml:space="preserve">From:</w:t>
      </w:r>
      <w:r>
        <w:rPr>
          <w:rFonts w:ascii="Calibri" w:cs="Calibri" w:eastAsia="Calibri" w:hAnsi="Calibri"/>
          <w:color w:val="2C1C12"/>
        </w:rPr>
        <w:t xml:space="preserve">	Southeast-# Penetration Testing Team</w:t>
      </w:r>
    </w:p>
    <w:p>
      <w:pPr>
        <w:tabs>
          <w:tab w:val="left" w:pos="900"/>
        </w:tabs>
        <w:spacing w:after="40"/>
        <w:ind w:left="900" w:hanging="900"/>
      </w:pPr>
      <w:r>
        <w:rPr>
          <w:rFonts w:ascii="Calibri" w:cs="Calibri" w:eastAsia="Calibri" w:hAnsi="Calibri"/>
          <w:b/>
          <w:bCs/>
          <w:color w:val="7B4A2D"/>
        </w:rPr>
        <w:t xml:space="preserve">Re:</w:t>
      </w:r>
      <w:r>
        <w:rPr>
          <w:rFonts w:ascii="Calibri" w:cs="Calibri" w:eastAsia="Calibri" w:hAnsi="Calibri"/>
          <w:color w:val="2C1C12"/>
        </w:rPr>
        <w:t xml:space="preserve">	RE: [INJ-###] [original subject line, verbatim]</w:t>
      </w:r>
    </w:p>
    <w:p>
      <w:pPr>
        <w:tabs>
          <w:tab w:val="left" w:pos="900"/>
        </w:tabs>
        <w:spacing w:after="40"/>
        <w:ind w:left="900" w:hanging="900"/>
      </w:pPr>
      <w:r>
        <w:rPr>
          <w:rFonts w:ascii="Calibri" w:cs="Calibri" w:eastAsia="Calibri" w:hAnsi="Calibri"/>
          <w:b/>
          <w:bCs/>
          <w:color w:val="7B4A2D"/>
        </w:rPr>
        <w:t xml:space="preserve">Date:</w:t>
      </w:r>
      <w:r>
        <w:rPr>
          <w:rFonts w:ascii="Calibri" w:cs="Calibri" w:eastAsia="Calibri" w:hAnsi="Calibri"/>
          <w:color w:val="2C1C12"/>
        </w:rPr>
        <w:t xml:space="preserve">	[date]</w:t>
      </w:r>
    </w:p>
    <w:p>
      <w:pPr>
        <w:spacing w:after="120" w:before="0" w:line="20" w:lineRule="exact"/>
      </w:pPr>
    </w:p>
    <w:p>
      <w:r>
        <w:rPr>
          <w:rFonts w:ascii="Calibri" w:cs="Calibri" w:eastAsia="Calibri" w:hAnsi="Calibri"/>
          <w:color w:val="2C1C12"/>
        </w:rPr>
        <w:t xml:space="preserve">Robin,</w:t>
      </w:r>
    </w:p>
    <w:p>
      <w:pPr>
        <w:pStyle w:val="Heading1"/>
      </w:pPr>
      <w:r>
        <w:t xml:space="preserve">1. REQUEST AS UNDERSTOOD</w:t>
      </w:r>
    </w:p>
    <w:p>
      <w:r>
        <w:rPr>
          <w:rFonts w:ascii="Calibri" w:cs="Calibri" w:eastAsia="Calibri" w:hAnsi="Calibri"/>
          <w:color w:val="2C1C12"/>
        </w:rPr>
        <w:t xml:space="preserve">[Restate the ask in one or two sentences. Cheapest way to catch a misread inject before it costs points.]</w:t>
      </w:r>
    </w:p>
    <w:p>
      <w:pPr>
        <w:tabs>
          <w:tab w:val="left" w:pos="2700"/>
        </w:tabs>
        <w:spacing w:after="40"/>
        <w:ind w:left="360"/>
      </w:pPr>
      <w:r>
        <w:rPr>
          <w:rFonts w:ascii="Calibri" w:cs="Calibri" w:eastAsia="Calibri" w:hAnsi="Calibri"/>
          <w:b/>
          <w:bCs/>
          <w:color w:val="7B4A2D"/>
        </w:rPr>
        <w:t xml:space="preserve">Deliverable requested:</w:t>
      </w:r>
      <w:r>
        <w:rPr>
          <w:rFonts w:ascii="Calibri" w:cs="Calibri" w:eastAsia="Calibri" w:hAnsi="Calibri"/>
          <w:color w:val="2C1C12"/>
        </w:rPr>
        <w:t xml:space="preserve">	[                                        ]</w:t>
      </w:r>
    </w:p>
    <w:p>
      <w:pPr>
        <w:tabs>
          <w:tab w:val="left" w:pos="2700"/>
        </w:tabs>
        <w:spacing w:after="40"/>
        <w:ind w:left="360"/>
      </w:pPr>
      <w:r>
        <w:rPr>
          <w:rFonts w:ascii="Calibri" w:cs="Calibri" w:eastAsia="Calibri" w:hAnsi="Calibri"/>
          <w:b/>
          <w:bCs/>
          <w:color w:val="7B4A2D"/>
        </w:rPr>
        <w:t xml:space="preserve">Deadline:</w:t>
      </w:r>
      <w:r>
        <w:rPr>
          <w:rFonts w:ascii="Calibri" w:cs="Calibri" w:eastAsia="Calibri" w:hAnsi="Calibri"/>
          <w:color w:val="2C1C12"/>
        </w:rPr>
        <w:t xml:space="preserve">	[                                        ]</w:t>
      </w:r>
    </w:p>
    <w:p>
      <w:pPr>
        <w:tabs>
          <w:tab w:val="left" w:pos="2700"/>
        </w:tabs>
        <w:spacing w:after="40"/>
        <w:ind w:left="360"/>
      </w:pPr>
      <w:r>
        <w:rPr>
          <w:rFonts w:ascii="Calibri" w:cs="Calibri" w:eastAsia="Calibri" w:hAnsi="Calibri"/>
          <w:b/>
          <w:bCs/>
          <w:color w:val="7B4A2D"/>
        </w:rPr>
        <w:t xml:space="preserve">Format requested:</w:t>
      </w:r>
      <w:r>
        <w:rPr>
          <w:rFonts w:ascii="Calibri" w:cs="Calibri" w:eastAsia="Calibri" w:hAnsi="Calibri"/>
          <w:color w:val="2C1C12"/>
        </w:rPr>
        <w:t xml:space="preserve">	[email / memo / document / spreadsheet]</w:t>
      </w:r>
    </w:p>
    <w:p>
      <w:pPr>
        <w:pStyle w:val="Heading1"/>
      </w:pPr>
      <w:r>
        <w:t xml:space="preserve">2. RESPONSE</w:t>
      </w:r>
    </w:p>
    <w:tbl>
      <w:tblPr>
        <w:tblW w:type="dxa" w:w="9360"/>
        <w:tblBorders>
          <w:top w:val="single" w:color="C9A06B" w:sz="8"/>
          <w:left w:val="single" w:color="C9A06B" w:sz="8"/>
          <w:bottom w:val="single" w:color="C9A06B" w:sz="8"/>
          <w:right w:val="single" w:color="C9A06B" w:sz="8"/>
          <w:insideH w:val="none" w:color="FFFFFF" w:sz="0"/>
          <w:insideV w:val="none" w:color="FFFFFF" w:sz="0"/>
        </w:tblBorders>
      </w:tblPr>
      <w:tblGrid>
        <w:gridCol w:w="9360"/>
      </w:tblGrid>
      <w:tr>
        <w:trPr>
          <w:cantSplit/>
        </w:trPr>
        <w:tc>
          <w:tcPr>
            <w:tcW w:type="dxa" w:w="9360"/>
            <w:tcBorders>
              <w:top w:val="single" w:color="C9A06B" w:sz="8"/>
              <w:left w:val="single" w:color="C9A06B" w:sz="8"/>
              <w:bottom w:val="single" w:color="C9A06B" w:sz="8"/>
              <w:right w:val="single" w:color="C9A06B" w:sz="8"/>
            </w:tcBorders>
            <w:shd w:fill="F6ECDC" w:color="auto" w:val="clear"/>
            <w:tcMar>
              <w:top w:type="dxa" w:w="100"/>
              <w:left w:type="dxa" w:w="160"/>
              <w:bottom w:type="dxa" w:w="100"/>
              <w:right w:type="dxa" w:w="140"/>
            </w:tcMar>
          </w:tcPr>
          <w:p>
            <w:pPr>
              <w:spacing w:after="0"/>
            </w:pPr>
            <w:r>
              <w:rPr>
                <w:rFonts w:ascii="Georgia" w:cs="Georgia" w:eastAsia="Georgia" w:hAnsi="Georgia"/>
                <w:b/>
                <w:bCs/>
                <w:color w:val="4A2F21"/>
                <w:sz w:val="19"/>
                <w:szCs w:val="19"/>
              </w:rPr>
              <w:t xml:space="preserve">BOTTOM LINE.  </w:t>
            </w:r>
            <w:r>
              <w:rPr>
                <w:rFonts w:ascii="Calibri" w:cs="Calibri" w:eastAsia="Calibri" w:hAnsi="Calibri"/>
                <w:color w:val="2C1C12"/>
              </w:rPr>
              <w:t xml:space="preserve">[One to three sentences that answer the request outright. Lead with the conclusion — confirmed, completed, declined, or “here is what we found” — then let the rest of the memo support it.]</w:t>
            </w:r>
          </w:p>
        </w:tc>
      </w:tr>
    </w:tbl>
    <w:p>
      <w:pPr>
        <w:spacing w:after="140" w:before="0" w:line="20" w:lineRule="exact"/>
      </w:pPr>
    </w:p>
    <w:p>
      <w:r>
        <w:rPr>
          <w:rFonts w:ascii="Calibri" w:cs="Calibri" w:eastAsia="Calibri" w:hAnsi="Calibri"/>
          <w:color w:val="2C1C12"/>
        </w:rPr>
        <w:t xml:space="preserve">[Two to four short paragraphs. Plain professional English. No filler, no hedging you cannot support, no speculation. If you do not know something, say so and say how you would find out.]</w:t>
      </w:r>
    </w:p>
    <w:p>
      <w:pPr>
        <w:pStyle w:val="Heading1"/>
      </w:pPr>
      <w:r>
        <w:t xml:space="preserve">3. ACTIONS TAKEN</w:t>
      </w:r>
    </w:p>
    <w:p>
      <w:pPr>
        <w:pStyle w:val="ListParagraph"/>
        <w:numPr>
          <w:ilvl w:val="0"/>
          <w:numId w:val="2"/>
        </w:numPr>
        <w:spacing w:after="80"/>
      </w:pPr>
      <w:r>
        <w:rPr>
          <w:rFonts w:ascii="Calibri" w:cs="Calibri" w:eastAsia="Calibri" w:hAnsi="Calibri"/>
          <w:color w:val="2C1C12"/>
        </w:rPr>
        <w:t xml:space="preserve">[What you did, when, using what method.]</w:t>
      </w:r>
    </w:p>
    <w:p>
      <w:pPr>
        <w:pStyle w:val="ListParagraph"/>
        <w:numPr>
          <w:ilvl w:val="0"/>
          <w:numId w:val="2"/>
        </w:numPr>
        <w:spacing w:after="80"/>
      </w:pPr>
      <w:r>
        <w:rPr>
          <w:rFonts w:ascii="Calibri" w:cs="Calibri" w:eastAsia="Calibri" w:hAnsi="Calibri"/>
          <w:color w:val="2C1C12"/>
        </w:rPr>
        <w:t xml:space="preserve">[The verification step — judges look for proof you confirmed the outcome rather than assumed it.]</w:t>
      </w:r>
    </w:p>
    <w:p>
      <w:pPr>
        <w:pStyle w:val="ListParagraph"/>
        <w:numPr>
          <w:ilvl w:val="0"/>
          <w:numId w:val="2"/>
        </w:numPr>
        <w:spacing w:after="80"/>
      </w:pPr>
      <w:r>
        <w:rPr>
          <w:rFonts w:ascii="Calibri" w:cs="Calibri" w:eastAsia="Calibri" w:hAnsi="Calibri"/>
          <w:color w:val="2C1C12"/>
        </w:rPr>
        <w:t xml:space="preserve">[Anything incomplete, and why.]</w:t>
      </w:r>
    </w:p>
    <w:p>
      <w:pPr>
        <w:pStyle w:val="Heading1"/>
      </w:pPr>
      <w:r>
        <w:t xml:space="preserve">4. FINDINGS AND EVIDENCE</w:t>
      </w:r>
    </w:p>
    <w:p>
      <w:pPr>
        <w:pStyle w:val="ListParagraph"/>
        <w:numPr>
          <w:ilvl w:val="0"/>
          <w:numId w:val="3"/>
        </w:numPr>
        <w:spacing w:after="60"/>
      </w:pPr>
      <w:r>
        <w:rPr>
          <w:rFonts w:ascii="Calibri" w:cs="Calibri" w:eastAsia="Calibri" w:hAnsi="Calibri"/>
          <w:color w:val="2C1C12"/>
        </w:rPr>
        <w:t xml:space="preserve">[Observation] — [impact, one sentence] — see Appendix A, item A1.</w:t>
      </w:r>
    </w:p>
    <w:p>
      <w:pPr>
        <w:pStyle w:val="ListParagraph"/>
        <w:numPr>
          <w:ilvl w:val="0"/>
          <w:numId w:val="3"/>
        </w:numPr>
        <w:spacing w:after="60"/>
      </w:pPr>
      <w:r>
        <w:rPr>
          <w:rFonts w:ascii="Calibri" w:cs="Calibri" w:eastAsia="Calibri" w:hAnsi="Calibri"/>
          <w:color w:val="2C1C12"/>
        </w:rPr>
        <w:t xml:space="preserve">[Observation] — [impact] — see item A2.</w:t>
      </w:r>
    </w:p>
    <w:p>
      <w:pPr>
        <w:pStyle w:val="Heading1"/>
      </w:pPr>
      <w:r>
        <w:t xml:space="preserve">5. RISK AND BUSINESS IMPACT</w:t>
      </w:r>
    </w:p>
    <w:tbl>
      <w:tblPr>
        <w:tblW w:type="dxa" w:w="9360"/>
        <w:tblBorders>
          <w:top w:val="single" w:color="C9A06B" w:sz="4"/>
          <w:left w:val="single" w:color="C9A06B" w:sz="4"/>
          <w:bottom w:val="single" w:color="C9A06B" w:sz="4"/>
          <w:right w:val="single" w:color="C9A06B" w:sz="4"/>
          <w:insideH w:val="single" w:color="C9A06B" w:sz="4"/>
          <w:insideV w:val="single" w:color="C9A06B" w:sz="4"/>
        </w:tblBorders>
      </w:tblPr>
      <w:tblGrid>
        <w:gridCol w:w="900"/>
        <w:gridCol w:w="1200"/>
        <w:gridCol w:w="5460"/>
        <w:gridCol w:w="1800"/>
      </w:tblGrid>
      <w:tr>
        <w:trPr>
          <w:tblHeader/>
        </w:trPr>
        <w:tc>
          <w:tcPr>
            <w:tcW w:type="dxa" w:w="900"/>
            <w:tcBorders>
              <w:top w:val="single" w:color="C9A06B" w:sz="4"/>
              <w:left w:val="single" w:color="C9A06B" w:sz="4"/>
              <w:bottom w:val="single" w:color="C9A06B" w:sz="4"/>
              <w:right w:val="single" w:color="C9A06B" w:sz="4"/>
            </w:tcBorders>
            <w:shd w:fill="4A2F21" w:color="auto" w:val="clear"/>
            <w:tcMar>
              <w:top w:type="dxa" w:w="70"/>
              <w:left w:type="dxa" w:w="100"/>
              <w:bottom w:type="dxa" w:w="70"/>
              <w:right w:type="dxa" w:w="100"/>
            </w:tcMar>
          </w:tcPr>
          <w:p>
            <w:pPr>
              <w:spacing w:after="0"/>
            </w:pPr>
            <w:r>
              <w:rPr>
                <w:rFonts w:ascii="Calibri" w:cs="Calibri" w:eastAsia="Calibri" w:hAnsi="Calibri"/>
                <w:b/>
                <w:bCs/>
                <w:color w:val="FFFFFF"/>
                <w:sz w:val="18"/>
                <w:szCs w:val="18"/>
              </w:rPr>
              <w:t xml:space="preserve">ID</w:t>
            </w:r>
          </w:p>
        </w:tc>
        <w:tc>
          <w:tcPr>
            <w:tcW w:type="dxa" w:w="1200"/>
            <w:tcBorders>
              <w:top w:val="single" w:color="C9A06B" w:sz="4"/>
              <w:left w:val="single" w:color="C9A06B" w:sz="4"/>
              <w:bottom w:val="single" w:color="C9A06B" w:sz="4"/>
              <w:right w:val="single" w:color="C9A06B" w:sz="4"/>
            </w:tcBorders>
            <w:shd w:fill="4A2F21" w:color="auto" w:val="clear"/>
            <w:tcMar>
              <w:top w:type="dxa" w:w="70"/>
              <w:left w:type="dxa" w:w="100"/>
              <w:bottom w:type="dxa" w:w="70"/>
              <w:right w:type="dxa" w:w="100"/>
            </w:tcMar>
          </w:tcPr>
          <w:p>
            <w:pPr>
              <w:spacing w:after="0"/>
            </w:pPr>
            <w:r>
              <w:rPr>
                <w:rFonts w:ascii="Calibri" w:cs="Calibri" w:eastAsia="Calibri" w:hAnsi="Calibri"/>
                <w:b/>
                <w:bCs/>
                <w:color w:val="FFFFFF"/>
                <w:sz w:val="18"/>
                <w:szCs w:val="18"/>
              </w:rPr>
              <w:t xml:space="preserve">Severity</w:t>
            </w:r>
          </w:p>
        </w:tc>
        <w:tc>
          <w:tcPr>
            <w:tcW w:type="dxa" w:w="5460"/>
            <w:tcBorders>
              <w:top w:val="single" w:color="C9A06B" w:sz="4"/>
              <w:left w:val="single" w:color="C9A06B" w:sz="4"/>
              <w:bottom w:val="single" w:color="C9A06B" w:sz="4"/>
              <w:right w:val="single" w:color="C9A06B" w:sz="4"/>
            </w:tcBorders>
            <w:shd w:fill="4A2F21" w:color="auto" w:val="clear"/>
            <w:tcMar>
              <w:top w:type="dxa" w:w="70"/>
              <w:left w:type="dxa" w:w="100"/>
              <w:bottom w:type="dxa" w:w="70"/>
              <w:right w:type="dxa" w:w="100"/>
            </w:tcMar>
          </w:tcPr>
          <w:p>
            <w:pPr>
              <w:spacing w:after="0"/>
            </w:pPr>
            <w:r>
              <w:rPr>
                <w:rFonts w:ascii="Calibri" w:cs="Calibri" w:eastAsia="Calibri" w:hAnsi="Calibri"/>
                <w:b/>
                <w:bCs/>
                <w:color w:val="FFFFFF"/>
                <w:sz w:val="18"/>
                <w:szCs w:val="18"/>
              </w:rPr>
              <w:t xml:space="preserve">Impact</w:t>
            </w:r>
          </w:p>
        </w:tc>
        <w:tc>
          <w:tcPr>
            <w:tcW w:type="dxa" w:w="1800"/>
            <w:tcBorders>
              <w:top w:val="single" w:color="C9A06B" w:sz="4"/>
              <w:left w:val="single" w:color="C9A06B" w:sz="4"/>
              <w:bottom w:val="single" w:color="C9A06B" w:sz="4"/>
              <w:right w:val="single" w:color="C9A06B" w:sz="4"/>
            </w:tcBorders>
            <w:shd w:fill="4A2F21" w:color="auto" w:val="clear"/>
            <w:tcMar>
              <w:top w:type="dxa" w:w="70"/>
              <w:left w:type="dxa" w:w="100"/>
              <w:bottom w:type="dxa" w:w="70"/>
              <w:right w:type="dxa" w:w="100"/>
            </w:tcMar>
          </w:tcPr>
          <w:p>
            <w:pPr>
              <w:spacing w:after="0"/>
            </w:pPr>
            <w:r>
              <w:rPr>
                <w:rFonts w:ascii="Calibri" w:cs="Calibri" w:eastAsia="Calibri" w:hAnsi="Calibri"/>
                <w:b/>
                <w:bCs/>
                <w:color w:val="FFFFFF"/>
                <w:sz w:val="18"/>
                <w:szCs w:val="18"/>
              </w:rPr>
              <w:t xml:space="preserve">Owner</w:t>
            </w:r>
          </w:p>
        </w:tc>
      </w:tr>
      <w:tr>
        <w:trPr>
          <w:cantSplit/>
        </w:trPr>
        <w:tc>
          <w:tcPr>
            <w:tcW w:type="dxa" w:w="9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F-01</w:t>
            </w:r>
          </w:p>
        </w:tc>
        <w:tc>
          <w:tcPr>
            <w:tcW w:type="dxa" w:w="12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b/>
                <w:bCs/>
                <w:color w:val="4A2F21"/>
                <w:sz w:val="19"/>
                <w:szCs w:val="19"/>
              </w:rPr>
              <w:t xml:space="preserve">High</w:t>
            </w:r>
          </w:p>
        </w:tc>
        <w:tc>
          <w:tcPr>
            <w:tcW w:type="dxa" w:w="546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[business consequence, not a CVSS score]</w:t>
            </w:r>
          </w:p>
        </w:tc>
        <w:tc>
          <w:tcPr>
            <w:tcW w:type="dxa" w:w="18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IT Operations</w:t>
            </w:r>
          </w:p>
        </w:tc>
      </w:tr>
      <w:tr>
        <w:trPr>
          <w:cantSplit/>
        </w:trPr>
        <w:tc>
          <w:tcPr>
            <w:tcW w:type="dxa" w:w="9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F-02</w:t>
            </w:r>
          </w:p>
        </w:tc>
        <w:tc>
          <w:tcPr>
            <w:tcW w:type="dxa" w:w="12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b/>
                <w:bCs/>
                <w:color w:val="4A2F21"/>
                <w:sz w:val="19"/>
                <w:szCs w:val="19"/>
              </w:rPr>
              <w:t xml:space="preserve">Medium</w:t>
            </w:r>
          </w:p>
        </w:tc>
        <w:tc>
          <w:tcPr>
            <w:tcW w:type="dxa" w:w="546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[business consequence]</w:t>
            </w:r>
          </w:p>
        </w:tc>
        <w:tc>
          <w:tcPr>
            <w:tcW w:type="dxa" w:w="18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Security</w:t>
            </w:r>
          </w:p>
        </w:tc>
      </w:tr>
      <w:tr>
        <w:trPr>
          <w:cantSplit/>
        </w:trPr>
        <w:tc>
          <w:tcPr>
            <w:tcW w:type="dxa" w:w="9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F-03</w:t>
            </w:r>
          </w:p>
        </w:tc>
        <w:tc>
          <w:tcPr>
            <w:tcW w:type="dxa" w:w="12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b/>
                <w:bCs/>
                <w:color w:val="4A2F21"/>
                <w:sz w:val="19"/>
                <w:szCs w:val="19"/>
              </w:rPr>
              <w:t xml:space="preserve">Low</w:t>
            </w:r>
          </w:p>
        </w:tc>
        <w:tc>
          <w:tcPr>
            <w:tcW w:type="dxa" w:w="546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[business consequence]</w:t>
            </w:r>
          </w:p>
        </w:tc>
        <w:tc>
          <w:tcPr>
            <w:tcW w:type="dxa" w:w="18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App team</w:t>
            </w:r>
          </w:p>
        </w:tc>
      </w:tr>
    </w:tbl>
    <w:p>
      <w:pPr>
        <w:pStyle w:val="Heading1"/>
      </w:pPr>
      <w:r>
        <w:t xml:space="preserve">6. ASSUMPTIONS AND CONSTRAINTS</w:t>
      </w:r>
    </w:p>
    <w:tbl>
      <w:tblPr>
        <w:tblW w:type="dxa" w:w="9360"/>
        <w:tblBorders>
          <w:top w:val="single" w:color="C9A06B" w:sz="8"/>
          <w:left w:val="single" w:color="C9A06B" w:sz="8"/>
          <w:bottom w:val="single" w:color="C9A06B" w:sz="8"/>
          <w:right w:val="single" w:color="C9A06B" w:sz="8"/>
          <w:insideH w:val="none" w:color="FFFFFF" w:sz="0"/>
          <w:insideV w:val="none" w:color="FFFFFF" w:sz="0"/>
        </w:tblBorders>
      </w:tblPr>
      <w:tblGrid>
        <w:gridCol w:w="9360"/>
      </w:tblGrid>
      <w:tr>
        <w:trPr>
          <w:cantSplit/>
        </w:trPr>
        <w:tc>
          <w:tcPr>
            <w:tcW w:type="dxa" w:w="9360"/>
            <w:tcBorders>
              <w:top w:val="single" w:color="C9A06B" w:sz="8"/>
              <w:left w:val="single" w:color="C9A06B" w:sz="8"/>
              <w:bottom w:val="single" w:color="C9A06B" w:sz="8"/>
              <w:right w:val="single" w:color="C9A06B" w:sz="8"/>
            </w:tcBorders>
            <w:shd w:fill="F6ECDC" w:color="auto" w:val="clear"/>
            <w:tcMar>
              <w:top w:type="dxa" w:w="100"/>
              <w:left w:type="dxa" w:w="160"/>
              <w:bottom w:type="dxa" w:w="100"/>
              <w:right w:type="dxa" w:w="140"/>
            </w:tcMar>
          </w:tcPr>
          <w:p>
            <w:pPr>
              <w:spacing w:after="60"/>
            </w:pPr>
            <w:r>
              <w:rPr>
                <w:rFonts w:ascii="Georgia" w:cs="Georgia" w:eastAsia="Georgia" w:hAnsi="Georgia"/>
                <w:b/>
                <w:bCs/>
                <w:color w:val="4A2F21"/>
                <w:sz w:val="19"/>
                <w:szCs w:val="19"/>
              </w:rPr>
              <w:t xml:space="preserve">Scoping notes</w:t>
            </w:r>
          </w:p>
          <w:p>
            <w:pPr>
              <w:pStyle w:val="ListParagraph"/>
              <w:numPr>
                <w:ilvl w:val="0"/>
                <w:numId w:val="3"/>
              </w:numPr>
              <w:spacing w:after="60"/>
            </w:pPr>
            <w:r>
              <w:rPr>
                <w:rFonts w:ascii="Calibri" w:cs="Calibri" w:eastAsia="Calibri" w:hAnsi="Calibri"/>
                <w:color w:val="2C1C12"/>
              </w:rPr>
              <w:t xml:space="preserve">This response reflects information available to us as of [time] ET.</w:t>
            </w:r>
          </w:p>
          <w:p>
            <w:pPr>
              <w:pStyle w:val="ListParagraph"/>
              <w:numPr>
                <w:ilvl w:val="0"/>
                <w:numId w:val="3"/>
              </w:numPr>
              <w:spacing w:after="60"/>
            </w:pPr>
            <w:r>
              <w:rPr>
                <w:rFonts w:ascii="Calibri" w:cs="Calibri" w:eastAsia="Calibri" w:hAnsi="Calibri"/>
                <w:color w:val="2C1C12"/>
              </w:rPr>
              <w:t xml:space="preserve">[Out-of-scope items relevant here — e.g. “the VDI subnet and VPN were not assessed and are excluded from these conclusions.”]</w:t>
            </w:r>
          </w:p>
          <w:p>
            <w:pPr>
              <w:pStyle w:val="ListParagraph"/>
              <w:numPr>
                <w:ilvl w:val="0"/>
                <w:numId w:val="3"/>
              </w:numPr>
              <w:spacing w:after="60"/>
            </w:pPr>
            <w:r>
              <w:rPr>
                <w:rFonts w:ascii="Calibri" w:cs="Calibri" w:eastAsia="Calibri" w:hAnsi="Calibri"/>
                <w:color w:val="2C1C12"/>
              </w:rPr>
              <w:t xml:space="preserve">[Any decision or access needed from you before the next step.]</w:t>
            </w:r>
          </w:p>
        </w:tc>
      </w:tr>
    </w:tbl>
    <w:p>
      <w:pPr>
        <w:pStyle w:val="Heading1"/>
      </w:pPr>
      <w:r>
        <w:t xml:space="preserve">7. RECOMMENDATIONS AND NEXT STEPS</w:t>
      </w:r>
    </w:p>
    <w:p>
      <w:pPr>
        <w:pStyle w:val="ListParagraph"/>
        <w:numPr>
          <w:ilvl w:val="0"/>
          <w:numId w:val="4"/>
        </w:numPr>
        <w:spacing w:after="80"/>
      </w:pPr>
      <w:r>
        <w:rPr>
          <w:rFonts w:ascii="Calibri" w:cs="Calibri" w:eastAsia="Calibri" w:hAnsi="Calibri"/>
          <w:b/>
          <w:bCs/>
          <w:color w:val="7B4A2D"/>
        </w:rPr>
        <w:t xml:space="preserve">Immediate (0–48 h):  </w:t>
      </w:r>
      <w:r>
        <w:rPr>
          <w:rFonts w:ascii="Calibri" w:cs="Calibri" w:eastAsia="Calibri" w:hAnsi="Calibri"/>
          <w:color w:val="2C1C12"/>
        </w:rPr>
        <w:t xml:space="preserve">[containment or quick win]</w:t>
      </w:r>
    </w:p>
    <w:p>
      <w:pPr>
        <w:pStyle w:val="ListParagraph"/>
        <w:numPr>
          <w:ilvl w:val="0"/>
          <w:numId w:val="4"/>
        </w:numPr>
        <w:spacing w:after="80"/>
      </w:pPr>
      <w:r>
        <w:rPr>
          <w:rFonts w:ascii="Calibri" w:cs="Calibri" w:eastAsia="Calibri" w:hAnsi="Calibri"/>
          <w:b/>
          <w:bCs/>
          <w:color w:val="7B4A2D"/>
        </w:rPr>
        <w:t xml:space="preserve">Short term (1–2 weeks):  </w:t>
      </w:r>
      <w:r>
        <w:rPr>
          <w:rFonts w:ascii="Calibri" w:cs="Calibri" w:eastAsia="Calibri" w:hAnsi="Calibri"/>
          <w:color w:val="2C1C12"/>
        </w:rPr>
        <w:t xml:space="preserve">[configuration or process fix]</w:t>
      </w:r>
    </w:p>
    <w:p>
      <w:pPr>
        <w:pStyle w:val="ListParagraph"/>
        <w:numPr>
          <w:ilvl w:val="0"/>
          <w:numId w:val="4"/>
        </w:numPr>
        <w:spacing w:after="80"/>
      </w:pPr>
      <w:r>
        <w:rPr>
          <w:rFonts w:ascii="Calibri" w:cs="Calibri" w:eastAsia="Calibri" w:hAnsi="Calibri"/>
          <w:b/>
          <w:bCs/>
          <w:color w:val="7B4A2D"/>
        </w:rPr>
        <w:t xml:space="preserve">Longer term:  </w:t>
      </w:r>
      <w:r>
        <w:rPr>
          <w:rFonts w:ascii="Calibri" w:cs="Calibri" w:eastAsia="Calibri" w:hAnsi="Calibri"/>
          <w:color w:val="2C1C12"/>
        </w:rPr>
        <w:t xml:space="preserve">[architectural or programmatic change]</w:t>
      </w:r>
    </w:p>
    <w:p>
      <w:pPr>
        <w:pStyle w:val="Heading1"/>
      </w:pPr>
      <w:r>
        <w:t xml:space="preserve">8. ATTACHMENTS</w:t>
      </w:r>
    </w:p>
    <w:tbl>
      <w:tblPr>
        <w:tblW w:type="dxa" w:w="9360"/>
        <w:tblBorders>
          <w:top w:val="single" w:color="C9A06B" w:sz="4"/>
          <w:left w:val="single" w:color="C9A06B" w:sz="4"/>
          <w:bottom w:val="single" w:color="C9A06B" w:sz="4"/>
          <w:right w:val="single" w:color="C9A06B" w:sz="4"/>
          <w:insideH w:val="single" w:color="C9A06B" w:sz="4"/>
          <w:insideV w:val="single" w:color="C9A06B" w:sz="4"/>
        </w:tblBorders>
      </w:tblPr>
      <w:tblGrid>
        <w:gridCol w:w="1000"/>
        <w:gridCol w:w="6160"/>
        <w:gridCol w:w="2200"/>
      </w:tblGrid>
      <w:tr>
        <w:trPr>
          <w:tblHeader/>
        </w:trPr>
        <w:tc>
          <w:tcPr>
            <w:tcW w:type="dxa" w:w="1000"/>
            <w:tcBorders>
              <w:top w:val="single" w:color="C9A06B" w:sz="4"/>
              <w:left w:val="single" w:color="C9A06B" w:sz="4"/>
              <w:bottom w:val="single" w:color="C9A06B" w:sz="4"/>
              <w:right w:val="single" w:color="C9A06B" w:sz="4"/>
            </w:tcBorders>
            <w:shd w:fill="4A2F21" w:color="auto" w:val="clear"/>
            <w:tcMar>
              <w:top w:type="dxa" w:w="70"/>
              <w:left w:type="dxa" w:w="100"/>
              <w:bottom w:type="dxa" w:w="70"/>
              <w:right w:type="dxa" w:w="100"/>
            </w:tcMar>
          </w:tcPr>
          <w:p>
            <w:pPr>
              <w:spacing w:after="0"/>
            </w:pPr>
            <w:r>
              <w:rPr>
                <w:rFonts w:ascii="Calibri" w:cs="Calibri" w:eastAsia="Calibri" w:hAnsi="Calibri"/>
                <w:b/>
                <w:bCs/>
                <w:color w:val="FFFFFF"/>
                <w:sz w:val="18"/>
                <w:szCs w:val="18"/>
              </w:rPr>
              <w:t xml:space="preserve">Ref</w:t>
            </w:r>
          </w:p>
        </w:tc>
        <w:tc>
          <w:tcPr>
            <w:tcW w:type="dxa" w:w="6160"/>
            <w:tcBorders>
              <w:top w:val="single" w:color="C9A06B" w:sz="4"/>
              <w:left w:val="single" w:color="C9A06B" w:sz="4"/>
              <w:bottom w:val="single" w:color="C9A06B" w:sz="4"/>
              <w:right w:val="single" w:color="C9A06B" w:sz="4"/>
            </w:tcBorders>
            <w:shd w:fill="4A2F21" w:color="auto" w:val="clear"/>
            <w:tcMar>
              <w:top w:type="dxa" w:w="70"/>
              <w:left w:type="dxa" w:w="100"/>
              <w:bottom w:type="dxa" w:w="70"/>
              <w:right w:type="dxa" w:w="100"/>
            </w:tcMar>
          </w:tcPr>
          <w:p>
            <w:pPr>
              <w:spacing w:after="0"/>
            </w:pPr>
            <w:r>
              <w:rPr>
                <w:rFonts w:ascii="Calibri" w:cs="Calibri" w:eastAsia="Calibri" w:hAnsi="Calibri"/>
                <w:b/>
                <w:bCs/>
                <w:color w:val="FFFFFF"/>
                <w:sz w:val="18"/>
                <w:szCs w:val="18"/>
              </w:rPr>
              <w:t xml:space="preserve">Item</w:t>
            </w:r>
          </w:p>
        </w:tc>
        <w:tc>
          <w:tcPr>
            <w:tcW w:type="dxa" w:w="2200"/>
            <w:tcBorders>
              <w:top w:val="single" w:color="C9A06B" w:sz="4"/>
              <w:left w:val="single" w:color="C9A06B" w:sz="4"/>
              <w:bottom w:val="single" w:color="C9A06B" w:sz="4"/>
              <w:right w:val="single" w:color="C9A06B" w:sz="4"/>
            </w:tcBorders>
            <w:shd w:fill="4A2F21" w:color="auto" w:val="clear"/>
            <w:tcMar>
              <w:top w:type="dxa" w:w="70"/>
              <w:left w:type="dxa" w:w="100"/>
              <w:bottom w:type="dxa" w:w="70"/>
              <w:right w:type="dxa" w:w="100"/>
            </w:tcMar>
          </w:tcPr>
          <w:p>
            <w:pPr>
              <w:spacing w:after="0"/>
            </w:pPr>
            <w:r>
              <w:rPr>
                <w:rFonts w:ascii="Calibri" w:cs="Calibri" w:eastAsia="Calibri" w:hAnsi="Calibri"/>
                <w:b/>
                <w:bCs/>
                <w:color w:val="FFFFFF"/>
                <w:sz w:val="18"/>
                <w:szCs w:val="18"/>
              </w:rPr>
              <w:t xml:space="preserve">Format</w:t>
            </w:r>
          </w:p>
        </w:tc>
      </w:tr>
      <w:tr>
        <w:trPr>
          <w:cantSplit/>
        </w:trPr>
        <w:tc>
          <w:tcPr>
            <w:tcW w:type="dxa" w:w="10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D-1</w:t>
            </w:r>
          </w:p>
        </w:tc>
        <w:tc>
          <w:tcPr>
            <w:tcW w:type="dxa" w:w="616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This response</w:t>
            </w:r>
          </w:p>
        </w:tc>
        <w:tc>
          <w:tcPr>
            <w:tcW w:type="dxa" w:w="22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PDF</w:t>
            </w:r>
          </w:p>
        </w:tc>
      </w:tr>
      <w:tr>
        <w:trPr>
          <w:cantSplit/>
        </w:trPr>
        <w:tc>
          <w:tcPr>
            <w:tcW w:type="dxa" w:w="10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D-2</w:t>
            </w:r>
          </w:p>
        </w:tc>
        <w:tc>
          <w:tcPr>
            <w:tcW w:type="dxa" w:w="616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[supporting artifact]</w:t>
            </w:r>
          </w:p>
        </w:tc>
        <w:tc>
          <w:tcPr>
            <w:tcW w:type="dxa" w:w="22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XLSX</w:t>
            </w:r>
          </w:p>
        </w:tc>
      </w:tr>
    </w:tbl>
    <w:p>
      <w:pPr>
        <w:spacing w:after="160" w:before="0" w:line="20" w:lineRule="exact"/>
      </w:pPr>
    </w:p>
    <w:p>
      <w:r>
        <w:rPr>
          <w:rFonts w:ascii="Calibri" w:cs="Calibri" w:eastAsia="Calibri" w:hAnsi="Calibri"/>
          <w:color w:val="2C1C12"/>
        </w:rPr>
        <w:t xml:space="preserve">Please direct questions on this response to the engagement ticket at support.cp.tc. We will hold the current testing timeline unless you direct otherwise.</w:t>
      </w:r>
    </w:p>
    <w:p>
      <w:pPr>
        <w:keepNext/>
        <w:spacing w:after="480"/>
      </w:pPr>
      <w:r>
        <w:rPr>
          <w:rFonts w:ascii="Calibri" w:cs="Calibri" w:eastAsia="Calibri" w:hAnsi="Calibri"/>
          <w:color w:val="2C1C12"/>
        </w:rPr>
        <w:t xml:space="preserve">Sincerely,</w:t>
      </w:r>
    </w:p>
    <w:p>
      <w:pPr>
        <w:keepNext/>
        <w:pBdr>
          <w:bottom w:val="single" w:color="7B4A2D" w:sz="6" w:space="1"/>
        </w:pBdr>
        <w:spacing w:after="60"/>
        <w:ind w:right="5760"/>
      </w:pPr>
    </w:p>
    <w:p>
      <w:pPr>
        <w:keepNext/>
        <w:spacing w:after="20"/>
      </w:pPr>
      <w:r>
        <w:rPr>
          <w:rFonts w:ascii="Calibri" w:cs="Calibri" w:eastAsia="Calibri" w:hAnsi="Calibri"/>
          <w:b/>
          <w:bCs/>
          <w:color w:val="2C1C12"/>
        </w:rPr>
        <w:t xml:space="preserve">Southeast-# Penetration Testing Team</w:t>
      </w:r>
    </w:p>
    <w:p>
      <w:r>
        <w:rPr>
          <w:rFonts w:ascii="Calibri" w:cs="Calibri" w:eastAsia="Calibri" w:hAnsi="Calibri"/>
          <w:color w:val="7B4A2D"/>
          <w:sz w:val="17"/>
          <w:szCs w:val="17"/>
        </w:rPr>
        <w:t xml:space="preserve">Prepared for Butters Family Farm under the Q4 2026 engagement agreement</w:t>
      </w:r>
    </w:p>
    <w:p>
      <w:r>
        <w:br w:type="page"/>
      </w:r>
    </w:p>
    <w:p>
      <w:pPr>
        <w:pStyle w:val="Heading1"/>
      </w:pPr>
      <w:r>
        <w:t xml:space="preserve">APPENDIX A — EVIDENCE LOG</w:t>
      </w:r>
    </w:p>
    <w:tbl>
      <w:tblPr>
        <w:tblW w:type="dxa" w:w="9360"/>
        <w:tblBorders>
          <w:top w:val="single" w:color="C9A06B" w:sz="4"/>
          <w:left w:val="single" w:color="C9A06B" w:sz="4"/>
          <w:bottom w:val="single" w:color="C9A06B" w:sz="4"/>
          <w:right w:val="single" w:color="C9A06B" w:sz="4"/>
          <w:insideH w:val="single" w:color="C9A06B" w:sz="4"/>
          <w:insideV w:val="single" w:color="C9A06B" w:sz="4"/>
        </w:tblBorders>
      </w:tblPr>
      <w:tblGrid>
        <w:gridCol w:w="900"/>
        <w:gridCol w:w="1300"/>
        <w:gridCol w:w="4560"/>
        <w:gridCol w:w="2600"/>
      </w:tblGrid>
      <w:tr>
        <w:trPr>
          <w:tblHeader/>
        </w:trPr>
        <w:tc>
          <w:tcPr>
            <w:tcW w:type="dxa" w:w="900"/>
            <w:tcBorders>
              <w:top w:val="single" w:color="C9A06B" w:sz="4"/>
              <w:left w:val="single" w:color="C9A06B" w:sz="4"/>
              <w:bottom w:val="single" w:color="C9A06B" w:sz="4"/>
              <w:right w:val="single" w:color="C9A06B" w:sz="4"/>
            </w:tcBorders>
            <w:shd w:fill="4A2F21" w:color="auto" w:val="clear"/>
            <w:tcMar>
              <w:top w:type="dxa" w:w="70"/>
              <w:left w:type="dxa" w:w="100"/>
              <w:bottom w:type="dxa" w:w="70"/>
              <w:right w:type="dxa" w:w="100"/>
            </w:tcMar>
          </w:tcPr>
          <w:p>
            <w:pPr>
              <w:spacing w:after="0"/>
            </w:pPr>
            <w:r>
              <w:rPr>
                <w:rFonts w:ascii="Calibri" w:cs="Calibri" w:eastAsia="Calibri" w:hAnsi="Calibri"/>
                <w:b/>
                <w:bCs/>
                <w:color w:val="FFFFFF"/>
                <w:sz w:val="18"/>
                <w:szCs w:val="18"/>
              </w:rPr>
              <w:t xml:space="preserve">Ref</w:t>
            </w:r>
          </w:p>
        </w:tc>
        <w:tc>
          <w:tcPr>
            <w:tcW w:type="dxa" w:w="1300"/>
            <w:tcBorders>
              <w:top w:val="single" w:color="C9A06B" w:sz="4"/>
              <w:left w:val="single" w:color="C9A06B" w:sz="4"/>
              <w:bottom w:val="single" w:color="C9A06B" w:sz="4"/>
              <w:right w:val="single" w:color="C9A06B" w:sz="4"/>
            </w:tcBorders>
            <w:shd w:fill="4A2F21" w:color="auto" w:val="clear"/>
            <w:tcMar>
              <w:top w:type="dxa" w:w="70"/>
              <w:left w:type="dxa" w:w="100"/>
              <w:bottom w:type="dxa" w:w="70"/>
              <w:right w:type="dxa" w:w="100"/>
            </w:tcMar>
          </w:tcPr>
          <w:p>
            <w:pPr>
              <w:spacing w:after="0"/>
            </w:pPr>
            <w:r>
              <w:rPr>
                <w:rFonts w:ascii="Calibri" w:cs="Calibri" w:eastAsia="Calibri" w:hAnsi="Calibri"/>
                <w:b/>
                <w:bCs/>
                <w:color w:val="FFFFFF"/>
                <w:sz w:val="18"/>
                <w:szCs w:val="18"/>
              </w:rPr>
              <w:t xml:space="preserve">Time (ET)</w:t>
            </w:r>
          </w:p>
        </w:tc>
        <w:tc>
          <w:tcPr>
            <w:tcW w:type="dxa" w:w="4560"/>
            <w:tcBorders>
              <w:top w:val="single" w:color="C9A06B" w:sz="4"/>
              <w:left w:val="single" w:color="C9A06B" w:sz="4"/>
              <w:bottom w:val="single" w:color="C9A06B" w:sz="4"/>
              <w:right w:val="single" w:color="C9A06B" w:sz="4"/>
            </w:tcBorders>
            <w:shd w:fill="4A2F21" w:color="auto" w:val="clear"/>
            <w:tcMar>
              <w:top w:type="dxa" w:w="70"/>
              <w:left w:type="dxa" w:w="100"/>
              <w:bottom w:type="dxa" w:w="70"/>
              <w:right w:type="dxa" w:w="100"/>
            </w:tcMar>
          </w:tcPr>
          <w:p>
            <w:pPr>
              <w:spacing w:after="0"/>
            </w:pPr>
            <w:r>
              <w:rPr>
                <w:rFonts w:ascii="Calibri" w:cs="Calibri" w:eastAsia="Calibri" w:hAnsi="Calibri"/>
                <w:b/>
                <w:bCs/>
                <w:color w:val="FFFFFF"/>
                <w:sz w:val="18"/>
                <w:szCs w:val="18"/>
              </w:rPr>
              <w:t xml:space="preserve">Evidence / command</w:t>
            </w:r>
          </w:p>
        </w:tc>
        <w:tc>
          <w:tcPr>
            <w:tcW w:type="dxa" w:w="2600"/>
            <w:tcBorders>
              <w:top w:val="single" w:color="C9A06B" w:sz="4"/>
              <w:left w:val="single" w:color="C9A06B" w:sz="4"/>
              <w:bottom w:val="single" w:color="C9A06B" w:sz="4"/>
              <w:right w:val="single" w:color="C9A06B" w:sz="4"/>
            </w:tcBorders>
            <w:shd w:fill="4A2F21" w:color="auto" w:val="clear"/>
            <w:tcMar>
              <w:top w:type="dxa" w:w="70"/>
              <w:left w:type="dxa" w:w="100"/>
              <w:bottom w:type="dxa" w:w="70"/>
              <w:right w:type="dxa" w:w="100"/>
            </w:tcMar>
          </w:tcPr>
          <w:p>
            <w:pPr>
              <w:spacing w:after="0"/>
            </w:pPr>
            <w:r>
              <w:rPr>
                <w:rFonts w:ascii="Calibri" w:cs="Calibri" w:eastAsia="Calibri" w:hAnsi="Calibri"/>
                <w:b/>
                <w:bCs/>
                <w:color w:val="FFFFFF"/>
                <w:sz w:val="18"/>
                <w:szCs w:val="18"/>
              </w:rPr>
              <w:t xml:space="preserve">Source</w:t>
            </w:r>
          </w:p>
        </w:tc>
      </w:tr>
      <w:tr>
        <w:trPr>
          <w:cantSplit/>
        </w:trPr>
        <w:tc>
          <w:tcPr>
            <w:tcW w:type="dxa" w:w="9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A1</w:t>
            </w:r>
          </w:p>
        </w:tc>
        <w:tc>
          <w:tcPr>
            <w:tcW w:type="dxa" w:w="13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11:26</w:t>
            </w:r>
          </w:p>
        </w:tc>
        <w:tc>
          <w:tcPr>
            <w:tcW w:type="dxa" w:w="456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nmap -sV -Pn &lt;target&gt; (excerpt)</w:t>
            </w:r>
          </w:p>
        </w:tc>
        <w:tc>
          <w:tcPr>
            <w:tcW w:type="dxa" w:w="26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VDI-WIN-02</w:t>
            </w:r>
          </w:p>
        </w:tc>
      </w:tr>
      <w:tr>
        <w:trPr>
          <w:cantSplit/>
        </w:trPr>
        <w:tc>
          <w:tcPr>
            <w:tcW w:type="dxa" w:w="9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A2</w:t>
            </w:r>
          </w:p>
        </w:tc>
        <w:tc>
          <w:tcPr>
            <w:tcW w:type="dxa" w:w="13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11:41</w:t>
            </w:r>
          </w:p>
        </w:tc>
        <w:tc>
          <w:tcPr>
            <w:tcW w:type="dxa" w:w="456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curl -I https://&lt;target&gt;</w:t>
            </w:r>
          </w:p>
        </w:tc>
        <w:tc>
          <w:tcPr>
            <w:tcW w:type="dxa" w:w="2600"/>
            <w:tcBorders>
              <w:top w:val="single" w:color="C9A06B" w:sz="4"/>
              <w:left w:val="single" w:color="C9A06B" w:sz="4"/>
              <w:bottom w:val="single" w:color="C9A06B" w:sz="4"/>
              <w:right w:val="single" w:color="C9A06B" w:sz="4"/>
            </w:tcBorders>
            <w:tcMar>
              <w:top w:type="dxa" w:w="70"/>
              <w:left w:type="dxa" w:w="100"/>
              <w:bottom w:type="dxa" w:w="70"/>
              <w:right w:type="dxa" w:w="100"/>
            </w:tcMar>
          </w:tcPr>
          <w:p>
            <w:pPr>
              <w:spacing w:after="0"/>
            </w:pPr>
            <w:r>
              <w:rPr>
                <w:rFonts w:ascii="Calibri" w:cs="Calibri" w:eastAsia="Calibri" w:hAnsi="Calibri"/>
                <w:color w:val="2C1C12"/>
                <w:sz w:val="19"/>
                <w:szCs w:val="19"/>
              </w:rPr>
              <w:t xml:space="preserve">VDI-WIN-02</w:t>
            </w:r>
          </w:p>
        </w:tc>
      </w:tr>
    </w:tbl>
    <w:p>
      <w:pPr>
        <w:spacing w:after="200" w:before="0" w:line="20" w:lineRule="exact"/>
      </w:pPr>
    </w:p>
    <w:p>
      <w:r>
        <w:rPr>
          <w:rFonts w:ascii="Calibri" w:cs="Calibri" w:eastAsia="Calibri" w:hAnsi="Calibri"/>
          <w:i/>
          <w:iCs/>
          <w:color w:val="7B4A2D"/>
          <w:sz w:val="17"/>
          <w:szCs w:val="17"/>
        </w:rPr>
        <w:t xml:space="preserve">Confidential — prepared exclusively for Butters Family Farm. Do not distribute outside the authorized recipient list.</w:t>
      </w:r>
    </w:p>
    <w:sectPr>
      <w:headerReference w:type="default" r:id="rId7"/>
      <w:footerReference w:type="default" r:id="rId8"/>
      <w:pgSz w:w="12240" w:h="15840" w:orient="portrait"/>
      <w:pgMar w:top="1440" w:right="1440" w:bottom="1296"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pPr>
    <w:r>
      <w:rPr>
        <w:rFonts w:ascii="Calibri" w:cs="Calibri" w:eastAsia="Calibri" w:hAnsi="Calibri"/>
        <w:color w:val="7B4A2D"/>
        <w:sz w:val="17"/>
        <w:szCs w:val="17"/>
      </w:rPr>
      <w:t xml:space="preserve">Prepared for Butters Family Farm</w:t>
    </w:r>
    <w:r>
      <w:rPr>
        <w:rFonts w:ascii="Calibri" w:cs="Calibri" w:eastAsia="Calibri" w:hAnsi="Calibri"/>
        <w:color w:val="7B4A2D"/>
        <w:sz w:val="17"/>
        <w:szCs w:val="17"/>
      </w:rPr>
      <w:t xml:space="preserve">	Page </w:t>
    </w:r>
    <w:r>
      <w:rPr>
        <w:rFonts w:ascii="Calibri" w:cs="Calibri" w:eastAsia="Calibri" w:hAnsi="Calibri"/>
        <w:color w:val="7B4A2D"/>
        <w:sz w:val="17"/>
        <w:szCs w:val="17"/>
      </w:rPr>
      <w:fldChar w:fldCharType="begin"/>
      <w:instrText xml:space="preserve">PAGE</w:instrText>
      <w:fldChar w:fldCharType="separate"/>
      <w:fldChar w:fldCharType="end"/>
    </w:r>
    <w:r>
      <w:rPr>
        <w:rFonts w:ascii="Calibri" w:cs="Calibri" w:eastAsia="Calibri" w:hAnsi="Calibri"/>
        <w:color w:val="7B4A2D"/>
        <w:sz w:val="17"/>
        <w:szCs w:val="17"/>
      </w:rPr>
      <w:t xml:space="preserve"> of </w:t>
    </w:r>
    <w:r>
      <w:rPr>
        <w:rFonts w:ascii="Calibri" w:cs="Calibri" w:eastAsia="Calibri" w:hAnsi="Calibri"/>
        <w:color w:val="7B4A2D"/>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06B" w:sz="4" w:space="4"/>
      </w:pBdr>
      <w:tabs>
        <w:tab w:val="right" w:pos="9360"/>
      </w:tabs>
      <w:spacing w:after="0"/>
    </w:pPr>
    <w:r>
      <w:rPr>
        <w:rFonts w:ascii="Calibri" w:cs="Calibri" w:eastAsia="Calibri" w:hAnsi="Calibri"/>
        <w:color w:val="7B4A2D"/>
        <w:sz w:val="17"/>
        <w:szCs w:val="17"/>
      </w:rPr>
      <w:t xml:space="preserve">Butters Family Farm — Confidential</w:t>
    </w:r>
    <w:r>
      <w:rPr>
        <w:rFonts w:ascii="Calibri" w:cs="Calibri" w:eastAsia="Calibri" w:hAnsi="Calibri"/>
        <w:color w:val="7B4A2D"/>
        <w:sz w:val="17"/>
        <w:szCs w:val="17"/>
      </w:rPr>
      <w:t xml:space="preserve">	Southeast-# • INJ-###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rPr>
        <w:b/>
        <w:bCs/>
        <w:color w:val="7B4A2D"/>
      </w:rPr>
    </w:lvl>
  </w:abstractNum>
  <w:abstractNum w:abstractNumId="3" w15:restartNumberingAfterBreak="0">
    <w:multiLevelType w:val="hybridMultilevel"/>
    <w:lvl w:ilvl="0" w15:tentative="1">
      <w:start w:val="1"/>
      <w:numFmt w:val="decimal"/>
      <w:lvlText w:val="%1."/>
      <w:lvlJc w:val="left"/>
      <w:pPr>
        <w:ind w:left="540" w:hanging="360"/>
      </w:pPr>
      <w:rPr>
        <w:b/>
        <w:bCs/>
        <w:color w:val="7B4A2D"/>
      </w:rPr>
    </w:lvl>
  </w:abstractNum>
  <w:abstractNum w:abstractNumId="4" w15:restartNumberingAfterBreak="0">
    <w:multiLevelType w:val="hybridMultilevel"/>
    <w:lvl w:ilvl="0" w15:tentative="1">
      <w:start w:val="1"/>
      <w:numFmt w:val="bullet"/>
      <w:lvlText w:val="•"/>
      <w:lvlJc w:val="left"/>
      <w:pPr>
        <w:ind w:left="540" w:hanging="300"/>
      </w:pPr>
      <w:rPr>
        <w:color w:val="7B4A2D"/>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1C12"/>
        <w:sz w:val="21"/>
        <w:szCs w:val="21"/>
      </w:rPr>
    </w:rPrDefault>
    <w:pPrDefault>
      <w:pPr>
        <w:spacing w:after="12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06B" w:sz="6" w:space="2"/>
      </w:pBdr>
      <w:spacing w:after="100" w:before="280"/>
      <w:outlineLvl w:val="0"/>
    </w:pPr>
    <w:rPr>
      <w:rFonts w:ascii="Georgia" w:cs="Georgia" w:eastAsia="Georgia" w:hAnsi="Georgia"/>
      <w:b/>
      <w:bCs/>
      <w:color w:val="4A2F21"/>
      <w:sz w:val="26"/>
      <w:szCs w:val="26"/>
    </w:rPr>
  </w:style>
  <w:style w:type="paragraph" w:styleId="Heading2">
    <w:name w:val="Heading 2"/>
    <w:basedOn w:val="Normal"/>
    <w:next w:val="Normal"/>
    <w:qFormat/>
    <w:pPr>
      <w:keepNext/>
      <w:spacing w:after="60" w:before="200"/>
      <w:outlineLvl w:val="1"/>
    </w:pPr>
    <w:rPr>
      <w:rFonts w:ascii="Georgia" w:cs="Georgia" w:eastAsia="Georgia" w:hAnsi="Georgia"/>
      <w:b/>
      <w:bCs/>
      <w:color w:val="7B4A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BFF-SE#-INJ-### Inject Response</dc:title>
  <dc:creator>Southeast-# Penetration Testing Team</dc:creator>
  <cp:lastModifiedBy>Un-named</cp:lastModifiedBy>
  <cp:revision>1</cp:revision>
  <dcterms:created xsi:type="dcterms:W3CDTF">2026-10-31T03:12:06.093Z</dcterms:created>
  <dcterms:modified xsi:type="dcterms:W3CDTF">2026-10-31T03:12:06.100Z</dcterms:modified>
</cp:coreProperties>
</file>

<file path=docProps/custom.xml><?xml version="1.0" encoding="utf-8"?>
<Properties xmlns="http://schemas.openxmlformats.org/officeDocument/2006/custom-properties" xmlns:vt="http://schemas.openxmlformats.org/officeDocument/2006/docPropsVTypes"/>
</file>