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F21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F6ECDC"/>
                <w:spacing w:val="60"/>
                <w:sz w:val="20"/>
                <w:szCs w:val="20"/>
              </w:rPr>
              <w:t xml:space="preserve">BUTTERS FAMILY FARM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6ECDC"/>
                <w:sz w:val="30"/>
                <w:szCs w:val="30"/>
              </w:rPr>
              <w:t xml:space="preserve">[Policy Title]</w:t>
            </w:r>
          </w:p>
        </w:tc>
      </w:tr>
    </w:tbl>
    <w:p>
      <w:pPr>
        <w:pBdr>
          <w:bottom w:val="single" w:color="4A2F21" w:sz="16" w:space="0"/>
        </w:pBdr>
        <w:spacing w:after="160" w:before="0" w:line="40" w:lineRule="exact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180"/>
        <w:gridCol w:w="1300"/>
        <w:gridCol w:w="338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B4A2D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8"/>
                <w:szCs w:val="18"/>
              </w:rPr>
              <w:t xml:space="preserve">BFF-POL-###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B4A2D"/>
                <w:sz w:val="16"/>
                <w:szCs w:val="16"/>
              </w:rPr>
              <w:t xml:space="preserve">Version</w:t>
            </w:r>
          </w:p>
        </w:tc>
        <w:tc>
          <w:tcPr>
            <w:tcW w:type="dxa" w:w="3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8"/>
                <w:szCs w:val="18"/>
              </w:rPr>
              <w:t xml:space="preserve">1.0 (Draft for review)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B4A2D"/>
                <w:sz w:val="16"/>
                <w:szCs w:val="16"/>
              </w:rPr>
              <w:t xml:space="preserve">Owner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8"/>
                <w:szCs w:val="18"/>
              </w:rPr>
              <w:t xml:space="preserve">Robin McGrass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B4A2D"/>
                <w:sz w:val="16"/>
                <w:szCs w:val="16"/>
              </w:rPr>
              <w:t xml:space="preserve">Inject ID</w:t>
            </w:r>
          </w:p>
        </w:tc>
        <w:tc>
          <w:tcPr>
            <w:tcW w:type="dxa" w:w="3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8"/>
                <w:szCs w:val="18"/>
              </w:rPr>
              <w:t xml:space="preserve">INJ-###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B4A2D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8"/>
                <w:szCs w:val="18"/>
              </w:rPr>
              <w:t xml:space="preserve">[          ]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B4A2D"/>
                <w:sz w:val="16"/>
                <w:szCs w:val="16"/>
              </w:rPr>
              <w:t xml:space="preserve">Next review</w:t>
            </w:r>
          </w:p>
        </w:tc>
        <w:tc>
          <w:tcPr>
            <w:tcW w:type="dxa" w:w="3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8"/>
                <w:szCs w:val="18"/>
              </w:rPr>
              <w:t xml:space="preserve">[          ]</w:t>
            </w:r>
          </w:p>
        </w:tc>
      </w:tr>
    </w:tbl>
    <w:p>
      <w:pPr>
        <w:spacing w:after="120" w:before="0" w:line="20" w:lineRule="exact"/>
      </w:pPr>
    </w:p>
    <w:p>
      <w:pPr>
        <w:pStyle w:val="Heading1"/>
      </w:pPr>
      <w:r>
        <w:t xml:space="preserve">1. PURPOSE</w:t>
      </w:r>
    </w:p>
    <w:p>
      <w:r>
        <w:rPr>
          <w:rFonts w:ascii="Calibri" w:cs="Calibri" w:eastAsia="Calibri" w:hAnsi="Calibri"/>
          <w:color w:val="2C1C12"/>
        </w:rPr>
        <w:t xml:space="preserve">[One paragraph, business framing: protects guest trust, supports expansion, satisfies investor due diligence.]</w:t>
      </w:r>
    </w:p>
    <w:p>
      <w:pPr>
        <w:pStyle w:val="Heading1"/>
      </w:pPr>
      <w:r>
        <w:t xml:space="preserve">2. SCOPE</w:t>
      </w:r>
    </w:p>
    <w:p>
      <w:r>
        <w:rPr>
          <w:rFonts w:ascii="Calibri" w:cs="Calibri" w:eastAsia="Calibri" w:hAnsi="Calibri"/>
          <w:color w:val="2C1C12"/>
        </w:rPr>
        <w:t xml:space="preserve">Applies to [systems / roles]. Explicitly excludes [VDI, VPN, third-party hosting] consistent with the engagement scope.</w:t>
      </w:r>
    </w:p>
    <w:p>
      <w:pPr>
        <w:pStyle w:val="Heading1"/>
      </w:pPr>
      <w:r>
        <w:t xml:space="preserve">3. POLICY STATEMENTS</w:t>
      </w:r>
    </w:p>
    <w:p>
      <w:pPr>
        <w:tabs>
          <w:tab w:val="left" w:pos="720"/>
        </w:tabs>
        <w:spacing w:after="80"/>
        <w:ind w:left="720" w:hanging="720"/>
      </w:pPr>
      <w:r>
        <w:rPr>
          <w:rFonts w:ascii="Calibri" w:cs="Calibri" w:eastAsia="Calibri" w:hAnsi="Calibri"/>
          <w:b/>
          <w:bCs/>
          <w:color w:val="7B4A2D"/>
        </w:rPr>
        <w:t xml:space="preserve">P-1</w:t>
      </w:r>
      <w:r>
        <w:rPr>
          <w:rFonts w:ascii="Calibri" w:cs="Calibri" w:eastAsia="Calibri" w:hAnsi="Calibri"/>
          <w:color w:val="2C1C12"/>
        </w:rPr>
        <w:t xml:space="preserve">	[Requirement — use “shall,” not “should,” for anything mandatory.]</w:t>
      </w:r>
    </w:p>
    <w:p>
      <w:pPr>
        <w:tabs>
          <w:tab w:val="left" w:pos="720"/>
        </w:tabs>
        <w:spacing w:after="80"/>
        <w:ind w:left="720" w:hanging="720"/>
      </w:pPr>
      <w:r>
        <w:rPr>
          <w:rFonts w:ascii="Calibri" w:cs="Calibri" w:eastAsia="Calibri" w:hAnsi="Calibri"/>
          <w:b/>
          <w:bCs/>
          <w:color w:val="7B4A2D"/>
        </w:rPr>
        <w:t xml:space="preserve">P-2</w:t>
      </w:r>
      <w:r>
        <w:rPr>
          <w:rFonts w:ascii="Calibri" w:cs="Calibri" w:eastAsia="Calibri" w:hAnsi="Calibri"/>
          <w:color w:val="2C1C12"/>
        </w:rPr>
        <w:t xml:space="preserve">	[Requirement]</w:t>
      </w:r>
    </w:p>
    <w:p>
      <w:pPr>
        <w:tabs>
          <w:tab w:val="left" w:pos="720"/>
        </w:tabs>
        <w:spacing w:after="80"/>
        <w:ind w:left="720" w:hanging="720"/>
      </w:pPr>
      <w:r>
        <w:rPr>
          <w:rFonts w:ascii="Calibri" w:cs="Calibri" w:eastAsia="Calibri" w:hAnsi="Calibri"/>
          <w:b/>
          <w:bCs/>
          <w:color w:val="7B4A2D"/>
        </w:rPr>
        <w:t xml:space="preserve">P-3</w:t>
      </w:r>
      <w:r>
        <w:rPr>
          <w:rFonts w:ascii="Calibri" w:cs="Calibri" w:eastAsia="Calibri" w:hAnsi="Calibri"/>
          <w:color w:val="2C1C12"/>
        </w:rPr>
        <w:t xml:space="preserve">	[Requirement]</w:t>
      </w:r>
    </w:p>
    <w:p>
      <w:pPr>
        <w:pStyle w:val="Heading1"/>
      </w:pPr>
      <w:r>
        <w:t xml:space="preserve">4. ROLES AND RESPONSIBILITIES</w:t>
      </w:r>
    </w:p>
    <w:tbl>
      <w:tblPr>
        <w:tblW w:type="dxa" w:w="9360"/>
        <w:tblBorders>
          <w:top w:val="single" w:color="C9A06B" w:sz="4"/>
          <w:left w:val="single" w:color="C9A06B" w:sz="4"/>
          <w:bottom w:val="single" w:color="C9A06B" w:sz="4"/>
          <w:right w:val="single" w:color="C9A06B" w:sz="4"/>
          <w:insideH w:val="single" w:color="C9A06B" w:sz="4"/>
          <w:insideV w:val="single" w:color="C9A06B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shd w:fill="4A2F2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shd w:fill="4A2F2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Head of Security</w:t>
            </w:r>
          </w:p>
        </w:tc>
        <w:tc>
          <w:tcPr>
            <w:tcW w:type="dxa" w:w="696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Owns this policy; approves exceptions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IT Operations</w:t>
            </w:r>
          </w:p>
        </w:tc>
        <w:tc>
          <w:tcPr>
            <w:tcW w:type="dxa" w:w="696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Implements and maintains controls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All staff</w:t>
            </w:r>
          </w:p>
        </w:tc>
        <w:tc>
          <w:tcPr>
            <w:tcW w:type="dxa" w:w="696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Reports suspected incidents within [    ]</w:t>
            </w:r>
          </w:p>
        </w:tc>
      </w:tr>
    </w:tbl>
    <w:p>
      <w:pPr>
        <w:pStyle w:val="Heading1"/>
      </w:pPr>
      <w:r>
        <w:t xml:space="preserve">5. STANDARDS AND PROCEDURES</w:t>
      </w:r>
    </w:p>
    <w:p>
      <w:pPr>
        <w:keepNext/>
      </w:pPr>
      <w:r>
        <w:rPr>
          <w:rFonts w:ascii="Calibri" w:cs="Calibri" w:eastAsia="Calibri" w:hAnsi="Calibri"/>
          <w:color w:val="2C1C12"/>
        </w:rPr>
        <w:t xml:space="preserve">[Numbered steps, each with an owner and a frequency.]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1C12"/>
        </w:rPr>
        <w:t xml:space="preserve">[Step] — Owner: [role] — Frequency: [   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1C12"/>
        </w:rPr>
        <w:t xml:space="preserve">[Step] — Owner: [role] — Frequency: [   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1C12"/>
        </w:rPr>
        <w:t xml:space="preserve">[Step] — Owner: [role] — Frequency: [    ]</w:t>
      </w:r>
    </w:p>
    <w:p>
      <w:pPr>
        <w:pStyle w:val="Heading1"/>
      </w:pPr>
      <w:r>
        <w:t xml:space="preserve">6. EXCEPTIONS</w:t>
      </w:r>
    </w:p>
    <w:p>
      <w:r>
        <w:rPr>
          <w:rFonts w:ascii="Calibri" w:cs="Calibri" w:eastAsia="Calibri" w:hAnsi="Calibri"/>
          <w:color w:val="2C1C12"/>
        </w:rPr>
        <w:t xml:space="preserve">Requests must be documented, time-bound, and approved in writing by [role]. No exception may reduce guest safety controls.</w:t>
      </w:r>
    </w:p>
    <w:p>
      <w:pPr>
        <w:pStyle w:val="Heading1"/>
      </w:pPr>
      <w:r>
        <w:t xml:space="preserve">7. REVIEW CYCLE</w:t>
      </w:r>
    </w:p>
    <w:p>
      <w:r>
        <w:rPr>
          <w:rFonts w:ascii="Calibri" w:cs="Calibri" w:eastAsia="Calibri" w:hAnsi="Calibri"/>
          <w:color w:val="2C1C12"/>
        </w:rPr>
        <w:t xml:space="preserve">Reviewed annually and after any material change to the environment or business model.</w:t>
      </w:r>
    </w:p>
    <w:p>
      <w:pPr>
        <w:pStyle w:val="Heading1"/>
      </w:pPr>
      <w:r>
        <w:t xml:space="preserve">APPROVAL</w:t>
      </w:r>
    </w:p>
    <w:tbl>
      <w:tblPr>
        <w:tblW w:type="dxa" w:w="9360"/>
        <w:tblBorders>
          <w:top w:val="single" w:color="C9A06B" w:sz="4"/>
          <w:left w:val="single" w:color="C9A06B" w:sz="4"/>
          <w:bottom w:val="single" w:color="C9A06B" w:sz="4"/>
          <w:right w:val="single" w:color="C9A06B" w:sz="4"/>
          <w:insideH w:val="single" w:color="C9A06B" w:sz="4"/>
          <w:insideV w:val="single" w:color="C9A06B" w:sz="4"/>
        </w:tblBorders>
      </w:tblPr>
      <w:tblGrid>
        <w:gridCol w:w="2400"/>
        <w:gridCol w:w="2400"/>
        <w:gridCol w:w="27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shd w:fill="4A2F2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shd w:fill="4A2F2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76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shd w:fill="4A2F2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shd w:fill="4A2F2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640" w:hRule="atLeast"/>
        </w:trPr>
        <w:tc>
          <w:tcPr>
            <w:tcW w:type="dxa" w:w="24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Robin McGrass</w:t>
            </w:r>
          </w:p>
        </w:tc>
        <w:tc>
          <w:tcPr>
            <w:tcW w:type="dxa" w:w="24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>Head of Security</w:t>
            </w:r>
          </w:p>
        </w:tc>
        <w:tc>
          <w:tcPr>
            <w:tcW w:type="dxa" w:w="276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9A06B" w:sz="4"/>
              <w:left w:val="single" w:color="C9A06B" w:sz="4"/>
              <w:bottom w:val="single" w:color="C9A06B" w:sz="4"/>
              <w:right w:val="single" w:color="C9A06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1C12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296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/>
    </w:pPr>
    <w:r>
      <w:rPr>
        <w:rFonts w:ascii="Calibri" w:cs="Calibri" w:eastAsia="Calibri" w:hAnsi="Calibri"/>
        <w:color w:val="7B4A2D"/>
        <w:sz w:val="17"/>
        <w:szCs w:val="17"/>
      </w:rPr>
      <w:t xml:space="preserve">Prepared for Butters Family Farm</w:t>
    </w:r>
    <w:r>
      <w:rPr>
        <w:rFonts w:ascii="Calibri" w:cs="Calibri" w:eastAsia="Calibri" w:hAnsi="Calibri"/>
        <w:color w:val="7B4A2D"/>
        <w:sz w:val="17"/>
        <w:szCs w:val="17"/>
      </w:rPr>
      <w:t xml:space="preserve">	Page </w:t>
    </w:r>
    <w:r>
      <w:rPr>
        <w:rFonts w:ascii="Calibri" w:cs="Calibri" w:eastAsia="Calibri" w:hAnsi="Calibri"/>
        <w:color w:val="7B4A2D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B4A2D"/>
        <w:sz w:val="17"/>
        <w:szCs w:val="17"/>
      </w:rPr>
      <w:t xml:space="preserve"> of </w:t>
    </w:r>
    <w:r>
      <w:rPr>
        <w:rFonts w:ascii="Calibri" w:cs="Calibri" w:eastAsia="Calibri" w:hAnsi="Calibri"/>
        <w:color w:val="7B4A2D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06B" w:sz="4" w:space="4"/>
      </w:pBdr>
      <w:tabs>
        <w:tab w:val="right" w:pos="9360"/>
      </w:tabs>
      <w:spacing w:after="0"/>
    </w:pPr>
    <w:r>
      <w:rPr>
        <w:rFonts w:ascii="Calibri" w:cs="Calibri" w:eastAsia="Calibri" w:hAnsi="Calibri"/>
        <w:color w:val="7B4A2D"/>
        <w:sz w:val="17"/>
        <w:szCs w:val="17"/>
      </w:rPr>
      <w:t xml:space="preserve">Butters Family Farm — Confidential</w:t>
    </w:r>
    <w:r>
      <w:rPr>
        <w:rFonts w:ascii="Calibri" w:cs="Calibri" w:eastAsia="Calibri" w:hAnsi="Calibri"/>
        <w:color w:val="7B4A2D"/>
        <w:sz w:val="17"/>
        <w:szCs w:val="17"/>
      </w:rPr>
      <w:t xml:space="preserve">	BFF-POL-###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7B4A2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7B4A2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C12"/>
        <w:sz w:val="21"/>
        <w:szCs w:val="21"/>
      </w:rPr>
    </w:rPrDefault>
    <w:pPrDefault>
      <w:pPr>
        <w:spacing w:after="120" w:line="259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A06B" w:sz="6" w:space="2"/>
      </w:pBdr>
      <w:spacing w:after="100" w:before="280"/>
      <w:outlineLvl w:val="0"/>
    </w:pPr>
    <w:rPr>
      <w:rFonts w:ascii="Georgia" w:cs="Georgia" w:eastAsia="Georgia" w:hAnsi="Georgia"/>
      <w:b/>
      <w:bCs/>
      <w:color w:val="4A2F21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60" w:before="200"/>
      <w:outlineLvl w:val="1"/>
    </w:pPr>
    <w:rPr>
      <w:rFonts w:ascii="Georgia" w:cs="Georgia" w:eastAsia="Georgia" w:hAnsi="Georgia"/>
      <w:b/>
      <w:bCs/>
      <w:color w:val="7B4A2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BFF-POL-### Policy</dc:title>
  <dc:creator>Butters Family Farm</dc:creator>
  <cp:lastModifiedBy>Un-named</cp:lastModifiedBy>
  <cp:revision>1</cp:revision>
  <dcterms:created xsi:type="dcterms:W3CDTF">2026-10-31T03:31:57.482Z</dcterms:created>
  <dcterms:modified xsi:type="dcterms:W3CDTF">2026-10-31T03:31:57.482Z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