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F2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F6ECDC"/>
                <w:spacing w:val="60"/>
                <w:sz w:val="20"/>
                <w:szCs w:val="20"/>
              </w:rPr>
              <w:t xml:space="preserve">BUTTERS FAMILY FARM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9A06B"/>
                <w:sz w:val="16"/>
                <w:szCs w:val="16"/>
              </w:rPr>
              <w:t xml:space="preserve">Security Assessment  ·  Technical Finding</w:t>
            </w:r>
          </w:p>
        </w:tc>
      </w:tr>
    </w:tbl>
    <w:p>
      <w:pPr>
        <w:pBdr>
          <w:bottom w:val="single" w:color="4A2F21" w:sz="16" w:space="0"/>
        </w:pBdr>
        <w:spacing w:after="160" w:before="0" w:line="40" w:lineRule="exact"/>
      </w:pP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4A2F21"/>
          <w:sz w:val="16"/>
          <w:szCs w:val="16"/>
          <w:shd w:fill="8FD0E3" w:color="auto" w:val="clear"/>
        </w:rPr>
        <w:t xml:space="preserve"> SEVERITY: HIGH 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380"/>
        <w:gridCol w:w="1300"/>
        <w:gridCol w:w="3380"/>
      </w:tblGrid>
      <w:tr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Finding ID</w:t>
            </w:r>
          </w:p>
        </w:tc>
        <w:tc>
          <w:tcPr>
            <w:tcW w:type="dxa" w:w="33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F-###</w:t>
            </w:r>
          </w:p>
        </w:tc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Inject ID</w:t>
            </w:r>
          </w:p>
        </w:tc>
        <w:tc>
          <w:tcPr>
            <w:tcW w:type="dxa" w:w="33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INJ-###</w:t>
            </w:r>
          </w:p>
        </w:tc>
      </w:tr>
      <w:tr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CVSS</w:t>
            </w:r>
          </w:p>
        </w:tc>
        <w:tc>
          <w:tcPr>
            <w:tcW w:type="dxa" w:w="33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x.x   (vector: [                  ])</w:t>
            </w:r>
          </w:p>
        </w:tc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Status</w:t>
            </w:r>
          </w:p>
        </w:tc>
        <w:tc>
          <w:tcPr>
            <w:tcW w:type="dxa" w:w="33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Open / Mitigated / Accepted</w:t>
            </w:r>
          </w:p>
        </w:tc>
      </w:tr>
      <w:tr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8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Southeast-# Penetration Testing Team</w:t>
            </w:r>
          </w:p>
        </w:tc>
      </w:tr>
      <w:tr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Affected</w:t>
            </w:r>
          </w:p>
        </w:tc>
        <w:tc>
          <w:tcPr>
            <w:tcW w:type="dxa" w:w="8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[host (IP)] — [Windows domain / Unix / network device]</w:t>
            </w:r>
          </w:p>
        </w:tc>
      </w:tr>
      <w:tr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Category</w:t>
            </w:r>
          </w:p>
        </w:tc>
        <w:tc>
          <w:tcPr>
            <w:tcW w:type="dxa" w:w="80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[weak credential policy, unpatched service, excessive privilege, cleartext protocol, ...]</w:t>
            </w:r>
          </w:p>
        </w:tc>
      </w:tr>
    </w:tbl>
    <w:p>
      <w:pPr>
        <w:spacing w:after="120" w:before="0" w:line="20" w:lineRule="exact"/>
      </w:pPr>
    </w:p>
    <w:p>
      <w:pPr>
        <w:pStyle w:val="Heading1"/>
      </w:pPr>
      <w:r>
        <w:t xml:space="preserve">SUMMARY</w:t>
      </w:r>
    </w:p>
    <w:p>
      <w:r>
        <w:rPr>
          <w:rFonts w:ascii="Calibri" w:cs="Calibri" w:eastAsia="Calibri" w:hAnsi="Calibri"/>
          <w:color w:val="2C1C12"/>
        </w:rPr>
        <w:t xml:space="preserve">[Two or three sentences a non-technical executive can act on: what it is, what it lets an attacker do, why it matters before investors arrive.]</w:t>
      </w:r>
    </w:p>
    <w:p>
      <w:pPr>
        <w:pStyle w:val="Heading1"/>
      </w:pPr>
      <w:r>
        <w:t xml:space="preserve">TECHNICAL DETAIL</w:t>
      </w:r>
    </w:p>
    <w:p>
      <w:r>
        <w:rPr>
          <w:rFonts w:ascii="Calibri" w:cs="Calibri" w:eastAsia="Calibri" w:hAnsi="Calibri"/>
          <w:color w:val="2C1C12"/>
        </w:rPr>
        <w:t xml:space="preserve">[How it works, where it exists, how you identified it. Enough for their IT staff to reproduce — not a tutorial for the internet.]</w:t>
      </w:r>
    </w:p>
    <w:p>
      <w:pPr>
        <w:pStyle w:val="Heading1"/>
      </w:pPr>
      <w:r>
        <w:t xml:space="preserve">EVIDENCE</w:t>
      </w:r>
    </w:p>
    <w:tbl>
      <w:tblPr>
        <w:tblW w:type="dxa" w:w="9360"/>
        <w:tblBorders>
          <w:top w:val="single" w:color="C9A06B" w:sz="4"/>
          <w:left w:val="single" w:color="C9A06B" w:sz="4"/>
          <w:bottom w:val="single" w:color="C9A06B" w:sz="4"/>
          <w:right w:val="single" w:color="C9A06B" w:sz="4"/>
          <w:insideH w:val="single" w:color="C9A06B" w:sz="4"/>
          <w:insideV w:val="single" w:color="C9A06B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3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(ET)</w:t>
            </w:r>
          </w:p>
        </w:tc>
        <w:tc>
          <w:tcPr>
            <w:tcW w:type="dxa" w:w="71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E-1</w:t>
            </w:r>
          </w:p>
        </w:tc>
        <w:tc>
          <w:tcPr>
            <w:tcW w:type="dxa" w:w="13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[       ]</w:t>
            </w:r>
          </w:p>
        </w:tc>
        <w:tc>
          <w:tcPr>
            <w:tcW w:type="dxa" w:w="71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[command / screenshot / log excerpt — redacted]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i/>
          <w:iCs/>
          <w:color w:val="7B4A2D"/>
          <w:sz w:val="18"/>
          <w:szCs w:val="18"/>
        </w:rPr>
        <w:t xml:space="preserve">Figure 1 — </w:t>
      </w:r>
      <w:r>
        <w:rPr>
          <w:rFonts w:ascii="Calibri" w:cs="Calibri" w:eastAsia="Calibri" w:hAnsi="Calibri"/>
          <w:i/>
          <w:iCs/>
          <w:color w:val="7B4A2D"/>
          <w:sz w:val="18"/>
          <w:szCs w:val="18"/>
        </w:rPr>
        <w:t xml:space="preserve">[caption]. Redact credentials, guest PII, and payment data before including any screenshot. The packet treats bulk data removal as a breach.</w:t>
      </w:r>
    </w:p>
    <w:p>
      <w:pPr>
        <w:pStyle w:val="Heading1"/>
      </w:pPr>
      <w:r>
        <w:t xml:space="preserve">BUSINESS IMPACT</w:t>
      </w:r>
    </w:p>
    <w:p>
      <w:r>
        <w:rPr>
          <w:rFonts w:ascii="Calibri" w:cs="Calibri" w:eastAsia="Calibri" w:hAnsi="Calibri"/>
          <w:color w:val="2C1C12"/>
        </w:rPr>
        <w:t xml:space="preserve">[One paragraph. Tie to the expansion and investor due diligence, which is the stated purpose of this test.]</w:t>
      </w:r>
    </w:p>
    <w:p>
      <w:pPr>
        <w:pStyle w:val="Heading1"/>
      </w:pPr>
      <w:r>
        <w:t xml:space="preserve">REMEDIATION</w:t>
      </w:r>
    </w:p>
    <w:tbl>
      <w:tblPr>
        <w:tblW w:type="dxa" w:w="9360"/>
        <w:tblBorders>
          <w:top w:val="single" w:color="C9A06B" w:sz="4"/>
          <w:left w:val="single" w:color="C9A06B" w:sz="4"/>
          <w:bottom w:val="single" w:color="C9A06B" w:sz="4"/>
          <w:right w:val="single" w:color="C9A06B" w:sz="4"/>
          <w:insideH w:val="single" w:color="C9A06B" w:sz="4"/>
          <w:insideV w:val="single" w:color="C9A06B" w:sz="4"/>
        </w:tblBorders>
      </w:tblPr>
      <w:tblGrid>
        <w:gridCol w:w="1400"/>
        <w:gridCol w:w="3000"/>
        <w:gridCol w:w="1100"/>
        <w:gridCol w:w="3860"/>
      </w:tblGrid>
      <w:tr>
        <w:trPr>
          <w:tblHeader/>
        </w:trPr>
        <w:tc>
          <w:tcPr>
            <w:tcW w:type="dxa" w:w="1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8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Immediate</w:t>
            </w:r>
          </w:p>
        </w:tc>
        <w:tc>
          <w:tcPr>
            <w:tcW w:type="dxa" w:w="30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[action]</w:t>
            </w:r>
          </w:p>
        </w:tc>
        <w:tc>
          <w:tcPr>
            <w:tcW w:type="dxa" w:w="11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[how they confirm it is fixed]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Short term</w:t>
            </w:r>
          </w:p>
        </w:tc>
        <w:tc>
          <w:tcPr>
            <w:tcW w:type="dxa" w:w="30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[action]</w:t>
            </w:r>
          </w:p>
        </w:tc>
        <w:tc>
          <w:tcPr>
            <w:tcW w:type="dxa" w:w="11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[how they confirm it is fixed]</w:t>
            </w:r>
          </w:p>
        </w:tc>
      </w:tr>
    </w:tbl>
    <w:p>
      <w:pPr>
        <w:pStyle w:val="Heading1"/>
      </w:pPr>
      <w:r>
        <w:t xml:space="preserve">REFERENCES</w:t>
      </w:r>
    </w:p>
    <w:p>
      <w:r>
        <w:rPr>
          <w:rFonts w:ascii="Calibri" w:cs="Calibri" w:eastAsia="Calibri" w:hAnsi="Calibri"/>
          <w:color w:val="2C1C12"/>
        </w:rPr>
        <w:t xml:space="preserve">[vendor advisory / CWE / CIS control]</w:t>
      </w:r>
    </w:p>
    <w:sectPr>
      <w:headerReference w:type="default" r:id="rId7"/>
      <w:footerReference w:type="default" r:id="rId8"/>
      <w:pgSz w:w="12240" w:h="15840" w:orient="portrait"/>
      <w:pgMar w:top="1440" w:right="1440" w:bottom="1296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/>
    </w:pPr>
    <w:r>
      <w:rPr>
        <w:rFonts w:ascii="Calibri" w:cs="Calibri" w:eastAsia="Calibri" w:hAnsi="Calibri"/>
        <w:color w:val="7B4A2D"/>
        <w:sz w:val="17"/>
        <w:szCs w:val="17"/>
      </w:rPr>
      <w:t xml:space="preserve">Prepared for Butters Family Farm</w:t>
    </w:r>
    <w:r>
      <w:rPr>
        <w:rFonts w:ascii="Calibri" w:cs="Calibri" w:eastAsia="Calibri" w:hAnsi="Calibri"/>
        <w:color w:val="7B4A2D"/>
        <w:sz w:val="17"/>
        <w:szCs w:val="17"/>
      </w:rPr>
      <w:t xml:space="preserve">	Page </w:t>
    </w:r>
    <w:r>
      <w:rPr>
        <w:rFonts w:ascii="Calibri" w:cs="Calibri" w:eastAsia="Calibri" w:hAnsi="Calibri"/>
        <w:color w:val="7B4A2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4A2D"/>
        <w:sz w:val="17"/>
        <w:szCs w:val="17"/>
      </w:rPr>
      <w:t xml:space="preserve"> of </w:t>
    </w:r>
    <w:r>
      <w:rPr>
        <w:rFonts w:ascii="Calibri" w:cs="Calibri" w:eastAsia="Calibri" w:hAnsi="Calibri"/>
        <w:color w:val="7B4A2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06B" w:sz="4" w:space="4"/>
      </w:pBdr>
      <w:tabs>
        <w:tab w:val="right" w:pos="9360"/>
      </w:tabs>
      <w:spacing w:after="0"/>
    </w:pPr>
    <w:r>
      <w:rPr>
        <w:rFonts w:ascii="Calibri" w:cs="Calibri" w:eastAsia="Calibri" w:hAnsi="Calibri"/>
        <w:color w:val="7B4A2D"/>
        <w:sz w:val="17"/>
        <w:szCs w:val="17"/>
      </w:rPr>
      <w:t xml:space="preserve">Butters Family Farm — Confidential</w:t>
    </w:r>
    <w:r>
      <w:rPr>
        <w:rFonts w:ascii="Calibri" w:cs="Calibri" w:eastAsia="Calibri" w:hAnsi="Calibri"/>
        <w:color w:val="7B4A2D"/>
        <w:sz w:val="17"/>
        <w:szCs w:val="17"/>
      </w:rPr>
      <w:t xml:space="preserve">	Southeast-# • F-###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B4A2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B4A2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7B4A2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C12"/>
        <w:sz w:val="21"/>
        <w:szCs w:val="21"/>
      </w:rPr>
    </w:rPrDefault>
    <w:pPrDefault>
      <w:pPr>
        <w:spacing w:after="120"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A06B" w:sz="6" w:space="2"/>
      </w:pBdr>
      <w:spacing w:after="100" w:before="280"/>
      <w:outlineLvl w:val="0"/>
    </w:pPr>
    <w:rPr>
      <w:rFonts w:ascii="Georgia" w:cs="Georgia" w:eastAsia="Georgia" w:hAnsi="Georgia"/>
      <w:b/>
      <w:bCs/>
      <w:color w:val="4A2F21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Georgia" w:cs="Georgia" w:eastAsia="Georgia" w:hAnsi="Georgia"/>
      <w:b/>
      <w:bCs/>
      <w:color w:val="7B4A2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BFF-SE#-F-### Technical Finding</dc:title>
  <dc:creator>Southeast-# Penetration Testing Team</dc:creator>
  <cp:lastModifiedBy>Un-named</cp:lastModifiedBy>
  <cp:revision>1</cp:revision>
  <dcterms:created xsi:type="dcterms:W3CDTF">2026-10-31T03:30:36.377Z</dcterms:created>
  <dcterms:modified xsi:type="dcterms:W3CDTF">2026-10-31T03:30:36.390Z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