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111111"/>
          <w:sz w:val="20"/>
          <w:szCs w:val="20"/>
        </w:rPr>
        <w:t xml:space="preserve">NATIONAL LEGAL OBSERVATORY</w:t>
      </w:r>
    </w:p>
    <w:p>
      <w:pPr>
        <w:spacing w:after="20"/>
        <w:jc w:val="center"/>
      </w:pPr>
      <w:r>
        <w:rPr>
          <w:rFonts w:ascii="Georgia" w:cs="Georgia" w:eastAsia="Georgia" w:hAnsi="Georgia"/>
          <w:i/>
          <w:iCs/>
          <w:color w:val="555555"/>
          <w:sz w:val="18"/>
          <w:szCs w:val="18"/>
        </w:rPr>
        <w:t xml:space="preserve">Independent Legal Research  |  India</w:t>
      </w:r>
    </w:p>
    <w:p>
      <w:pPr>
        <w:spacing w:after="200"/>
        <w:jc w:val="center"/>
      </w:pPr>
      <w:r>
        <w:rPr>
          <w:rFonts w:ascii="Georgia" w:cs="Georgia" w:eastAsia="Georgia" w:hAnsi="Georgia"/>
          <w:i/>
          <w:iCs/>
          <w:color w:val="555555"/>
          <w:sz w:val="18"/>
          <w:szCs w:val="18"/>
        </w:rPr>
        <w:t xml:space="preserve">Research Article  |  August 2026</w:t>
      </w:r>
    </w:p>
    <w:p>
      <w:pPr>
        <w:pBdr>
          <w:bottom w:val="single" w:color="111111" w:sz="6"/>
        </w:pBdr>
        <w:spacing w:after="300"/>
      </w:pPr>
    </w:p>
    <w:p>
      <w:pPr>
        <w:spacing w:after="60"/>
        <w:jc w:val="center"/>
      </w:pPr>
      <w:r>
        <w:rPr>
          <w:rFonts w:ascii="Arial" w:cs="Arial" w:eastAsia="Arial" w:hAnsi="Arial"/>
          <w:b/>
          <w:bCs/>
          <w:color w:val="111111"/>
          <w:sz w:val="48"/>
          <w:szCs w:val="48"/>
        </w:rPr>
        <w:t xml:space="preserve">The Three-Hour Problem:</w:t>
      </w:r>
    </w:p>
    <w:p>
      <w:pPr>
        <w:spacing w:after="120"/>
        <w:jc w:val="center"/>
      </w:pPr>
      <w:r>
        <w:rPr>
          <w:rFonts w:ascii="Arial" w:cs="Arial" w:eastAsia="Arial" w:hAnsi="Arial"/>
          <w:b/>
          <w:bCs/>
          <w:color w:val="b8860b"/>
          <w:sz w:val="36"/>
          <w:szCs w:val="36"/>
        </w:rPr>
        <w:t xml:space="preserve">How India's IT Amendment Rules 2026 Try to Outrun the Deepfake</w:t>
      </w:r>
    </w:p>
    <w:p>
      <w:pPr>
        <w:spacing w:after="300"/>
        <w:jc w:val="center"/>
      </w:pPr>
      <w:r>
        <w:rPr>
          <w:rFonts w:ascii="Georgia" w:cs="Georgia" w:eastAsia="Georgia" w:hAnsi="Georgia"/>
          <w:i/>
          <w:iCs/>
          <w:color w:val="555555"/>
          <w:sz w:val="18"/>
          <w:szCs w:val="18"/>
        </w:rPr>
        <w:t xml:space="preserve">National Legal Observatory Research Desk  |  August 2026</w:t>
      </w:r>
    </w:p>
    <w:p>
      <w:pPr>
        <w:pBdr>
          <w:bottom w:val="single" w:color="111111" w:sz="6"/>
        </w:pBdr>
        <w:spacing w:after="400"/>
      </w:pPr>
    </w:p>
    <w:p>
      <w:pPr>
        <w:pBdr>
          <w:bottom w:val="single" w:color="111111" w:sz="4"/>
        </w:pBdr>
        <w:spacing w:after="100" w:before="200"/>
      </w:pPr>
      <w:r>
        <w:rPr>
          <w:rFonts w:ascii="Arial" w:cs="Arial" w:eastAsia="Arial" w:hAnsi="Arial"/>
          <w:b/>
          <w:bCs/>
          <w:caps/>
          <w:color w:val="111111"/>
          <w:sz w:val="24"/>
          <w:szCs w:val="24"/>
        </w:rPr>
        <w:t xml:space="preserve">Section I: Introduction</w:t>
      </w:r>
    </w:p>
    <w:p>
      <w:pPr>
        <w:spacing w:after="160"/>
        <w:jc w:val="both"/>
      </w:pPr>
      <w:r>
        <w:rPr>
          <w:rFonts w:ascii="Georgia" w:cs="Georgia" w:eastAsia="Georgia" w:hAnsi="Georgia"/>
          <w:color w:val="111111"/>
          <w:sz w:val="22"/>
          <w:szCs w:val="22"/>
        </w:rPr>
        <w:t xml:space="preserve">On February 10, 2026, the Ministry of Electronics and Information Technology notified the IT Amendment Rules 2026, amending the Intermediary Guidelines and Digital Media Ethics Code Rules of 2021. Ten days later, on February 20, the rules came into force. That gap tells you everything about the government's mood on this issue. It did not want a consultation season. It wanted a deadline.</w:t>
      </w:r>
    </w:p>
    <w:p>
      <w:pPr>
        <w:spacing w:after="160"/>
        <w:jc w:val="both"/>
      </w:pPr>
      <w:r>
        <w:rPr>
          <w:rFonts w:ascii="Georgia" w:cs="Georgia" w:eastAsia="Georgia" w:hAnsi="Georgia"/>
          <w:color w:val="111111"/>
          <w:sz w:val="22"/>
          <w:szCs w:val="22"/>
        </w:rPr>
        <w:t xml:space="preserve">The trigger was not theoretical. Cloned voices were used to run extortion calls. Public figures appeared in fabricated videos endorsing investment scams they had never heard of. Synthetic political content circulated during periods when timing is everything. The 2021 Rules were built for a different problem, humans posting harmful content. They had no category for content manufactured at machine scale. The 2026 amendment closes that gap by writing a new term into Indian law: synthetically generated information, or SGI.</w:t>
      </w:r>
    </w:p>
    <w:p>
      <w:pPr>
        <w:pBdr>
          <w:left w:val="single" w:color="b8860b" w:sz="12" w:space="8"/>
        </w:pBdr>
        <w:spacing w:after="200" w:before="120"/>
        <w:ind w:left="360"/>
        <w:jc w:val="both"/>
      </w:pPr>
      <w:r>
        <w:rPr>
          <w:rFonts w:ascii="Georgia" w:cs="Georgia" w:eastAsia="Georgia" w:hAnsi="Georgia"/>
          <w:i/>
          <w:iCs/>
          <w:color w:val="555555"/>
          <w:sz w:val="22"/>
          <w:szCs w:val="22"/>
        </w:rPr>
        <w:t xml:space="preserve">The line the rules are drawing is about deception, not about technology. A film with visual effects is not SGI. A video built to be mistaken for something real is.</w:t>
      </w:r>
    </w:p>
    <w:p>
      <w:pPr>
        <w:pBdr>
          <w:bottom w:val="single" w:color="111111" w:sz="4"/>
        </w:pBdr>
        <w:spacing w:after="100" w:before="200"/>
      </w:pPr>
      <w:r>
        <w:rPr>
          <w:rFonts w:ascii="Arial" w:cs="Arial" w:eastAsia="Arial" w:hAnsi="Arial"/>
          <w:b/>
          <w:bCs/>
          <w:caps/>
          <w:color w:val="111111"/>
          <w:sz w:val="24"/>
          <w:szCs w:val="24"/>
        </w:rPr>
        <w:t xml:space="preserve">Section II: What Counts as SGI</w:t>
      </w:r>
    </w:p>
    <w:p>
      <w:pPr>
        <w:spacing w:after="160"/>
        <w:jc w:val="both"/>
      </w:pPr>
      <w:r>
        <w:rPr>
          <w:rFonts w:ascii="Georgia" w:cs="Georgia" w:eastAsia="Georgia" w:hAnsi="Georgia"/>
          <w:color w:val="111111"/>
          <w:sz w:val="22"/>
          <w:szCs w:val="22"/>
        </w:rPr>
        <w:t xml:space="preserve">The rules define SGI as information that appears reasonably authentic but has been created, modified, or altered using a computer resource in a way that could pass for the real thing. This covers AI-generated images, deepfake video, cloned audio, and any hybrid of the three.</w:t>
      </w:r>
    </w:p>
    <w:p>
      <w:pPr>
        <w:spacing w:after="160"/>
        <w:jc w:val="both"/>
      </w:pPr>
      <w:r>
        <w:rPr>
          <w:rFonts w:ascii="Georgia" w:cs="Georgia" w:eastAsia="Georgia" w:hAnsi="Georgia"/>
          <w:color w:val="111111"/>
          <w:sz w:val="22"/>
          <w:szCs w:val="22"/>
        </w:rPr>
        <w:t xml:space="preserve">It does not cover everything touched by a machine. Colour correction survives. Accessibility edits survive. Clearly labelled educational or illustrative content survives. Text alone, for now, sits outside the definition, though misleading text can still be reached under other law.</w:t>
      </w:r>
    </w:p>
    <w:p>
      <w:pPr>
        <w:pBdr>
          <w:bottom w:val="single" w:color="111111" w:sz="4"/>
        </w:pBdr>
        <w:spacing w:after="100" w:before="200"/>
      </w:pPr>
      <w:r>
        <w:rPr>
          <w:rFonts w:ascii="Arial" w:cs="Arial" w:eastAsia="Arial" w:hAnsi="Arial"/>
          <w:b/>
          <w:bCs/>
          <w:caps/>
          <w:color w:val="111111"/>
          <w:sz w:val="24"/>
          <w:szCs w:val="24"/>
        </w:rPr>
        <w:t xml:space="preserve">Section III: The Headline Number</w:t>
      </w:r>
    </w:p>
    <w:p>
      <w:pPr>
        <w:spacing w:after="160"/>
        <w:jc w:val="both"/>
      </w:pPr>
      <w:r>
        <w:rPr>
          <w:rFonts w:ascii="Georgia" w:cs="Georgia" w:eastAsia="Georgia" w:hAnsi="Georgia"/>
          <w:color w:val="111111"/>
          <w:sz w:val="22"/>
          <w:szCs w:val="22"/>
        </w:rPr>
        <w:t xml:space="preserve">Three hours. That is how long an intermediary has to act once a court order or an authorised government notice flags SGI that impersonates a real person in a way that is sexually explicit, defamatory, or likely to provoke violence. The old window, under the 2021 framework, was 36 hours. The rules have cut it by more than 90 percent.</w:t>
      </w:r>
    </w:p>
    <w:p>
      <w:pPr>
        <w:spacing w:after="160"/>
        <w:jc w:val="both"/>
      </w:pPr>
      <w:r>
        <w:rPr>
          <w:rFonts w:ascii="Georgia" w:cs="Georgia" w:eastAsia="Georgia" w:hAnsi="Georgia"/>
          <w:color w:val="111111"/>
          <w:sz w:val="22"/>
          <w:szCs w:val="22"/>
        </w:rPr>
        <w:t xml:space="preserve">For a platform, three hours is not a review cycle. It is closer to an alarm. It assumes standing detection infrastructure, a moderation team that does not sleep in shifts long enough to miss the clock, and legal sign-off that can happen without a partner meeting. Compliance teams that treated the old 36-hour rule as a soft target now have to treat this one as a hard operational constraint.</w:t>
      </w:r>
    </w:p>
    <w:p>
      <w:pPr>
        <w:pBdr>
          <w:bottom w:val="single" w:color="111111" w:sz="4"/>
        </w:pBdr>
        <w:spacing w:after="100" w:before="200"/>
      </w:pPr>
      <w:r>
        <w:rPr>
          <w:rFonts w:ascii="Arial" w:cs="Arial" w:eastAsia="Arial" w:hAnsi="Arial"/>
          <w:b/>
          <w:bCs/>
          <w:caps/>
          <w:color w:val="111111"/>
          <w:sz w:val="24"/>
          <w:szCs w:val="24"/>
        </w:rPr>
        <w:t xml:space="preserve">Section IV: Labelling and Provenance</w:t>
      </w:r>
    </w:p>
    <w:p>
      <w:pPr>
        <w:spacing w:after="160"/>
        <w:jc w:val="both"/>
      </w:pPr>
      <w:r>
        <w:rPr>
          <w:rFonts w:ascii="Georgia" w:cs="Georgia" w:eastAsia="Georgia" w:hAnsi="Georgia"/>
          <w:color w:val="111111"/>
          <w:sz w:val="22"/>
          <w:szCs w:val="22"/>
        </w:rPr>
        <w:t xml:space="preserve">Alongside the takedown clock, the amendment introduces a standing labelling duty. Synthetic content distributed through an intermediary has to carry a visible marker identifying it as AI-generated, and that obligation extends across image, audio, video, and hybrid formats. Underneath the visible label, the rules also ask for provenance metadata, a durable record of how the content was made that survives beyond the platform's own interface.</w:t>
      </w:r>
    </w:p>
    <w:p>
      <w:pPr>
        <w:spacing w:after="160"/>
        <w:jc w:val="both"/>
      </w:pPr>
      <w:r>
        <w:rPr>
          <w:rFonts w:ascii="Georgia" w:cs="Georgia" w:eastAsia="Georgia" w:hAnsi="Georgia"/>
          <w:color w:val="111111"/>
          <w:sz w:val="22"/>
          <w:szCs w:val="22"/>
        </w:rPr>
        <w:t xml:space="preserve">This is the part of the amendment that will outlast the news cycle. Takedown deadlines respond to harm after it happens. Labelling and provenance are built to make the harm harder to manufacture in the first place, or at least harder to pass off as real once it exists.</w:t>
      </w:r>
    </w:p>
    <w:p>
      <w:pPr>
        <w:pBdr>
          <w:bottom w:val="single" w:color="111111" w:sz="4"/>
        </w:pBdr>
        <w:spacing w:after="100" w:before="200"/>
      </w:pPr>
      <w:r>
        <w:rPr>
          <w:rFonts w:ascii="Arial" w:cs="Arial" w:eastAsia="Arial" w:hAnsi="Arial"/>
          <w:b/>
          <w:bCs/>
          <w:caps/>
          <w:color w:val="111111"/>
          <w:sz w:val="24"/>
          <w:szCs w:val="24"/>
        </w:rPr>
        <w:t xml:space="preserve">Section V: What This Means for Safe Harbour</w:t>
      </w:r>
    </w:p>
    <w:p>
      <w:pPr>
        <w:spacing w:after="160"/>
        <w:jc w:val="both"/>
      </w:pPr>
      <w:r>
        <w:rPr>
          <w:rFonts w:ascii="Georgia" w:cs="Georgia" w:eastAsia="Georgia" w:hAnsi="Georgia"/>
          <w:color w:val="111111"/>
          <w:sz w:val="22"/>
          <w:szCs w:val="22"/>
        </w:rPr>
        <w:t xml:space="preserve">Section 79 of the IT Act has always made safe harbour conditional on due diligence, but the 2026 amendment tightens the language considerably. Where the older rules asked platforms to "endeavour" to comply, the new text imposes a mandatory obligation to implement reasonable and appropriate technical measures. That is a shift from best-effort to enforceable standard, and it changes what a regulator or a court can point to when a platform's moderation clearly failed.</w:t>
      </w:r>
    </w:p>
    <w:p>
      <w:pPr>
        <w:spacing w:after="160"/>
        <w:jc w:val="both"/>
      </w:pPr>
      <w:r>
        <w:rPr>
          <w:rFonts w:ascii="Georgia" w:cs="Georgia" w:eastAsia="Georgia" w:hAnsi="Georgia"/>
          <w:color w:val="111111"/>
          <w:sz w:val="22"/>
          <w:szCs w:val="22"/>
        </w:rPr>
        <w:t xml:space="preserve">Intermediaries are also now required to notify users about the legal consequences of creating or sharing prohibited SGI every three months, not once a year as before. Quarterly notice does more than inform users. It builds a paper trail that shows the platform kept telling people the rules, which matters if the platform later has to argue it did enough.</w:t>
      </w:r>
    </w:p>
    <w:p>
      <w:pPr>
        <w:pBdr>
          <w:bottom w:val="single" w:color="111111" w:sz="4"/>
        </w:pBdr>
        <w:spacing w:after="100" w:before="200"/>
      </w:pPr>
      <w:r>
        <w:rPr>
          <w:rFonts w:ascii="Arial" w:cs="Arial" w:eastAsia="Arial" w:hAnsi="Arial"/>
          <w:b/>
          <w:bCs/>
          <w:caps/>
          <w:color w:val="111111"/>
          <w:sz w:val="24"/>
          <w:szCs w:val="24"/>
        </w:rPr>
        <w:t xml:space="preserve">Section VI: Who This Actually Reaches</w:t>
      </w:r>
    </w:p>
    <w:p>
      <w:pPr>
        <w:spacing w:after="160"/>
        <w:jc w:val="both"/>
      </w:pPr>
      <w:r>
        <w:rPr>
          <w:rFonts w:ascii="Georgia" w:cs="Georgia" w:eastAsia="Georgia" w:hAnsi="Georgia"/>
          <w:color w:val="111111"/>
          <w:sz w:val="22"/>
          <w:szCs w:val="22"/>
        </w:rPr>
        <w:t xml:space="preserve">The obligations are not confined to the familiar social media giants. The rules extend to platforms, publishers, AI-enabled services, and any entity that hosts or distributes synthetic content, which pulls a wider set of businesses into a compliance framework most of them have never had to think about.</w:t>
      </w:r>
    </w:p>
    <w:p>
      <w:pPr>
        <w:spacing w:after="160"/>
        <w:jc w:val="both"/>
      </w:pPr>
      <w:r>
        <w:rPr>
          <w:rFonts w:ascii="Georgia" w:cs="Georgia" w:eastAsia="Georgia" w:hAnsi="Georgia"/>
          <w:color w:val="111111"/>
          <w:sz w:val="22"/>
          <w:szCs w:val="22"/>
        </w:rPr>
        <w:t xml:space="preserve">A generative AI tool that lets users produce hyper-realistic output is now expected to label that output by default and to have a working line of cooperation with Indian law enforcement, not as best practice but as a rule with teeth. For a smaller platform or an AI startup operating in India, that is a meaningful build cost, arriving on a ten-day notice period.</w:t>
      </w:r>
    </w:p>
    <w:p>
      <w:pPr>
        <w:pBdr>
          <w:bottom w:val="single" w:color="111111" w:sz="4"/>
        </w:pBdr>
        <w:spacing w:after="100" w:before="200"/>
      </w:pPr>
      <w:r>
        <w:rPr>
          <w:rFonts w:ascii="Arial" w:cs="Arial" w:eastAsia="Arial" w:hAnsi="Arial"/>
          <w:b/>
          <w:bCs/>
          <w:caps/>
          <w:color w:val="111111"/>
          <w:sz w:val="24"/>
          <w:szCs w:val="24"/>
        </w:rPr>
        <w:t xml:space="preserve">Section VII: The Open Questions</w:t>
      </w:r>
    </w:p>
    <w:p>
      <w:pPr>
        <w:spacing w:after="160"/>
        <w:jc w:val="both"/>
      </w:pPr>
      <w:r>
        <w:rPr>
          <w:rFonts w:ascii="Georgia" w:cs="Georgia" w:eastAsia="Georgia" w:hAnsi="Georgia"/>
          <w:color w:val="111111"/>
          <w:sz w:val="22"/>
          <w:szCs w:val="22"/>
        </w:rPr>
        <w:t xml:space="preserve">Speed cuts both ways. A three-hour takedown window is very good for a genuine victim of non-consensual synthetic content and very convenient for anyone who wants a piece of legitimate political speech gone before anyone can argue about it.</w:t>
      </w:r>
    </w:p>
    <w:p>
      <w:pPr>
        <w:spacing w:after="160"/>
        <w:jc w:val="both"/>
      </w:pPr>
      <w:r>
        <w:rPr>
          <w:rFonts w:ascii="Georgia" w:cs="Georgia" w:eastAsia="Georgia" w:hAnsi="Georgia"/>
          <w:color w:val="111111"/>
          <w:sz w:val="22"/>
          <w:szCs w:val="22"/>
        </w:rPr>
        <w:t xml:space="preserve">The rules gesture at safeguards, an independent review mechanism for takedown orders and a stated intention to expand police training beyond senior ranks so that identification of synthetic harms is not bottlenecked at the top. Whether either of those actually gets built, and gets built with enough independence to matter, is the question that will decide whether this framework protects speech or just moves the censorship problem from a slow track to a fast one.</w:t>
      </w:r>
    </w:p>
    <w:p>
      <w:pPr>
        <w:spacing w:after="160"/>
        <w:jc w:val="both"/>
      </w:pPr>
      <w:r>
        <w:rPr>
          <w:rFonts w:ascii="Georgia" w:cs="Georgia" w:eastAsia="Georgia" w:hAnsi="Georgia"/>
          <w:color w:val="111111"/>
          <w:sz w:val="22"/>
          <w:szCs w:val="22"/>
        </w:rPr>
        <w:t xml:space="preserve">There is also the quieter problem of scale. Detection tools for deepfakes lag behind generation tools almost everywhere, and India's linguistic range makes that gap worse. A framework that assumes platforms can reliably identify SGI in a three-hour window is assuming a detection capability that, for many regional languages, does not fully exist yet.</w:t>
      </w:r>
    </w:p>
    <w:p>
      <w:pPr>
        <w:pBdr>
          <w:bottom w:val="single" w:color="111111" w:sz="4"/>
        </w:pBdr>
        <w:spacing w:after="100" w:before="200"/>
      </w:pPr>
      <w:r>
        <w:rPr>
          <w:rFonts w:ascii="Arial" w:cs="Arial" w:eastAsia="Arial" w:hAnsi="Arial"/>
          <w:b/>
          <w:bCs/>
          <w:caps/>
          <w:color w:val="111111"/>
          <w:sz w:val="24"/>
          <w:szCs w:val="24"/>
        </w:rPr>
        <w:t xml:space="preserve">Section VIII: Conclusion</w:t>
      </w:r>
    </w:p>
    <w:p>
      <w:pPr>
        <w:spacing w:after="160"/>
        <w:jc w:val="both"/>
      </w:pPr>
      <w:r>
        <w:rPr>
          <w:rFonts w:ascii="Georgia" w:cs="Georgia" w:eastAsia="Georgia" w:hAnsi="Georgia"/>
          <w:color w:val="111111"/>
          <w:sz w:val="22"/>
          <w:szCs w:val="22"/>
        </w:rPr>
        <w:t xml:space="preserve">India now has the first dedicated statutory framework for synthetic content anywhere in South Asia. It gives deepfakes a legal name, a labelling duty, and a compressed enforcement clock, and it does this by amendment rather than by a standalone AI statute, which keeps the whole structure inside the existing intermediary liability regime rather than building something new.</w:t>
      </w:r>
    </w:p>
    <w:p>
      <w:pPr>
        <w:spacing w:after="160"/>
        <w:jc w:val="both"/>
      </w:pPr>
      <w:r>
        <w:rPr>
          <w:rFonts w:ascii="Georgia" w:cs="Georgia" w:eastAsia="Georgia" w:hAnsi="Georgia"/>
          <w:color w:val="111111"/>
          <w:sz w:val="22"/>
          <w:szCs w:val="22"/>
        </w:rPr>
        <w:t xml:space="preserve">That choice has a cost. It means every ambiguity in this amendment inherits three decades of litigation over what counts as an intermediary, what due diligence actually requires, and how far platform liability can stretch before it becomes a burden that only the largest players can absorb.</w:t>
      </w:r>
    </w:p>
    <w:p>
      <w:pPr>
        <w:pBdr>
          <w:left w:val="single" w:color="b8860b" w:sz="12" w:space="8"/>
        </w:pBdr>
        <w:spacing w:after="200" w:before="120"/>
        <w:ind w:left="360"/>
        <w:jc w:val="both"/>
      </w:pPr>
      <w:r>
        <w:rPr>
          <w:rFonts w:ascii="Georgia" w:cs="Georgia" w:eastAsia="Georgia" w:hAnsi="Georgia"/>
          <w:i/>
          <w:iCs/>
          <w:color w:val="555555"/>
          <w:sz w:val="22"/>
          <w:szCs w:val="22"/>
        </w:rPr>
        <w:t xml:space="preserve">The three-hour rule is the number everyone will quote. The more important number may turn out to be zero, as in, how many hours of runway platforms were given before the clock started counting against them.</w:t>
      </w:r>
    </w:p>
    <w:p>
      <w:pPr>
        <w:spacing w:after="160"/>
        <w:jc w:val="both"/>
      </w:pPr>
      <w:r>
        <w:rPr>
          <w:rFonts w:ascii="Georgia" w:cs="Georgia" w:eastAsia="Georgia" w:hAnsi="Georgia"/>
          <w:color w:val="111111"/>
          <w:sz w:val="22"/>
          <w:szCs w:val="22"/>
        </w:rPr>
        <w:t xml:space="preserve">Whether this framework ends up protecting the people it was written for, or simply moving the same old problem onto a faster clock, will depend on institutions that do not yet exist and safeguards that have not yet been tested. That is the story to keep watching.</w:t>
      </w:r>
    </w:p>
    <w:p>
      <w:pPr>
        <w:pBdr>
          <w:top w:val="single" w:color="CCCCCC" w:sz="4"/>
        </w:pBdr>
        <w:spacing w:after="80" w:before="400"/>
      </w:pPr>
    </w:p>
    <w:p>
      <w:pPr>
        <w:jc w:val="center"/>
      </w:pPr>
      <w:r>
        <w:rPr>
          <w:rFonts w:ascii="Georgia" w:cs="Georgia" w:eastAsia="Georgia" w:hAnsi="Georgia"/>
          <w:i/>
          <w:iCs/>
          <w:color w:val="555555"/>
          <w:sz w:val="18"/>
          <w:szCs w:val="18"/>
        </w:rPr>
        <w:t xml:space="preserve">National Legal Observatory  |  legal-observatory.vercel.app  |  August 2026</w:t>
      </w:r>
    </w:p>
    <w:p>
      <w:pPr>
        <w:jc w:val="center"/>
      </w:pPr>
      <w:r>
        <w:rPr>
          <w:rFonts w:ascii="Georgia" w:cs="Georgia" w:eastAsia="Georgia" w:hAnsi="Georgia"/>
          <w:i/>
          <w:iCs/>
          <w:color w:val="555555"/>
          <w:sz w:val="18"/>
          <w:szCs w:val="18"/>
        </w:rPr>
        <w:t xml:space="preserve">Independent Legal Research  |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2026-08-04T20:18:32.922Z</dcterms:created>
  <dcterms:modified xsi:type="dcterms:W3CDTF">2026-08-04T20:18:32.922Z</dcterms:modified>
</cp:coreProperties>
</file>

<file path=docProps/custom.xml><?xml version="1.0" encoding="utf-8"?>
<Properties xmlns="http://schemas.openxmlformats.org/officeDocument/2006/custom-properties" xmlns:vt="http://schemas.openxmlformats.org/officeDocument/2006/docPropsVTypes"/>
</file>