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Georgia" w:cs="Georgia" w:eastAsia="Georgia" w:hAnsi="Georgia"/>
          <w:b/>
          <w:bCs/>
          <w:sz w:val="40"/>
          <w:szCs w:val="40"/>
        </w:rPr>
        <w:t xml:space="preserve">NATIONAL LEGAL OBSERVATORY</w:t>
      </w:r>
    </w:p>
    <w:p>
      <w:pPr>
        <w:spacing w:after="200" w:before="0"/>
        <w:jc w:val="center"/>
      </w:pPr>
      <w:r>
        <w:rPr>
          <w:rFonts w:ascii="Georgia" w:cs="Georgia" w:eastAsia="Georgia" w:hAnsi="Georgia"/>
          <w:i/>
          <w:iCs/>
          <w:sz w:val="20"/>
          <w:szCs w:val="20"/>
        </w:rPr>
        <w:t xml:space="preserve">Independent Legal Research  |  India</w:t>
      </w:r>
    </w:p>
    <w:p>
      <w:pPr>
        <w:spacing w:after="200" w:before="0"/>
        <w:jc w:val="center"/>
      </w:pPr>
      <w:r>
        <w:rPr>
          <w:rFonts w:ascii="Georgia" w:cs="Georgia" w:eastAsia="Georgia" w:hAnsi="Georgia"/>
          <w:b/>
          <w:bCs/>
          <w:sz w:val="22"/>
          <w:szCs w:val="22"/>
        </w:rPr>
        <w:t xml:space="preserve">Volume 1  |  Issue 2  |  July 2026</w:t>
      </w:r>
    </w:p>
    <w:p>
      <w:pPr>
        <w:spacing w:after="60" w:before="100"/>
        <w:jc w:val="center"/>
      </w:pPr>
      <w:r>
        <w:rPr>
          <w:rFonts w:ascii="Georgia" w:cs="Georgia" w:eastAsia="Georgia" w:hAnsi="Georgia"/>
          <w:b/>
          <w:bCs/>
          <w:sz w:val="30"/>
          <w:szCs w:val="30"/>
        </w:rPr>
        <w:t xml:space="preserve">Monthly Legal Review</w:t>
      </w:r>
    </w:p>
    <w:p>
      <w:pPr>
        <w:spacing w:after="320" w:before="0"/>
        <w:jc w:val="center"/>
      </w:pPr>
      <w:r>
        <w:rPr>
          <w:rFonts w:ascii="Georgia" w:cs="Georgia" w:eastAsia="Georgia" w:hAnsi="Georgia"/>
          <w:i/>
          <w:iCs/>
          <w:sz w:val="20"/>
          <w:szCs w:val="20"/>
        </w:rPr>
        <w:t xml:space="preserve">Constitutional  |  Legislative  |  Policy  |  Judicial</w:t>
      </w:r>
    </w:p>
    <w:p>
      <w:pPr>
        <w:spacing w:after="120" w:before="320"/>
        <w:jc w:val="center"/>
      </w:pPr>
      <w:r>
        <w:rPr>
          <w:rFonts w:ascii="Georgia" w:cs="Georgia" w:eastAsia="Georgia" w:hAnsi="Georgia"/>
          <w:b/>
          <w:bCs/>
          <w:caps/>
          <w:sz w:val="18"/>
          <w:szCs w:val="18"/>
        </w:rPr>
        <w:t xml:space="preserve">IN THIS ISSUE</w:t>
      </w:r>
    </w:p>
    <w:p>
      <w:pPr>
        <w:spacing w:after="0" w:before="0"/>
        <w:ind w:left="240"/>
      </w:pPr>
      <w:r>
        <w:rPr>
          <w:rFonts w:ascii="Georgia" w:cs="Georgia" w:eastAsia="Georgia" w:hAnsi="Georgia"/>
          <w:sz w:val="20"/>
          <w:szCs w:val="20"/>
        </w:rPr>
        <w:t xml:space="preserve">Judgment of the Month: Pooja Ramesh Singh v. Jammu and Kashmir Bank Ltd. (2026 INSC 668)</w:t>
      </w:r>
    </w:p>
    <w:p>
      <w:pPr>
        <w:spacing w:after="0" w:before="0"/>
        <w:ind w:left="240"/>
      </w:pPr>
      <w:r>
        <w:rPr>
          <w:rFonts w:ascii="Georgia" w:cs="Georgia" w:eastAsia="Georgia" w:hAnsi="Georgia"/>
          <w:sz w:val="20"/>
          <w:szCs w:val="20"/>
        </w:rPr>
        <w:t xml:space="preserve">Constitutional Watch: Elderly &amp; Terminally Ill Prisoners  |  Court Live-Stream Ban  |  West Bengal Madrasah Staff  |  Stray Cattle Compensation</w:t>
      </w:r>
    </w:p>
    <w:p>
      <w:pPr>
        <w:spacing w:after="0" w:before="0"/>
        <w:ind w:left="240"/>
      </w:pPr>
      <w:r>
        <w:rPr>
          <w:rFonts w:ascii="Georgia" w:cs="Georgia" w:eastAsia="Georgia" w:hAnsi="Georgia"/>
          <w:sz w:val="20"/>
          <w:szCs w:val="20"/>
        </w:rPr>
        <w:t xml:space="preserve">Legislative Tracker: Monsoon Session Opens  |  Pending Bills  |  Delimitation &amp; FCRA</w:t>
      </w:r>
    </w:p>
    <w:p>
      <w:pPr>
        <w:spacing w:after="0" w:before="0"/>
        <w:ind w:left="240"/>
      </w:pPr>
      <w:r>
        <w:rPr>
          <w:rFonts w:ascii="Georgia" w:cs="Georgia" w:eastAsia="Georgia" w:hAnsi="Georgia"/>
          <w:sz w:val="20"/>
          <w:szCs w:val="20"/>
        </w:rPr>
        <w:t xml:space="preserve">Policy Pulse: BCI Digital Conduct Rules  |  Draft Advocates (Amendment) Bill, 2026</w:t>
      </w:r>
    </w:p>
    <w:p>
      <w:pPr>
        <w:spacing w:after="0" w:before="0"/>
        <w:ind w:left="240"/>
      </w:pPr>
      <w:r>
        <w:rPr>
          <w:rFonts w:ascii="Georgia" w:cs="Georgia" w:eastAsia="Georgia" w:hAnsi="Georgia"/>
          <w:sz w:val="20"/>
          <w:szCs w:val="20"/>
        </w:rPr>
        <w:t xml:space="preserve">Editor's Note: What the Bench Already Knew</w:t>
      </w:r>
    </w:p>
    <w:p>
      <w:pPr>
        <w:spacing w:after="0" w:before="320"/>
        <w:jc w:val="center"/>
      </w:pPr>
      <w:r>
        <w:rPr>
          <w:rFonts w:ascii="Georgia" w:cs="Georgia" w:eastAsia="Georgia" w:hAnsi="Georgia"/>
          <w:i/>
          <w:iCs/>
          <w:sz w:val="18"/>
          <w:szCs w:val="18"/>
        </w:rPr>
        <w:t xml:space="preserve">Research Director: Bhoomija Khanna  |  Alliance University, Bangalore</w:t>
      </w:r>
    </w:p>
    <w:p>
      <w:pPr>
        <w:pageBreakBefore/>
        <w:spacing w:after="160" w:before="560"/>
      </w:pPr>
      <w:r>
        <w:rPr>
          <w:rFonts w:ascii="Georgia" w:cs="Georgia" w:eastAsia="Georgia" w:hAnsi="Georgia"/>
          <w:b/>
          <w:bCs/>
          <w:caps/>
          <w:sz w:val="20"/>
          <w:szCs w:val="20"/>
        </w:rPr>
        <w:t xml:space="preserve">01 | Judgment of the Month</w:t>
      </w:r>
    </w:p>
    <w:p>
      <w:pPr>
        <w:spacing w:after="120" w:before="320"/>
      </w:pPr>
      <w:r>
        <w:rPr>
          <w:rFonts w:ascii="Georgia" w:cs="Georgia" w:eastAsia="Georgia" w:hAnsi="Georgia"/>
          <w:b/>
          <w:bCs/>
          <w:sz w:val="26"/>
          <w:szCs w:val="26"/>
        </w:rPr>
        <w:t xml:space="preserve">Pooja Ramesh Singh v. Jammu and Kashmir Bank Ltd. &amp; Anr.</w:t>
      </w:r>
    </w:p>
    <w:p>
      <w:pPr>
        <w:pBdr>
          <w:bottom w:val="single" w:color="000000" w:sz="4" w:space="1"/>
        </w:pBdr>
        <w:spacing w:after="160" w:before="0"/>
      </w:pPr>
      <w:r>
        <w:rPr>
          <w:rFonts w:ascii="Georgia" w:cs="Georgia" w:eastAsia="Georgia" w:hAnsi="Georgia"/>
          <w:i/>
          <w:iCs/>
          <w:sz w:val="19"/>
          <w:szCs w:val="19"/>
        </w:rPr>
        <w:t xml:space="preserve">2026 INSC 668  |  Civil Appeal No. 11950 of 2025  |  Decided: July 2, 2026  |  Bench: Justice Pamidighantam Sri Narasimha and Justice Alok Aradhe</w:t>
      </w:r>
    </w:p>
    <w:p>
      <w:pPr>
        <w:spacing w:after="120" w:before="320"/>
      </w:pPr>
      <w:r>
        <w:rPr>
          <w:rFonts w:ascii="Georgia" w:cs="Georgia" w:eastAsia="Georgia" w:hAnsi="Georgia"/>
          <w:b/>
          <w:bCs/>
          <w:sz w:val="22"/>
          <w:szCs w:val="22"/>
        </w:rPr>
        <w:t xml:space="preserve">Background</w:t>
      </w:r>
    </w:p>
    <w:p>
      <w:pPr>
        <w:spacing w:after="280" w:before="0"/>
      </w:pPr>
      <w:r>
        <w:rPr>
          <w:rFonts w:ascii="Georgia" w:cs="Georgia" w:eastAsia="Georgia" w:hAnsi="Georgia"/>
          <w:sz w:val="22"/>
          <w:szCs w:val="22"/>
        </w:rPr>
        <w:t xml:space="preserve">Jammu and Kashmir Bank had extended a credit facility of Rs. 200 crore to Pan India Utilities Distribution Company Limited, a group entity, secured by a corporate guarantee from Essel Infraprojects Ltd. and a mortgage over land in Borivali, Mumbai. When the loan defaulted, the bank filed a Section 7 application under the Insolvency and Bankruptcy Code before the NCLT Mumbai, claiming an outstanding debt of Rs. 87.43 crore from Essel as guarantor.</w:t>
      </w:r>
    </w:p>
    <w:p>
      <w:pPr>
        <w:spacing w:after="280" w:before="0"/>
      </w:pPr>
      <w:r>
        <w:rPr>
          <w:rFonts w:ascii="Georgia" w:cs="Georgia" w:eastAsia="Georgia" w:hAnsi="Georgia"/>
          <w:sz w:val="22"/>
          <w:szCs w:val="22"/>
        </w:rPr>
        <w:t xml:space="preserve">The Tribunal admitted the application. Its order relied on six purported Supreme Court decisions. When the appellant's side had them checked, several did not exist at all. Others were real cases with passages that had been invented and inserted. All six appear to have been generated by an AI tool and cited without anyone verifying them first. The NCLAT affirmed the order on appeal without catching the fabrication.</w:t>
      </w:r>
    </w:p>
    <w:p>
      <w:pPr>
        <w:spacing w:after="120" w:before="320"/>
      </w:pPr>
      <w:r>
        <w:rPr>
          <w:rFonts w:ascii="Georgia" w:cs="Georgia" w:eastAsia="Georgia" w:hAnsi="Georgia"/>
          <w:b/>
          <w:bCs/>
          <w:sz w:val="22"/>
          <w:szCs w:val="22"/>
        </w:rPr>
        <w:t xml:space="preserve">What the Court Held</w:t>
      </w:r>
    </w:p>
    <w:p>
      <w:pPr>
        <w:spacing w:after="280" w:before="0"/>
      </w:pPr>
      <w:r>
        <w:rPr>
          <w:rFonts w:ascii="Georgia" w:cs="Georgia" w:eastAsia="Georgia" w:hAnsi="Georgia"/>
          <w:sz w:val="22"/>
          <w:szCs w:val="22"/>
        </w:rPr>
        <w:t xml:space="preserve">The Supreme Court set aside both the NCLT and NCLAT orders and sent the Section 7 application back for a fresh hearing. Its reasoning went beyond the individual case. A decision that rests on fake or hallucinated authorities is not a valid exercise of judicial power, the Court said, even where that material had only an indirect bearing on the eventual outcome.</w:t>
      </w:r>
    </w:p>
    <w:p>
      <w:pPr>
        <w:pBdr>
          <w:left w:val="single" w:color="000000" w:sz="12" w:space="12"/>
        </w:pBdr>
        <w:spacing w:after="320" w:before="320"/>
        <w:ind w:left="720" w:right="720"/>
      </w:pPr>
      <w:r>
        <w:rPr>
          <w:rFonts w:ascii="Georgia" w:cs="Georgia" w:eastAsia="Georgia" w:hAnsi="Georgia"/>
          <w:i/>
          <w:iCs/>
          <w:sz w:val="23"/>
          <w:szCs w:val="23"/>
        </w:rPr>
        <w:t xml:space="preserve">A decision resting on AI-hallucinated precedents is no decision in the eyes of the law.</w:t>
      </w:r>
    </w:p>
    <w:p>
      <w:pPr>
        <w:spacing w:after="280" w:before="0"/>
      </w:pPr>
      <w:r>
        <w:rPr>
          <w:rFonts w:ascii="Georgia" w:cs="Georgia" w:eastAsia="Georgia" w:hAnsi="Georgia"/>
          <w:sz w:val="22"/>
          <w:szCs w:val="22"/>
        </w:rPr>
        <w:t xml:space="preserve">The Court described the danger of fabricated precedent slipping unnoticed into the record as comparable to a toxic gas leak: invisible while it spreads, and catastrophic by the time anyone notices. It fixed a zero-tolerance standard for both the Bar and the Bench going forward. Citing AI-generated material without independently verifying it is now, in the Court's own words, professionally and judicially unacceptable.</w:t>
      </w:r>
    </w:p>
    <w:p>
      <w:pPr>
        <w:spacing w:after="120" w:before="320"/>
      </w:pPr>
      <w:r>
        <w:rPr>
          <w:rFonts w:ascii="Georgia" w:cs="Georgia" w:eastAsia="Georgia" w:hAnsi="Georgia"/>
          <w:b/>
          <w:bCs/>
          <w:sz w:val="22"/>
          <w:szCs w:val="22"/>
        </w:rPr>
        <w:t xml:space="preserve">Why This Matters</w:t>
      </w:r>
    </w:p>
    <w:p>
      <w:pPr>
        <w:spacing w:after="280" w:before="0"/>
      </w:pPr>
      <w:r>
        <w:rPr>
          <w:rFonts w:ascii="Georgia" w:cs="Georgia" w:eastAsia="Georgia" w:hAnsi="Georgia"/>
          <w:sz w:val="22"/>
          <w:szCs w:val="22"/>
        </w:rPr>
        <w:t xml:space="preserve">NLO's Editor's Note last month asked what happens when AI shapes a decision without ever appearing to make one. Pooja Ramesh Singh answers a narrower version of that question, but answers it forcefully. This is not a hypothetical about disclosure obligations or research tools quietly filtering precedent. It is an insolvency order, upheld by an appellate tribunal, built on six citations that were never real. Fabrication got past a Tribunal, past an Appellate Tribunal, and was only stopped when someone on the losing side went and checked.</w:t>
      </w:r>
    </w:p>
    <w:p>
      <w:pPr>
        <w:spacing w:after="280" w:before="0"/>
      </w:pPr>
      <w:r>
        <w:rPr>
          <w:rFonts w:ascii="Georgia" w:cs="Georgia" w:eastAsia="Georgia" w:hAnsi="Georgia"/>
          <w:sz w:val="22"/>
          <w:szCs w:val="22"/>
        </w:rPr>
        <w:t xml:space="preserve">The Bench's zero-tolerance framing places the verification burden squarely on the people using the tools, not on the tools themselves. For a legal system moving quickly toward AI-assisted research and drafting, that allocation of responsibility is the real precedent here, whatever the eventual outcome of the remanded insolvency proceeding.</w:t>
      </w:r>
    </w:p>
    <w:p>
      <w:pPr>
        <w:pageBreakBefore/>
        <w:spacing w:after="160" w:before="560"/>
      </w:pPr>
      <w:r>
        <w:rPr>
          <w:rFonts w:ascii="Georgia" w:cs="Georgia" w:eastAsia="Georgia" w:hAnsi="Georgia"/>
          <w:b/>
          <w:bCs/>
          <w:caps/>
          <w:sz w:val="20"/>
          <w:szCs w:val="20"/>
        </w:rPr>
        <w:t xml:space="preserve">02 | Constitutional Watch</w:t>
      </w:r>
    </w:p>
    <w:p>
      <w:pPr>
        <w:spacing w:after="120" w:before="320"/>
      </w:pPr>
      <w:r>
        <w:rPr>
          <w:rFonts w:ascii="Georgia" w:cs="Georgia" w:eastAsia="Georgia" w:hAnsi="Georgia"/>
          <w:b/>
          <w:bCs/>
          <w:sz w:val="26"/>
          <w:szCs w:val="26"/>
        </w:rPr>
        <w:t xml:space="preserve">Key Developments at the Supreme Court | July 2026</w:t>
      </w:r>
    </w:p>
    <w:p>
      <w:pPr>
        <w:pBdr>
          <w:bottom w:val="single" w:color="000000" w:sz="4" w:space="1"/>
        </w:pBdr>
        <w:spacing w:after="0" w:before="320"/>
      </w:pPr>
      <w:r>
        <w:rPr>
          <w:rFonts w:ascii="Georgia" w:cs="Georgia" w:eastAsia="Georgia" w:hAnsi="Georgia"/>
          <w:b/>
          <w:bCs/>
          <w:sz w:val="24"/>
          <w:szCs w:val="24"/>
        </w:rPr>
        <w:t xml:space="preserve">1. Compassionate Release for Elderly and Terminally Ill Prisoners</w:t>
      </w:r>
    </w:p>
    <w:p>
      <w:pPr>
        <w:spacing w:after="160" w:before="60"/>
      </w:pPr>
      <w:r>
        <w:rPr>
          <w:rFonts w:ascii="Georgia" w:cs="Georgia" w:eastAsia="Georgia" w:hAnsi="Georgia"/>
          <w:i/>
          <w:iCs/>
          <w:sz w:val="19"/>
          <w:szCs w:val="19"/>
        </w:rPr>
        <w:t xml:space="preserve">NALSA v. Union of India | Supreme Court of India | July 16, 2026 | Bench: Justice Vikram Nath and Justice Sandeep Mehta</w:t>
      </w:r>
    </w:p>
    <w:p>
      <w:pPr>
        <w:spacing w:after="280" w:before="0"/>
      </w:pPr>
      <w:r>
        <w:rPr>
          <w:rFonts w:ascii="Georgia" w:cs="Georgia" w:eastAsia="Georgia" w:hAnsi="Georgia"/>
          <w:sz w:val="22"/>
          <w:szCs w:val="22"/>
        </w:rPr>
        <w:t xml:space="preserve">Ruling on a PIL filed by the National Legal Services Authority, the Supreme Court directed every State and Union Territory to notify a comprehensive policy within three months for the early release of prisoners who are elderly or terminally ill. NALSA's own nationwide campaign had identified 5,393 vulnerable prisoners, including 84 convicts above 70 and 11 who are terminally ill. The policy must define "terminal illness" uniformly, set objective eligibility criteria, and integrate with the Undertrial Review Committees so that cases are flagged and reviewed periodically rather than left to individual applications. The Bench was direct about the constitutional stakes: imprisonment does not suspend the right to dignity simply because a person has grown old or fallen ill.</w:t>
      </w:r>
    </w:p>
    <w:p>
      <w:pPr>
        <w:pBdr>
          <w:bottom w:val="single" w:color="000000" w:sz="4" w:space="1"/>
        </w:pBdr>
        <w:spacing w:after="0" w:before="320"/>
      </w:pPr>
      <w:r>
        <w:rPr>
          <w:rFonts w:ascii="Georgia" w:cs="Georgia" w:eastAsia="Georgia" w:hAnsi="Georgia"/>
          <w:b/>
          <w:bCs/>
          <w:sz w:val="24"/>
          <w:szCs w:val="24"/>
        </w:rPr>
        <w:t xml:space="preserve">2. Interim Restraint on Circulation of Court Live-Stream Clips</w:t>
      </w:r>
    </w:p>
    <w:p>
      <w:pPr>
        <w:spacing w:after="160" w:before="60"/>
      </w:pPr>
      <w:r>
        <w:rPr>
          <w:rFonts w:ascii="Georgia" w:cs="Georgia" w:eastAsia="Georgia" w:hAnsi="Georgia"/>
          <w:i/>
          <w:iCs/>
          <w:sz w:val="19"/>
          <w:szCs w:val="19"/>
        </w:rPr>
        <w:t xml:space="preserve">Supreme Court of India | July 24, 2026 | Bench: CJI Surya Kant, Justice Joymalya Bagchi and Justice V. Mohana</w:t>
      </w:r>
    </w:p>
    <w:p>
      <w:pPr>
        <w:spacing w:after="280" w:before="0"/>
      </w:pPr>
      <w:r>
        <w:rPr>
          <w:rFonts w:ascii="Georgia" w:cs="Georgia" w:eastAsia="Georgia" w:hAnsi="Georgia"/>
          <w:sz w:val="22"/>
          <w:szCs w:val="22"/>
        </w:rPr>
        <w:t xml:space="preserve">Hearing a petition by journalist Harshita Grover over the selective editing and commercial exploitation of live-streamed hearings, the Court passed an interim order barring the posting, reposting, extraction, editing, or monetisation of court live-stream footage without prior permission from the Registrar General concerned. Fair news reporting is expressly carved out. The Bench's own framing was blunt: courtroom proceedings are not meant to become round-the-clock entertainment content. High Courts have separately been asked to report on how they have implemented the Supreme Court's model live-streaming guidelines.</w:t>
      </w:r>
    </w:p>
    <w:p>
      <w:pPr>
        <w:pBdr>
          <w:bottom w:val="single" w:color="000000" w:sz="4" w:space="1"/>
        </w:pBdr>
        <w:spacing w:after="0" w:before="320"/>
      </w:pPr>
      <w:r>
        <w:rPr>
          <w:rFonts w:ascii="Georgia" w:cs="Georgia" w:eastAsia="Georgia" w:hAnsi="Georgia"/>
          <w:b/>
          <w:bCs/>
          <w:sz w:val="24"/>
          <w:szCs w:val="24"/>
        </w:rPr>
        <w:t xml:space="preserve">3. West Bengal Madrasah Staff Appointments: "A Blot on the System"</w:t>
      </w:r>
    </w:p>
    <w:p>
      <w:pPr>
        <w:spacing w:after="160" w:before="60"/>
      </w:pPr>
      <w:r>
        <w:rPr>
          <w:rFonts w:ascii="Georgia" w:cs="Georgia" w:eastAsia="Georgia" w:hAnsi="Georgia"/>
          <w:i/>
          <w:iCs/>
          <w:sz w:val="19"/>
          <w:szCs w:val="19"/>
        </w:rPr>
        <w:t xml:space="preserve">Najma Khatun &amp; Ors. v. State of West Bengal &amp; Ors. | 2026 INSC 691 | Decided: July 13, 2026 | Bench: Justice Dipankar Datta and Justice Augustine George Masih</w:t>
      </w:r>
    </w:p>
    <w:p>
      <w:pPr>
        <w:spacing w:after="280" w:before="0"/>
      </w:pPr>
      <w:r>
        <w:rPr>
          <w:rFonts w:ascii="Georgia" w:cs="Georgia" w:eastAsia="Georgia" w:hAnsi="Georgia"/>
          <w:sz w:val="22"/>
          <w:szCs w:val="22"/>
        </w:rPr>
        <w:t xml:space="preserve">The Court dismissed pleas by West Bengal madrasah staff seeking regularisation, salary approval, and service protection, holding that none of the petitioners could establish a lawful recruitment process. Any appointment made after March 14, 2016, the date the Supreme Court stayed the High Court judgment invalidating the Madrasah Service Commission Act, without express judicial permission, was held to be ex facie illegal. A stay order suspends a judgment; it does not erase it, the Bench clarified, and state notifications issued on the strength of the stay were accordingly inoperative. The judgment sits alongside the Court's earlier ruling invalidating over 25,000 West Bengal school appointments, continuing a pattern of close scrutiny of the state's recruitment processes.</w:t>
      </w:r>
    </w:p>
    <w:p>
      <w:pPr>
        <w:pBdr>
          <w:bottom w:val="single" w:color="000000" w:sz="4" w:space="1"/>
        </w:pBdr>
        <w:spacing w:after="0" w:before="320"/>
      </w:pPr>
      <w:r>
        <w:rPr>
          <w:rFonts w:ascii="Georgia" w:cs="Georgia" w:eastAsia="Georgia" w:hAnsi="Georgia"/>
          <w:b/>
          <w:bCs/>
          <w:sz w:val="24"/>
          <w:szCs w:val="24"/>
        </w:rPr>
        <w:t xml:space="preserve">4. A National Framework for Stray Cattle Accidents</w:t>
      </w:r>
    </w:p>
    <w:p>
      <w:pPr>
        <w:spacing w:after="160" w:before="60"/>
      </w:pPr>
      <w:r>
        <w:rPr>
          <w:rFonts w:ascii="Georgia" w:cs="Georgia" w:eastAsia="Georgia" w:hAnsi="Georgia"/>
          <w:i/>
          <w:iCs/>
          <w:sz w:val="19"/>
          <w:szCs w:val="19"/>
        </w:rPr>
        <w:t xml:space="preserve">Nisha v. Municipal Council Sangrur &amp; Ors. | 2026 INSC 774 | Decided: July 31, 2026 | Bench: Justice Sanjay Karol and Justice N. Kotiswar Singh</w:t>
      </w:r>
    </w:p>
    <w:p>
      <w:pPr>
        <w:spacing w:after="280" w:before="0"/>
      </w:pPr>
      <w:r>
        <w:rPr>
          <w:rFonts w:ascii="Georgia" w:cs="Georgia" w:eastAsia="Georgia" w:hAnsi="Georgia"/>
          <w:sz w:val="22"/>
          <w:szCs w:val="22"/>
        </w:rPr>
        <w:t xml:space="preserve">Allowing an appeal by the widow of a man killed in a stray bull attack in Punjab in 2007, the Court awarded lump sum compensation of Rs. 15 lakh and, going well beyond the individual dispute, called on the Centre and States to build a proper compensation and prevention mechanism for bovine-related accidents nationwide. Citing government data showing animal attacks killed over 1,300 people in a single year, the Bench recommended mandatory animal tagging, clearer owner responsibility, and stronger shelter management, and directed that the judgment be circulated to every Chief Secretary and State Legal Services Authority. Stray cattle, the Court observed, are not meant to function as speed breakers on India's roads.</w:t>
      </w:r>
    </w:p>
    <w:p>
      <w:pPr>
        <w:pageBreakBefore/>
        <w:spacing w:after="160" w:before="560"/>
      </w:pPr>
      <w:r>
        <w:rPr>
          <w:rFonts w:ascii="Georgia" w:cs="Georgia" w:eastAsia="Georgia" w:hAnsi="Georgia"/>
          <w:b/>
          <w:bCs/>
          <w:caps/>
          <w:sz w:val="20"/>
          <w:szCs w:val="20"/>
        </w:rPr>
        <w:t xml:space="preserve">03 | Legislative Tracker</w:t>
      </w:r>
    </w:p>
    <w:p>
      <w:pPr>
        <w:spacing w:after="120" w:before="320"/>
      </w:pPr>
      <w:r>
        <w:rPr>
          <w:rFonts w:ascii="Georgia" w:cs="Georgia" w:eastAsia="Georgia" w:hAnsi="Georgia"/>
          <w:b/>
          <w:bCs/>
          <w:sz w:val="26"/>
          <w:szCs w:val="26"/>
        </w:rPr>
        <w:t xml:space="preserve">Monsoon Session Opens. Twenty-Eight Bills Are Waiting.</w:t>
      </w:r>
    </w:p>
    <w:p>
      <w:pPr>
        <w:spacing w:after="280" w:before="0"/>
      </w:pPr>
      <w:r>
        <w:rPr>
          <w:rFonts w:ascii="Georgia" w:cs="Georgia" w:eastAsia="Georgia" w:hAnsi="Georgia"/>
          <w:sz w:val="22"/>
          <w:szCs w:val="22"/>
        </w:rPr>
        <w:t xml:space="preserve">Parliament's Monsoon Session opened on July 20 and is scheduled to run until August 13, its eighth sitting under the current Lok Sabha. Twenty-eight Bills were pending going into the session, and the government listed seven as priorities, five of them entirely new.</w:t>
      </w:r>
    </w:p>
    <w:p>
      <w:pPr>
        <w:spacing w:after="120" w:before="320"/>
      </w:pPr>
      <w:r>
        <w:rPr>
          <w:rFonts w:ascii="Georgia" w:cs="Georgia" w:eastAsia="Georgia" w:hAnsi="Georgia"/>
          <w:b/>
          <w:bCs/>
          <w:sz w:val="22"/>
          <w:szCs w:val="22"/>
        </w:rPr>
        <w:t xml:space="preserve">Bills Up for Passage</w:t>
      </w:r>
    </w:p>
    <w:p>
      <w:pPr>
        <w:spacing w:after="280" w:before="0"/>
      </w:pPr>
      <w:r>
        <w:rPr>
          <w:rFonts w:ascii="Georgia" w:cs="Georgia" w:eastAsia="Georgia" w:hAnsi="Georgia"/>
          <w:sz w:val="22"/>
          <w:szCs w:val="22"/>
        </w:rPr>
        <w:t xml:space="preserve">The Supreme Court (Number of Judges) Amendment Bill would replace an earlier ordinance and raise the Court's strength from 33 judges to 37, excluding the Chief Justice of India. The Income-tax (Amendment) Bill, also replacing an ordinance, exempts specified foreign institutional investors and the Bank for International Settlements from tax on certain government securities income. Other Bills on the list include amendments to the MSME Development Act on delayed payments and arbitral enforcement, a tightening of the Registration of Births and Deaths Act around delayed registrations, and the Foreign Contribution (Regulation) Amendment Bill, which would rework how FCRA-cancelled organisations' foreign assets are supervised while cutting the maximum penalty for violations from five years' imprisonment to one.</w:t>
      </w:r>
    </w:p>
    <w:p>
      <w:pPr>
        <w:spacing w:after="120" w:before="320"/>
      </w:pPr>
      <w:r>
        <w:rPr>
          <w:rFonts w:ascii="Georgia" w:cs="Georgia" w:eastAsia="Georgia" w:hAnsi="Georgia"/>
          <w:b/>
          <w:bCs/>
          <w:sz w:val="22"/>
          <w:szCs w:val="22"/>
        </w:rPr>
        <w:t xml:space="preserve">What Is Being Held Back</w:t>
      </w:r>
    </w:p>
    <w:p>
      <w:pPr>
        <w:spacing w:after="280" w:before="0"/>
      </w:pPr>
      <w:r>
        <w:rPr>
          <w:rFonts w:ascii="Georgia" w:cs="Georgia" w:eastAsia="Georgia" w:hAnsi="Georgia"/>
          <w:sz w:val="22"/>
          <w:szCs w:val="22"/>
        </w:rPr>
        <w:t xml:space="preserve">The Delimitation Bills, defeated in April and expected to return, were not brought back for this session; the government appears to be holding them for a moment with less organised Opposition resistance. The Viksit Bharat Shiksha Adhishthan Bill, which would fold the UGC, AICTE, and NCTE into a single higher-education regulator, remains with a Joint Parliamentary Committee since its introduction in December 2025. NLO will track both through the remainder of the session and report on what actually clears both Houses in next month's issue.</w:t>
      </w:r>
    </w:p>
    <w:p>
      <w:pPr>
        <w:pageBreakBefore/>
        <w:spacing w:after="160" w:before="560"/>
      </w:pPr>
      <w:r>
        <w:rPr>
          <w:rFonts w:ascii="Georgia" w:cs="Georgia" w:eastAsia="Georgia" w:hAnsi="Georgia"/>
          <w:b/>
          <w:bCs/>
          <w:caps/>
          <w:sz w:val="20"/>
          <w:szCs w:val="20"/>
        </w:rPr>
        <w:t xml:space="preserve">04 | Policy Pulse</w:t>
      </w:r>
    </w:p>
    <w:p>
      <w:pPr>
        <w:spacing w:after="120" w:before="320"/>
      </w:pPr>
      <w:r>
        <w:rPr>
          <w:rFonts w:ascii="Georgia" w:cs="Georgia" w:eastAsia="Georgia" w:hAnsi="Georgia"/>
          <w:b/>
          <w:bCs/>
          <w:sz w:val="26"/>
          <w:szCs w:val="26"/>
        </w:rPr>
        <w:t xml:space="preserve">The Bar Council Moves on Two Fronts | July 2026</w:t>
      </w:r>
    </w:p>
    <w:p>
      <w:pPr>
        <w:spacing w:after="120" w:before="320"/>
      </w:pPr>
      <w:r>
        <w:rPr>
          <w:rFonts w:ascii="Georgia" w:cs="Georgia" w:eastAsia="Georgia" w:hAnsi="Georgia"/>
          <w:b/>
          <w:bCs/>
          <w:sz w:val="22"/>
          <w:szCs w:val="22"/>
        </w:rPr>
        <w:t xml:space="preserve">Digital Conduct Rules for the Legal Community</w:t>
      </w:r>
    </w:p>
    <w:p>
      <w:pPr>
        <w:spacing w:after="160" w:before="60"/>
      </w:pPr>
      <w:r>
        <w:rPr>
          <w:rFonts w:ascii="Georgia" w:cs="Georgia" w:eastAsia="Georgia" w:hAnsi="Georgia"/>
          <w:i/>
          <w:iCs/>
          <w:sz w:val="19"/>
          <w:szCs w:val="19"/>
        </w:rPr>
        <w:t xml:space="preserve">Bar Council of India | Circulated: July 17, 2026</w:t>
      </w:r>
    </w:p>
    <w:p>
      <w:pPr>
        <w:spacing w:after="280" w:before="0"/>
      </w:pPr>
      <w:r>
        <w:rPr>
          <w:rFonts w:ascii="Georgia" w:cs="Georgia" w:eastAsia="Georgia" w:hAnsi="Georgia"/>
          <w:sz w:val="22"/>
          <w:szCs w:val="22"/>
        </w:rPr>
        <w:t xml:space="preserve">The BCI circulated a framework governing social media use by advocates, law students, and interns, covering reels filmed on court premises, misuse of professional identity, AI-generated content and deepfakes, and digital solicitation. The circular followed the Supreme Court's notice in Anil Pandey v. Bar Council of India, where the petition raised concerns about monetised legal content, influencer collaborations, and client testimonials, and asked for a formal Digital Ethics Code for the profession. State Bar Councils and law colleges have been directed to implement and sensitise students to the framework immediately. For a profession built on decorum, the timing says something: the line between legal commentary and legal-adjacent content creation has gotten blurry enough that the regulator felt it needed to draw one.</w:t>
      </w:r>
    </w:p>
    <w:p>
      <w:pPr>
        <w:spacing w:after="120" w:before="320"/>
      </w:pPr>
      <w:r>
        <w:rPr>
          <w:rFonts w:ascii="Georgia" w:cs="Georgia" w:eastAsia="Georgia" w:hAnsi="Georgia"/>
          <w:b/>
          <w:bCs/>
          <w:sz w:val="22"/>
          <w:szCs w:val="22"/>
        </w:rPr>
        <w:t xml:space="preserve">Draft Advocates (Amendment) Bill, 2026</w:t>
      </w:r>
    </w:p>
    <w:p>
      <w:pPr>
        <w:spacing w:after="160" w:before="60"/>
      </w:pPr>
      <w:r>
        <w:rPr>
          <w:rFonts w:ascii="Georgia" w:cs="Georgia" w:eastAsia="Georgia" w:hAnsi="Georgia"/>
          <w:i/>
          <w:iCs/>
          <w:sz w:val="19"/>
          <w:szCs w:val="19"/>
        </w:rPr>
        <w:t xml:space="preserve">Bar Council of India | Published for consultation: July 18, 2026 | Comments due: July 31, 2026</w:t>
      </w:r>
    </w:p>
    <w:p>
      <w:pPr>
        <w:spacing w:after="280" w:before="0"/>
      </w:pPr>
      <w:r>
        <w:rPr>
          <w:rFonts w:ascii="Georgia" w:cs="Georgia" w:eastAsia="Georgia" w:hAnsi="Georgia"/>
          <w:sz w:val="22"/>
          <w:szCs w:val="22"/>
        </w:rPr>
        <w:t xml:space="preserve">The BCI released a draft overhaul of the Advocates Act, 1961, described as a profession-first reform. It proposes statutory registration of law firms for the first time, a framework for foreign lawyers and foreign law firms limited to international commercial arbitration, increased women's representation on State Bar Councils, and compulsory post-enrolment professional training. Punitive provisions from the 2025 draft, including penalties for participating in strikes, have been dropped from this version. The Federation of Indian Corporate Lawyers has since submitted comments asking the BCI to extend statutory recognition to in-house counsel, arguing the current draft leaves out one of the largest segments of India's legal workforce. NLO will track the Bill as it moves past the consultation window.</w:t>
      </w:r>
    </w:p>
    <w:p>
      <w:pPr>
        <w:pageBreakBefore/>
        <w:spacing w:after="160" w:before="560"/>
      </w:pPr>
      <w:r>
        <w:rPr>
          <w:rFonts w:ascii="Georgia" w:cs="Georgia" w:eastAsia="Georgia" w:hAnsi="Georgia"/>
          <w:b/>
          <w:bCs/>
          <w:caps/>
          <w:sz w:val="20"/>
          <w:szCs w:val="20"/>
        </w:rPr>
        <w:t xml:space="preserve">05 | Editor's Note</w:t>
      </w:r>
    </w:p>
    <w:p>
      <w:pPr>
        <w:spacing w:after="120" w:before="320"/>
      </w:pPr>
      <w:r>
        <w:rPr>
          <w:rFonts w:ascii="Georgia" w:cs="Georgia" w:eastAsia="Georgia" w:hAnsi="Georgia"/>
          <w:b/>
          <w:bCs/>
          <w:sz w:val="26"/>
          <w:szCs w:val="26"/>
        </w:rPr>
        <w:t xml:space="preserve">What the Bench Already Knew</w:t>
      </w:r>
    </w:p>
    <w:p>
      <w:pPr>
        <w:spacing w:after="280" w:before="0"/>
      </w:pPr>
      <w:r>
        <w:rPr>
          <w:rFonts w:ascii="Georgia" w:cs="Georgia" w:eastAsia="Georgia" w:hAnsi="Georgia"/>
          <w:b w:val="false"/>
          <w:bCs w:val="false"/>
          <w:i/>
          <w:iCs/>
          <w:sz w:val="20"/>
          <w:szCs w:val="20"/>
        </w:rPr>
        <w:t xml:space="preserve">By Bhoomija Khanna, Research Director</w:t>
      </w:r>
    </w:p>
    <w:p>
      <w:pPr>
        <w:spacing w:after="280" w:before="0"/>
      </w:pPr>
      <w:r>
        <w:rPr>
          <w:rFonts w:ascii="Georgia" w:cs="Georgia" w:eastAsia="Georgia" w:hAnsi="Georgia"/>
          <w:sz w:val="22"/>
          <w:szCs w:val="22"/>
        </w:rPr>
        <w:t xml:space="preserve">Last month I wrote about a gap in the Supreme Court's draft AI regulations for courts. The draft prohibits AI from adjudicating. It says almost nothing about AI shaping the material a judge reads before adjudicating at all. I called that the more important question. I did not expect it to be answered within four weeks, in an actual case, by an actual bench.</w:t>
      </w:r>
    </w:p>
    <w:p>
      <w:pPr>
        <w:spacing w:after="280" w:before="0"/>
      </w:pPr>
      <w:r>
        <w:rPr>
          <w:rFonts w:ascii="Georgia" w:cs="Georgia" w:eastAsia="Georgia" w:hAnsi="Georgia"/>
          <w:sz w:val="22"/>
          <w:szCs w:val="22"/>
        </w:rPr>
        <w:t xml:space="preserve">Pooja Ramesh Singh v. Jammu and Kashmir Bank is what happens when nobody asks that question in time. An NCLT order was built on six fabricated Supreme Court citations. The NCLAT read the same order and did not catch it either. Two levels of adjudication, and the fabrication only surfaced because someone on the losing side of an insolvency dispute had the citations checked.</w:t>
      </w:r>
    </w:p>
    <w:p>
      <w:pPr>
        <w:spacing w:after="280" w:before="0"/>
      </w:pPr>
      <w:r>
        <w:rPr>
          <w:rFonts w:ascii="Georgia" w:cs="Georgia" w:eastAsia="Georgia" w:hAnsi="Georgia"/>
          <w:sz w:val="22"/>
          <w:szCs w:val="22"/>
        </w:rPr>
        <w:t xml:space="preserve">This is the scenario I described as a filtered record, a shaped brief, a decision influenced before anyone signs it. The difference is that this was not subtle. It was not a model quietly weighting certain precedents over others. It was six cases that do not exist, sitting inside a tribunal order, unnoticed.</w:t>
      </w:r>
    </w:p>
    <w:p>
      <w:pPr>
        <w:spacing w:after="280" w:before="0"/>
      </w:pPr>
      <w:r>
        <w:rPr>
          <w:rFonts w:ascii="Georgia" w:cs="Georgia" w:eastAsia="Georgia" w:hAnsi="Georgia"/>
          <w:sz w:val="22"/>
          <w:szCs w:val="22"/>
        </w:rPr>
        <w:t xml:space="preserve">The Supreme Court's response was the right one. Zero tolerance, on both sides of the bar, for citing AI-generated material without independently verifying it first. But zero tolerance is an instruction to humans to be more careful. It is not a systemic safeguard. Nothing in the judgment changes the fact that an NCLT and an NCLAT both read the same fabricated citations and neither one stopped to check.</w:t>
      </w:r>
    </w:p>
    <w:p>
      <w:pPr>
        <w:spacing w:after="280" w:before="0"/>
      </w:pPr>
      <w:r>
        <w:rPr>
          <w:rFonts w:ascii="Georgia" w:cs="Georgia" w:eastAsia="Georgia" w:hAnsi="Georgia"/>
          <w:sz w:val="22"/>
          <w:szCs w:val="22"/>
        </w:rPr>
        <w:t xml:space="preserve">The AI Committee's comment window on the draft court regulations closed on June 20. This judgment came twelve days later. If the Committee is still finalising that framework, it now has a live example sitting in front of it, not a hypothetical. A rule that tells judges not to let AI decide cases will not, by itself, catch a fabricated citation that AI has already planted in the record. Verification has to be built into the process, not left to whichever party happens to check.</w:t>
      </w:r>
    </w:p>
    <w:p>
      <w:pPr>
        <w:spacing w:after="280" w:before="0"/>
      </w:pPr>
      <w:r>
        <w:rPr>
          <w:rFonts w:ascii="Georgia" w:cs="Georgia" w:eastAsia="Georgia" w:hAnsi="Georgia"/>
          <w:sz w:val="22"/>
          <w:szCs w:val="22"/>
        </w:rPr>
        <w:t xml:space="preserve">I said last month that regulating outputs while leaving inputs unregulated is the appearance of governance rather than governance itself. Pooja Ramesh Singh did not have to prove me right. It would have been more comfortable if it hadn't.</w:t>
      </w:r>
    </w:p>
    <w:p>
      <w:pPr>
        <w:spacing w:after="0" w:before="320"/>
      </w:pPr>
      <w:r>
        <w:rPr>
          <w:rFonts w:ascii="Georgia" w:cs="Georgia" w:eastAsia="Georgia" w:hAnsi="Georgia"/>
          <w:b/>
          <w:bCs/>
          <w:i w:val="false"/>
          <w:iCs w:val="false"/>
          <w:sz w:val="22"/>
          <w:szCs w:val="22"/>
        </w:rPr>
        <w:t xml:space="preserve">Bhoomija Khanna</w:t>
      </w:r>
    </w:p>
    <w:p>
      <w:pPr>
        <w:spacing w:after="0" w:before="0"/>
      </w:pPr>
      <w:r>
        <w:rPr>
          <w:rFonts w:ascii="Georgia" w:cs="Georgia" w:eastAsia="Georgia" w:hAnsi="Georgia"/>
          <w:b w:val="false"/>
          <w:bCs w:val="false"/>
          <w:i/>
          <w:iCs/>
          <w:sz w:val="20"/>
          <w:szCs w:val="20"/>
        </w:rPr>
        <w:t xml:space="preserve">Research Director, National Legal Observatory</w:t>
      </w:r>
    </w:p>
    <w:p>
      <w:pPr>
        <w:spacing w:after="0" w:before="0"/>
      </w:pPr>
      <w:r>
        <w:rPr>
          <w:rFonts w:ascii="Georgia" w:cs="Georgia" w:eastAsia="Georgia" w:hAnsi="Georgia"/>
          <w:b w:val="false"/>
          <w:bCs w:val="false"/>
          <w:i/>
          <w:iCs/>
          <w:sz w:val="20"/>
          <w:szCs w:val="20"/>
        </w:rPr>
        <w:t xml:space="preserve">B.A. LL.B. (Hons.), Alliance University, Bangalore</w:t>
      </w:r>
    </w:p>
    <w:p>
      <w:pPr>
        <w:spacing w:after="0" w:before="0"/>
      </w:pPr>
      <w:r>
        <w:rPr>
          <w:rFonts w:ascii="Georgia" w:cs="Georgia" w:eastAsia="Georgia" w:hAnsi="Georgia"/>
          <w:b w:val="false"/>
          <w:bCs w:val="false"/>
          <w:i/>
          <w:iCs/>
          <w:sz w:val="20"/>
          <w:szCs w:val="20"/>
        </w:rPr>
        <w:t xml:space="preserve">July 2026</w:t>
      </w:r>
    </w:p>
    <w:p>
      <w:pPr>
        <w:pageBreakBefore/>
        <w:spacing w:after="160" w:before="560"/>
      </w:pPr>
      <w:r>
        <w:rPr>
          <w:rFonts w:ascii="Georgia" w:cs="Georgia" w:eastAsia="Georgia" w:hAnsi="Georgia"/>
          <w:b/>
          <w:bCs/>
          <w:caps/>
          <w:sz w:val="20"/>
          <w:szCs w:val="20"/>
        </w:rPr>
        <w:t xml:space="preserve">Primary Sources</w:t>
      </w:r>
    </w:p>
    <w:p>
      <w:pPr>
        <w:spacing w:after="120" w:before="160"/>
      </w:pPr>
      <w:r>
        <w:rPr>
          <w:rFonts w:ascii="Georgia" w:cs="Georgia" w:eastAsia="Georgia" w:hAnsi="Georgia"/>
          <w:b/>
          <w:bCs/>
          <w:sz w:val="20"/>
          <w:szCs w:val="20"/>
        </w:rPr>
        <w:t xml:space="preserve">Judgment of the Month</w:t>
      </w:r>
    </w:p>
    <w:p>
      <w:pPr>
        <w:spacing w:after="120" w:before="0"/>
      </w:pPr>
      <w:r>
        <w:rPr>
          <w:rFonts w:ascii="Georgia" w:cs="Georgia" w:eastAsia="Georgia" w:hAnsi="Georgia"/>
          <w:sz w:val="19"/>
          <w:szCs w:val="19"/>
        </w:rPr>
        <w:t xml:space="preserve">1.  2026 INSC 668 — Pooja Ramesh Singh v. Jammu and Kashmir Bank Ltd., full judgment text — </w:t>
      </w:r>
      <w:hyperlink w:history="1" r:id="rIdujznsfo6fcjz18uotame9">
        <w:r>
          <w:rPr>
            <w:rStyle w:val="Hyperlink"/>
            <w:rFonts w:ascii="Georgia" w:cs="Georgia" w:eastAsia="Georgia" w:hAnsi="Georgia"/>
            <w:sz w:val="19"/>
            <w:szCs w:val="19"/>
          </w:rPr>
          <w:t xml:space="preserve">https://indiankanoon.org/doc/113338666/</w:t>
        </w:r>
      </w:hyperlink>
    </w:p>
    <w:p>
      <w:pPr>
        <w:spacing w:after="120" w:before="0"/>
      </w:pPr>
      <w:r>
        <w:rPr>
          <w:rFonts w:ascii="Georgia" w:cs="Georgia" w:eastAsia="Georgia" w:hAnsi="Georgia"/>
          <w:sz w:val="19"/>
          <w:szCs w:val="19"/>
        </w:rPr>
        <w:t xml:space="preserve">2.  Verdictum — Case report and analysis, Pooja Ramesh Singh v. J&amp;K Bank — </w:t>
      </w:r>
      <w:hyperlink w:history="1" r:id="rId26p3gimfsjultxuzg-j2y">
        <w:r>
          <w:rPr>
            <w:rStyle w:val="Hyperlink"/>
            <w:rFonts w:ascii="Georgia" w:cs="Georgia" w:eastAsia="Georgia" w:hAnsi="Georgia"/>
            <w:sz w:val="19"/>
            <w:szCs w:val="19"/>
          </w:rPr>
          <w:t xml:space="preserve">https://www.verdictum.in/supreme-court/pooja-ramesh-singh-v-jammu-and-kashmir-bank-ltd-2026-insc-668-ai-generated-precedents-1616998</w:t>
        </w:r>
      </w:hyperlink>
    </w:p>
    <w:p>
      <w:pPr>
        <w:spacing w:after="120" w:before="0"/>
      </w:pPr>
      <w:r>
        <w:rPr>
          <w:rFonts w:ascii="Georgia" w:cs="Georgia" w:eastAsia="Georgia" w:hAnsi="Georgia"/>
          <w:sz w:val="19"/>
          <w:szCs w:val="19"/>
        </w:rPr>
        <w:t xml:space="preserve">3.  The Wire — Fake AI cases entered an NCLT insolvency order — </w:t>
      </w:r>
      <w:hyperlink w:history="1" r:id="rIdjvsq6qxnkpd0k15goawp4">
        <w:r>
          <w:rPr>
            <w:rStyle w:val="Hyperlink"/>
            <w:rFonts w:ascii="Georgia" w:cs="Georgia" w:eastAsia="Georgia" w:hAnsi="Georgia"/>
            <w:sz w:val="19"/>
            <w:szCs w:val="19"/>
          </w:rPr>
          <w:t xml:space="preserve">https://m.thewire.in/article/law/fake-ai-cases-entered-an-nclt-insolvency-order-the-supreme-court-quashed-it-but-who-is-accountable</w:t>
        </w:r>
      </w:hyperlink>
    </w:p>
    <w:p>
      <w:pPr>
        <w:spacing w:after="120" w:before="160"/>
      </w:pPr>
      <w:r>
        <w:rPr>
          <w:rFonts w:ascii="Georgia" w:cs="Georgia" w:eastAsia="Georgia" w:hAnsi="Georgia"/>
          <w:b/>
          <w:bCs/>
          <w:sz w:val="20"/>
          <w:szCs w:val="20"/>
        </w:rPr>
        <w:t xml:space="preserve">Constitutional Watch</w:t>
      </w:r>
    </w:p>
    <w:p>
      <w:pPr>
        <w:spacing w:after="120" w:before="0"/>
      </w:pPr>
      <w:r>
        <w:rPr>
          <w:rFonts w:ascii="Georgia" w:cs="Georgia" w:eastAsia="Georgia" w:hAnsi="Georgia"/>
          <w:sz w:val="19"/>
          <w:szCs w:val="19"/>
        </w:rPr>
        <w:t xml:space="preserve">4.  Free Press Journal — SC orders States, UTs to create policy for premature release of elderly, terminally ill inmates — </w:t>
      </w:r>
      <w:hyperlink w:history="1" r:id="rId-s6ufvqcyazxrujpd3mvk">
        <w:r>
          <w:rPr>
            <w:rStyle w:val="Hyperlink"/>
            <w:rFonts w:ascii="Georgia" w:cs="Georgia" w:eastAsia="Georgia" w:hAnsi="Georgia"/>
            <w:sz w:val="19"/>
            <w:szCs w:val="19"/>
          </w:rPr>
          <w:t xml:space="preserve">https://www.freepressjournal.in/india/sc-orders-states-uts-to-create-policy-for-premature-release-of-elderly-terminally-ill-inmates</w:t>
        </w:r>
      </w:hyperlink>
    </w:p>
    <w:p>
      <w:pPr>
        <w:spacing w:after="120" w:before="0"/>
      </w:pPr>
      <w:r>
        <w:rPr>
          <w:rFonts w:ascii="Georgia" w:cs="Georgia" w:eastAsia="Georgia" w:hAnsi="Georgia"/>
          <w:sz w:val="19"/>
          <w:szCs w:val="19"/>
        </w:rPr>
        <w:t xml:space="preserve">5.  Bar and Bench — Supreme Court restrains posting, circulating clips of live-streamed court hearings without permission — </w:t>
      </w:r>
      <w:hyperlink w:history="1" r:id="rIdfbzk3ceuw85why2fkxc2m">
        <w:r>
          <w:rPr>
            <w:rStyle w:val="Hyperlink"/>
            <w:rFonts w:ascii="Georgia" w:cs="Georgia" w:eastAsia="Georgia" w:hAnsi="Georgia"/>
            <w:sz w:val="19"/>
            <w:szCs w:val="19"/>
          </w:rPr>
          <w:t xml:space="preserve">https://www.barandbench.com/news/supreme-court-restrains-posting-circulating-clips-of-live-streamed-court-hearings-without-permission</w:t>
        </w:r>
      </w:hyperlink>
    </w:p>
    <w:p>
      <w:pPr>
        <w:spacing w:after="120" w:before="0"/>
      </w:pPr>
      <w:r>
        <w:rPr>
          <w:rFonts w:ascii="Georgia" w:cs="Georgia" w:eastAsia="Georgia" w:hAnsi="Georgia"/>
          <w:sz w:val="19"/>
          <w:szCs w:val="19"/>
        </w:rPr>
        <w:t xml:space="preserve">6.  Verdictum — Najma Khatun v. State of West Bengal, 2026 INSC 691 — </w:t>
      </w:r>
      <w:hyperlink w:history="1" r:id="rIdsvjz8zkiaendwomjjteec">
        <w:r>
          <w:rPr>
            <w:rStyle w:val="Hyperlink"/>
            <w:rFonts w:ascii="Georgia" w:cs="Georgia" w:eastAsia="Georgia" w:hAnsi="Georgia"/>
            <w:sz w:val="19"/>
            <w:szCs w:val="19"/>
          </w:rPr>
          <w:t xml:space="preserve">https://www.verdictum.in/supreme-court/najma-khatun-v-the-state-of-west-bengal-2026-insc-691-appointments-are-a-blot-judicial-leave-ex-facie-illegal-1617736</w:t>
        </w:r>
      </w:hyperlink>
    </w:p>
    <w:p>
      <w:pPr>
        <w:spacing w:after="120" w:before="0"/>
      </w:pPr>
      <w:r>
        <w:rPr>
          <w:rFonts w:ascii="Georgia" w:cs="Georgia" w:eastAsia="Georgia" w:hAnsi="Georgia"/>
          <w:sz w:val="19"/>
          <w:szCs w:val="19"/>
        </w:rPr>
        <w:t xml:space="preserve">7.  Verdictum — Nisha v. Municipal Council Sangrur &amp; Ors., 2026 INSC 774 — </w:t>
      </w:r>
      <w:hyperlink w:history="1" r:id="rIdtjvg-18uyd7ml6p1umyj4">
        <w:r>
          <w:rPr>
            <w:rStyle w:val="Hyperlink"/>
            <w:rFonts w:ascii="Georgia" w:cs="Georgia" w:eastAsia="Georgia" w:hAnsi="Georgia"/>
            <w:sz w:val="19"/>
            <w:szCs w:val="19"/>
          </w:rPr>
          <w:t xml:space="preserve">https://www.verdictum.in/amp/supreme-court/nisha-v-municipal-council-sangrur-ors-2026-insc-774-bovine-accidents-1618985</w:t>
        </w:r>
      </w:hyperlink>
    </w:p>
    <w:p>
      <w:pPr>
        <w:spacing w:after="120" w:before="160"/>
      </w:pPr>
      <w:r>
        <w:rPr>
          <w:rFonts w:ascii="Georgia" w:cs="Georgia" w:eastAsia="Georgia" w:hAnsi="Georgia"/>
          <w:b/>
          <w:bCs/>
          <w:sz w:val="20"/>
          <w:szCs w:val="20"/>
        </w:rPr>
        <w:t xml:space="preserve">Legislative Tracker</w:t>
      </w:r>
    </w:p>
    <w:p>
      <w:pPr>
        <w:spacing w:after="120" w:before="0"/>
      </w:pPr>
      <w:r>
        <w:rPr>
          <w:rFonts w:ascii="Georgia" w:cs="Georgia" w:eastAsia="Georgia" w:hAnsi="Georgia"/>
          <w:sz w:val="19"/>
          <w:szCs w:val="19"/>
        </w:rPr>
        <w:t xml:space="preserve">8.  SCC Online — 28 Bills pending as Parliament's Monsoon Session begins on 20 July — </w:t>
      </w:r>
      <w:hyperlink w:history="1" r:id="rIdybdal4j7grew-l-c40oyx">
        <w:r>
          <w:rPr>
            <w:rStyle w:val="Hyperlink"/>
            <w:rFonts w:ascii="Georgia" w:cs="Georgia" w:eastAsia="Georgia" w:hAnsi="Georgia"/>
            <w:sz w:val="19"/>
            <w:szCs w:val="19"/>
          </w:rPr>
          <w:t xml:space="preserve">https://www.scconline.com/blog/post/2026/07/20/parliament-monsoon-session-2026-legislative-reforms/</w:t>
        </w:r>
      </w:hyperlink>
    </w:p>
    <w:p>
      <w:pPr>
        <w:spacing w:after="120" w:before="0"/>
      </w:pPr>
      <w:r>
        <w:rPr>
          <w:rFonts w:ascii="Georgia" w:cs="Georgia" w:eastAsia="Georgia" w:hAnsi="Georgia"/>
          <w:sz w:val="19"/>
          <w:szCs w:val="19"/>
        </w:rPr>
        <w:t xml:space="preserve">9.  Utkarsh Classes — Parliament Monsoon Session 2026: Overview and Key Bills — </w:t>
      </w:r>
      <w:hyperlink w:history="1" r:id="rIdiuyw6uu0wowm7ow4y839y">
        <w:r>
          <w:rPr>
            <w:rStyle w:val="Hyperlink"/>
            <w:rFonts w:ascii="Georgia" w:cs="Georgia" w:eastAsia="Georgia" w:hAnsi="Georgia"/>
            <w:sz w:val="19"/>
            <w:szCs w:val="19"/>
          </w:rPr>
          <w:t xml:space="preserve">https://utkarsh.com/current-affairs/national/parliament/parliament-monsoon-session-2026-overview-key-bills-to-introduce-and-significance</w:t>
        </w:r>
      </w:hyperlink>
    </w:p>
    <w:p>
      <w:pPr>
        <w:spacing w:after="120" w:before="160"/>
      </w:pPr>
      <w:r>
        <w:rPr>
          <w:rFonts w:ascii="Georgia" w:cs="Georgia" w:eastAsia="Georgia" w:hAnsi="Georgia"/>
          <w:b/>
          <w:bCs/>
          <w:sz w:val="20"/>
          <w:szCs w:val="20"/>
        </w:rPr>
        <w:t xml:space="preserve">Policy Pulse</w:t>
      </w:r>
    </w:p>
    <w:p>
      <w:pPr>
        <w:spacing w:after="120" w:before="0"/>
      </w:pPr>
      <w:r>
        <w:rPr>
          <w:rFonts w:ascii="Georgia" w:cs="Georgia" w:eastAsia="Georgia" w:hAnsi="Georgia"/>
          <w:sz w:val="19"/>
          <w:szCs w:val="19"/>
        </w:rPr>
        <w:t xml:space="preserve">10.  SCC Online — BCI issues digital conduct rules for the legal community — </w:t>
      </w:r>
      <w:hyperlink w:history="1" r:id="rIdkf3sgffln7pe5iab0mh0v">
        <w:r>
          <w:rPr>
            <w:rStyle w:val="Hyperlink"/>
            <w:rFonts w:ascii="Georgia" w:cs="Georgia" w:eastAsia="Georgia" w:hAnsi="Georgia"/>
            <w:sz w:val="19"/>
            <w:szCs w:val="19"/>
          </w:rPr>
          <w:t xml:space="preserve">https://www.scconline.com/blog/post/2026/07/18/bci-social-media-digital-ethics-guidelines/</w:t>
        </w:r>
      </w:hyperlink>
    </w:p>
    <w:p>
      <w:pPr>
        <w:spacing w:after="120" w:before="0"/>
      </w:pPr>
      <w:r>
        <w:rPr>
          <w:rFonts w:ascii="Georgia" w:cs="Georgia" w:eastAsia="Georgia" w:hAnsi="Georgia"/>
          <w:sz w:val="19"/>
          <w:szCs w:val="19"/>
        </w:rPr>
        <w:t xml:space="preserve">11.  SCC Online — BCI releases Draft Advocates (Amendment) Bill, 2026 — </w:t>
      </w:r>
      <w:hyperlink w:history="1" r:id="rIdddglxvehibgk-yenfvvvh">
        <w:r>
          <w:rPr>
            <w:rStyle w:val="Hyperlink"/>
            <w:rFonts w:ascii="Georgia" w:cs="Georgia" w:eastAsia="Georgia" w:hAnsi="Georgia"/>
            <w:sz w:val="19"/>
            <w:szCs w:val="19"/>
          </w:rPr>
          <w:t xml:space="preserve">https://www.scconline.com/blog/post/2026/07/21/bci-draft-advocates-amendment-bill-2026/</w:t>
        </w:r>
      </w:hyperlink>
    </w:p>
    <w:p>
      <w:pPr>
        <w:spacing w:after="120" w:before="0"/>
      </w:pPr>
      <w:r>
        <w:rPr>
          <w:rFonts w:ascii="Georgia" w:cs="Georgia" w:eastAsia="Georgia" w:hAnsi="Georgia"/>
          <w:sz w:val="19"/>
          <w:szCs w:val="19"/>
        </w:rPr>
        <w:t xml:space="preserve">12.  FICL — Representation on the Draft Advocates (Amendment) Bill, 2026 — </w:t>
      </w:r>
      <w:hyperlink w:history="1" r:id="rIdjn75ejzjpsug8stmlv7mm">
        <w:r>
          <w:rPr>
            <w:rStyle w:val="Hyperlink"/>
            <w:rFonts w:ascii="Georgia" w:cs="Georgia" w:eastAsia="Georgia" w:hAnsi="Georgia"/>
            <w:sz w:val="19"/>
            <w:szCs w:val="19"/>
          </w:rPr>
          <w:t xml:space="preserve">https://www.ficl.org.in/bulletin/2026/07/28/ficl-urges-bar-council-of-india-to-recognise-in-house-lawyers-as-legal-practitioners-under-the-draft-advocates-amendment-bill-2026</w:t>
        </w:r>
      </w:hyperlink>
    </w:p>
    <w:p>
      <w:pPr>
        <w:spacing w:after="0" w:before="560"/>
        <w:jc w:val="center"/>
      </w:pPr>
      <w:r>
        <w:rPr>
          <w:rFonts w:ascii="Georgia" w:cs="Georgia" w:eastAsia="Georgia" w:hAnsi="Georgia"/>
          <w:i/>
          <w:iCs/>
          <w:sz w:val="16"/>
          <w:szCs w:val="16"/>
        </w:rPr>
        <w:t xml:space="preserve">© 2026 National Legal Observatory  |  legal-observatory.vercel.app  |  Vol. 1 Issue 2</w:t>
      </w:r>
    </w:p>
    <w:p>
      <w:pPr>
        <w:spacing w:after="0" w:before="0"/>
        <w:jc w:val="center"/>
      </w:pPr>
      <w:r>
        <w:rPr>
          <w:rFonts w:ascii="Georgia" w:cs="Georgia" w:eastAsia="Georgia" w:hAnsi="Georgia"/>
          <w:i/>
          <w:iCs/>
          <w:sz w:val="16"/>
          <w:szCs w:val="16"/>
        </w:rPr>
        <w:t xml:space="preserve">Reproduction for non-commercial purposes permitted with attribution.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jznsfo6fcjz18uotame9" Type="http://schemas.openxmlformats.org/officeDocument/2006/relationships/hyperlink" Target="https://indiankanoon.org/doc/113338666/" TargetMode="External"/><Relationship Id="rId26p3gimfsjultxuzg-j2y" Type="http://schemas.openxmlformats.org/officeDocument/2006/relationships/hyperlink" Target="https://www.verdictum.in/supreme-court/pooja-ramesh-singh-v-jammu-and-kashmir-bank-ltd-2026-insc-668-ai-generated-precedents-1616998" TargetMode="External"/><Relationship Id="rIdjvsq6qxnkpd0k15goawp4" Type="http://schemas.openxmlformats.org/officeDocument/2006/relationships/hyperlink" Target="https://m.thewire.in/article/law/fake-ai-cases-entered-an-nclt-insolvency-order-the-supreme-court-quashed-it-but-who-is-accountable" TargetMode="External"/><Relationship Id="rId-s6ufvqcyazxrujpd3mvk" Type="http://schemas.openxmlformats.org/officeDocument/2006/relationships/hyperlink" Target="https://www.freepressjournal.in/india/sc-orders-states-uts-to-create-policy-for-premature-release-of-elderly-terminally-ill-inmates" TargetMode="External"/><Relationship Id="rIdfbzk3ceuw85why2fkxc2m" Type="http://schemas.openxmlformats.org/officeDocument/2006/relationships/hyperlink" Target="https://www.barandbench.com/news/supreme-court-restrains-posting-circulating-clips-of-live-streamed-court-hearings-without-permission" TargetMode="External"/><Relationship Id="rIdsvjz8zkiaendwomjjteec" Type="http://schemas.openxmlformats.org/officeDocument/2006/relationships/hyperlink" Target="https://www.verdictum.in/supreme-court/najma-khatun-v-the-state-of-west-bengal-2026-insc-691-appointments-are-a-blot-judicial-leave-ex-facie-illegal-1617736" TargetMode="External"/><Relationship Id="rIdtjvg-18uyd7ml6p1umyj4" Type="http://schemas.openxmlformats.org/officeDocument/2006/relationships/hyperlink" Target="https://www.verdictum.in/amp/supreme-court/nisha-v-municipal-council-sangrur-ors-2026-insc-774-bovine-accidents-1618985" TargetMode="External"/><Relationship Id="rIdybdal4j7grew-l-c40oyx" Type="http://schemas.openxmlformats.org/officeDocument/2006/relationships/hyperlink" Target="https://www.scconline.com/blog/post/2026/07/20/parliament-monsoon-session-2026-legislative-reforms/" TargetMode="External"/><Relationship Id="rIdiuyw6uu0wowm7ow4y839y" Type="http://schemas.openxmlformats.org/officeDocument/2006/relationships/hyperlink" Target="https://utkarsh.com/current-affairs/national/parliament/parliament-monsoon-session-2026-overview-key-bills-to-introduce-and-significance" TargetMode="External"/><Relationship Id="rIdkf3sgffln7pe5iab0mh0v" Type="http://schemas.openxmlformats.org/officeDocument/2006/relationships/hyperlink" Target="https://www.scconline.com/blog/post/2026/07/18/bci-social-media-digital-ethics-guidelines/" TargetMode="External"/><Relationship Id="rIdddglxvehibgk-yenfvvvh" Type="http://schemas.openxmlformats.org/officeDocument/2006/relationships/hyperlink" Target="https://www.scconline.com/blog/post/2026/07/21/bci-draft-advocates-amendment-bill-2026/" TargetMode="External"/><Relationship Id="rIdjn75ejzjpsug8stmlv7mm" Type="http://schemas.openxmlformats.org/officeDocument/2006/relationships/hyperlink" Target="https://www.ficl.org.in/bulletin/2026/07/28/ficl-urges-bar-council-of-india-to-recognise-in-house-lawyers-as-legal-practitioners-under-the-draft-advocates-amendment-bill-2026"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2026-08-15T13:15:42.771Z</dcterms:created>
  <dcterms:modified xsi:type="dcterms:W3CDTF">2026-08-15T13:15:42.786Z</dcterms:modified>
</cp:coreProperties>
</file>

<file path=docProps/custom.xml><?xml version="1.0" encoding="utf-8"?>
<Properties xmlns="http://schemas.openxmlformats.org/officeDocument/2006/custom-properties" xmlns:vt="http://schemas.openxmlformats.org/officeDocument/2006/docPropsVTypes"/>
</file>