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Georgia" w:cs="Georgia" w:eastAsia="Georgia" w:hAnsi="Georgia"/>
          <w:b/>
          <w:bCs/>
          <w:color w:val="000000"/>
          <w:sz w:val="20"/>
          <w:szCs w:val="20"/>
        </w:rPr>
        <w:t xml:space="preserve">NATIONAL LEGAL OBSERVATORY</w:t>
      </w:r>
    </w:p>
    <w:p>
      <w:pPr>
        <w:spacing w:after="120"/>
        <w:jc w:val="center"/>
      </w:pPr>
      <w:r>
        <w:rPr>
          <w:rFonts w:ascii="Georgia" w:cs="Georgia" w:eastAsia="Georgia" w:hAnsi="Georgia"/>
          <w:b/>
          <w:bCs/>
          <w:color w:val="000000"/>
          <w:sz w:val="40"/>
          <w:szCs w:val="40"/>
        </w:rPr>
        <w:t xml:space="preserve">THE LAW OF THE DEAD</w:t>
      </w:r>
    </w:p>
    <w:p>
      <w:pPr>
        <w:spacing w:after="260"/>
        <w:jc w:val="center"/>
      </w:pPr>
      <w:r>
        <w:rPr>
          <w:rFonts w:ascii="Georgia" w:cs="Georgia" w:eastAsia="Georgia" w:hAnsi="Georgia"/>
          <w:i/>
          <w:iCs/>
          <w:color w:val="000000"/>
          <w:sz w:val="26"/>
          <w:szCs w:val="26"/>
        </w:rPr>
        <w:t xml:space="preserve">Rights, Ownership, and Liability Beyond the Grave</w:t>
      </w:r>
    </w:p>
    <w:p>
      <w:pPr>
        <w:spacing w:after="400"/>
        <w:jc w:val="center"/>
      </w:pPr>
      <w:r>
        <w:rPr>
          <w:rFonts w:ascii="Georgia" w:cs="Georgia" w:eastAsia="Georgia" w:hAnsi="Georgia"/>
          <w:color w:val="000000"/>
          <w:sz w:val="19"/>
          <w:szCs w:val="19"/>
        </w:rPr>
        <w:t xml:space="preserve">A Comparative and Constitutional Study of Indian, Common Law, Civil Law, and International Approaches to the Legal Personality, Property, and Dignity of the Deceased</w:t>
      </w:r>
    </w:p>
    <w:p>
      <w:pPr>
        <w:spacing w:after="260" w:line="300"/>
        <w:jc w:val="both"/>
      </w:pPr>
      <w:r>
        <w:rPr>
          <w:rFonts w:ascii="Georgia" w:cs="Georgia" w:eastAsia="Georgia" w:hAnsi="Georgia"/>
          <w:i/>
          <w:iCs/>
          <w:color w:val="000000"/>
          <w:sz w:val="22"/>
          <w:szCs w:val="22"/>
        </w:rPr>
        <w:t xml:space="preserve">The law rarely admits it, but it has never stopped legislating for the dead. Constitutions extend dignity past the last heartbeat, criminal codes punish those who disturb a corpse, common law courts wrestle with whether a body can be owned, and international humanitarian law compels armies to bury their enemies with care. This article examines how Indian, common law, civil law, and international systems answer four intertwined questions: who has rights over a dead body; who is liable, criminally or civilly, for wrongs against it; whether a corpse can be property at all; and whether the dead themselves can meaningfully be said to be harmed.</w:t>
      </w:r>
    </w:p>
    <w:p>
      <w:pPr>
        <w:spacing w:after="140" w:before="320"/>
      </w:pPr>
      <w:r>
        <w:rPr>
          <w:rFonts w:ascii="Georgia" w:cs="Georgia" w:eastAsia="Georgia" w:hAnsi="Georgia"/>
          <w:b/>
          <w:bCs/>
          <w:color w:val="000000"/>
          <w:sz w:val="24"/>
          <w:szCs w:val="24"/>
        </w:rPr>
        <w:t xml:space="preserve">1. The Constitutional Dead: Dignity After Life</w:t>
      </w:r>
    </w:p>
    <w:p>
      <w:pPr>
        <w:spacing w:after="180" w:line="300"/>
        <w:jc w:val="both"/>
      </w:pPr>
      <w:r>
        <w:rPr>
          <w:rFonts w:ascii="Georgia" w:cs="Georgia" w:eastAsia="Georgia" w:hAnsi="Georgia"/>
          <w:i w:val="false"/>
          <w:iCs w:val="false"/>
          <w:color w:val="000000"/>
          <w:sz w:val="22"/>
          <w:szCs w:val="22"/>
        </w:rPr>
        <w:t xml:space="preserve">The starting point in Indian law is Article 21 of the Constitution, which guarantees the right to life and personal liberty. In Pt. Parmanand Katara v. Union of India, the Supreme Court held that the right to dignity and fair treatment under Article 21 is not confined to a living person but continues to attach to the body after death. The proceeding began in 1989 over the State's duty to provide emergency medical treatment, but the same writ petition returned to the Court in 1995 on a second question: whether the Punjab Jail Manual's requirement that an executed prisoner's body remain suspended for thirty minutes violated that dignity. The Court held that jail authorities could not keep a body suspended beyond the point at which a medical officer confirmed death, reasoning that dignity and fair treatment survive the person whose life has ended.</w:t>
      </w:r>
    </w:p>
    <w:p>
      <w:pPr>
        <w:spacing w:after="180" w:line="300"/>
        <w:jc w:val="both"/>
      </w:pPr>
      <w:r>
        <w:rPr>
          <w:rFonts w:ascii="Georgia" w:cs="Georgia" w:eastAsia="Georgia" w:hAnsi="Georgia"/>
          <w:i w:val="false"/>
          <w:iCs w:val="false"/>
          <w:color w:val="000000"/>
          <w:sz w:val="22"/>
          <w:szCs w:val="22"/>
        </w:rPr>
        <w:t xml:space="preserve">Subsequent High Court decisions have widened this doctrine considerably. In Ramji Singh @ Mujeeb Bhai v. State of Uttar Pradesh, the Allahabad High Court confronted the derelict condition of a hospital mortuary and held that Article 21 obliges the State to preserve, refrigerate, and respectfully handle dead bodies, regardless of whether any relative is present to object; the absence of next of kin does not make a body less deserving of dignity. The Madras High Court, in Marimuthu v. State, relied on Katara to hold that every person is entitled to a decent burial or cremation performed in keeping with their own religious and cultural tradition. Read together, these cases establish a free-standing constitutional dignity interest in the corpse itself, owed by the State independent of any surviving relative's claim.</w:t>
      </w:r>
    </w:p>
    <w:p>
      <w:pPr>
        <w:spacing w:after="180" w:line="300"/>
        <w:jc w:val="both"/>
      </w:pPr>
      <w:r>
        <w:rPr>
          <w:rFonts w:ascii="Georgia" w:cs="Georgia" w:eastAsia="Georgia" w:hAnsi="Georgia"/>
          <w:i w:val="false"/>
          <w:iCs w:val="false"/>
          <w:color w:val="000000"/>
          <w:sz w:val="22"/>
          <w:szCs w:val="22"/>
        </w:rPr>
        <w:t xml:space="preserve">That interest is not merely theoretical. The 2020 case of the Hathras gang-rape victim, whose body was cremated by Uttar Pradesh police at night without her family's presence or consent, was widely criticised as a breach of both this constitutional dignity principle and the specific criminal provision discussed in Section 3 below. Constitutional dignity, in other words, is the doctrinal ceiling under which India's more granular criminal and civil rules on the dead operate.</w:t>
      </w:r>
    </w:p>
    <w:p>
      <w:pPr>
        <w:spacing w:after="140" w:before="320"/>
      </w:pPr>
      <w:r>
        <w:rPr>
          <w:rFonts w:ascii="Georgia" w:cs="Georgia" w:eastAsia="Georgia" w:hAnsi="Georgia"/>
          <w:b/>
          <w:bCs/>
          <w:color w:val="000000"/>
          <w:sz w:val="24"/>
          <w:szCs w:val="24"/>
        </w:rPr>
        <w:t xml:space="preserve">2. Is a Corpse Property? The Ownership Question</w:t>
      </w:r>
    </w:p>
    <w:p>
      <w:pPr>
        <w:spacing w:after="180" w:line="300"/>
        <w:jc w:val="both"/>
      </w:pPr>
      <w:r>
        <w:rPr>
          <w:rFonts w:ascii="Georgia" w:cs="Georgia" w:eastAsia="Georgia" w:hAnsi="Georgia"/>
          <w:i w:val="false"/>
          <w:iCs w:val="false"/>
          <w:color w:val="000000"/>
          <w:sz w:val="22"/>
          <w:szCs w:val="22"/>
        </w:rPr>
        <w:t xml:space="preserve">English common law's starting position, dating at least to the early seventeenth century, is that there is no property in a corpse. The rule grew out of ecclesiastical, not civil, control over burial in consecrated ground, which placed the body outside ordinary property law altogether; a body was, in the old phrase, nullius in bonis. One consequence, affirmed in Williams v. Williams (1882), is that a person's own instructions for the disposal of their body are not legally binding on their executors.</w:t>
      </w:r>
    </w:p>
    <w:p>
      <w:pPr>
        <w:spacing w:after="180" w:line="300"/>
        <w:jc w:val="both"/>
      </w:pPr>
      <w:r>
        <w:rPr>
          <w:rFonts w:ascii="Georgia" w:cs="Georgia" w:eastAsia="Georgia" w:hAnsi="Georgia"/>
          <w:i w:val="false"/>
          <w:iCs w:val="false"/>
          <w:color w:val="000000"/>
          <w:sz w:val="22"/>
          <w:szCs w:val="22"/>
        </w:rPr>
        <w:t xml:space="preserve">The rule has, however, acquired a significant exception. In Doodeward v. Spence (1908), the High Court of Australia considered the case of a two-headed stillborn fetus that a doctor had preserved in paraffin and that was later exhibited at a fairground. Griffith CJ held that where a person has, by lawful work or skill, given a body attributes that differentiate it from a mere corpse awaiting burial, that person acquires a possessory right capable of protection, observing that a body's not being owned at death does not mean it can never become capable of ownership. English courts later applied the same logic in R v. Kelly, where an artist convicted of stealing anatomical specimens from the Royal College of Surgeons argued unsuccessfully that body parts could never be "property" for the purposes of theft law; the Court of Appeal held that dissection and preservation for teaching or exhibition could confer exactly the kind of worked-on status Doodeward described, though a similar argument failed in Dobson v. North Tyneside Health Authority, where simply placing a brain in a jar during autopsy was not enough.</w:t>
      </w:r>
    </w:p>
    <w:p>
      <w:pPr>
        <w:spacing w:after="180" w:line="300"/>
        <w:jc w:val="both"/>
      </w:pPr>
      <w:r>
        <w:rPr>
          <w:rFonts w:ascii="Georgia" w:cs="Georgia" w:eastAsia="Georgia" w:hAnsi="Georgia"/>
          <w:i w:val="false"/>
          <w:iCs w:val="false"/>
          <w:color w:val="000000"/>
          <w:sz w:val="22"/>
          <w:szCs w:val="22"/>
        </w:rPr>
        <w:t xml:space="preserve">American courts took a parallel but distinct route. Rather than asking whether work or skill had transformed a body into property, they developed the doctrine of quasi-property, first articulated in Larson v. Chase (1891), under which the next of kin hold a right, akin to but not identical with property, to take custody of a body for burial and to determine its time, manner, and place. Modern New York case law has reframed this as the common-law "right of sepulcher": an absolute right of the next of kin to immediate possession of a body for burial, breach of which sounds not in property damages but in compensation for the mental anguish the interference causes. India has not developed an equivalent ownership jurisprudence of its own; its courts have instead folded custody-and-disposal questions into the Article 21 dignity framework described above, so that who may claim a body, and on what terms, is answered constitutionally rather than through the vocabulary of property.</w:t>
      </w:r>
    </w:p>
    <w:p>
      <w:pPr>
        <w:spacing w:after="140" w:before="320"/>
      </w:pPr>
      <w:r>
        <w:rPr>
          <w:rFonts w:ascii="Georgia" w:cs="Georgia" w:eastAsia="Georgia" w:hAnsi="Georgia"/>
          <w:b/>
          <w:bCs/>
          <w:color w:val="000000"/>
          <w:sz w:val="24"/>
          <w:szCs w:val="24"/>
        </w:rPr>
        <w:t xml:space="preserve">3. Crimes Against the Dead: The Indian Framework</w:t>
      </w:r>
    </w:p>
    <w:p>
      <w:pPr>
        <w:spacing w:after="180" w:line="300"/>
        <w:jc w:val="both"/>
      </w:pPr>
      <w:r>
        <w:rPr>
          <w:rFonts w:ascii="Georgia" w:cs="Georgia" w:eastAsia="Georgia" w:hAnsi="Georgia"/>
          <w:i w:val="false"/>
          <w:iCs w:val="false"/>
          <w:color w:val="000000"/>
          <w:sz w:val="22"/>
          <w:szCs w:val="22"/>
        </w:rPr>
        <w:t xml:space="preserve">India's principal criminal provision protecting the dead is Section 297 of the Indian Penal Code, 1860 — retained in substance as Section 301 of the Bharatiya Nyaya Sanhita, 2023. It punishes, with imprisonment of up to one year or fine or both, whoever, intending to wound religious feelings, trespasses on a burial ground or place of worship, or "offers any indignity to any human corpse," or disturbs a funeral. The provision has been invoked in circumstances ranging from a Kerala crematorium's mishandling of a half-burnt body to the Hathras cremation controversy discussed above.</w:t>
      </w:r>
    </w:p>
    <w:p>
      <w:pPr>
        <w:spacing w:after="180" w:line="300"/>
        <w:jc w:val="both"/>
      </w:pPr>
      <w:r>
        <w:rPr>
          <w:rFonts w:ascii="Georgia" w:cs="Georgia" w:eastAsia="Georgia" w:hAnsi="Georgia"/>
          <w:i w:val="false"/>
          <w:iCs w:val="false"/>
          <w:color w:val="000000"/>
          <w:sz w:val="22"/>
          <w:szCs w:val="22"/>
        </w:rPr>
        <w:t xml:space="preserve">Its central weakness is structural: Section 297 is a religious-feelings offence, not a general dignity offence, and this has proved fatal in the one context Indian courts have most struggled with — necrophilia. Because a corpse is not a "person" in law, courts have held that sexual acts committed on a dead body cannot constitute rape under either the pre-2023 rape provision or the erstwhile Section 377 governing "unnatural offences," since both provisions presuppose a living victim capable of consent or its absence. The Karnataka High Court, confronting a rape-murder in which the accused's conviction for rape could not stand once it was clear death had preceded the sexual act, described the resulting gap as intolerable and recommended that Parliament create a dedicated necrophilia offence, noting that the United Kingdom, Canada, New Zealand, and South Africa already criminalise it directly. Commentators have pointed out that Section 297 cannot fill this gap because it requires proof of intent to wound religious sentiment, not intent to violate the corpse itself — an unnatural fit for what is, in substance, a sexual offence.</w:t>
      </w:r>
    </w:p>
    <w:p>
      <w:pPr>
        <w:spacing w:after="140" w:before="320"/>
      </w:pPr>
      <w:r>
        <w:rPr>
          <w:rFonts w:ascii="Georgia" w:cs="Georgia" w:eastAsia="Georgia" w:hAnsi="Georgia"/>
          <w:b/>
          <w:bCs/>
          <w:color w:val="000000"/>
          <w:sz w:val="24"/>
          <w:szCs w:val="24"/>
        </w:rPr>
        <w:t xml:space="preserve">4. Civil Liability and the Mishandling of the Dead</w:t>
      </w:r>
    </w:p>
    <w:p>
      <w:pPr>
        <w:spacing w:after="180" w:line="300"/>
        <w:jc w:val="both"/>
      </w:pPr>
      <w:r>
        <w:rPr>
          <w:rFonts w:ascii="Georgia" w:cs="Georgia" w:eastAsia="Georgia" w:hAnsi="Georgia"/>
          <w:i w:val="false"/>
          <w:iCs w:val="false"/>
          <w:color w:val="000000"/>
          <w:sz w:val="22"/>
          <w:szCs w:val="22"/>
        </w:rPr>
        <w:t xml:space="preserve">Civil remedies for wrongs to a corpse sit at the intersection of the dignity doctrine and ordinary tort principles. Ramji Singh again supplies the clearest Indian illustration: the Allahabad High Court's order for mortuary refrigeration, sanitation, and staffing was framed as an enforceable constitutional obligation rather than a private tort claim, reflecting India's tendency to route these disputes through writ jurisdiction rather than damages actions.</w:t>
      </w:r>
    </w:p>
    <w:p>
      <w:pPr>
        <w:spacing w:after="180" w:line="300"/>
        <w:jc w:val="both"/>
      </w:pPr>
      <w:r>
        <w:rPr>
          <w:rFonts w:ascii="Georgia" w:cs="Georgia" w:eastAsia="Georgia" w:hAnsi="Georgia"/>
          <w:i w:val="false"/>
          <w:iCs w:val="false"/>
          <w:color w:val="000000"/>
          <w:sz w:val="22"/>
          <w:szCs w:val="22"/>
        </w:rPr>
        <w:t xml:space="preserve">The common law world offers a more developed private-law model. In the foundational American case of Larson v. Chase, a widow recovered damages for an autopsy performed on her husband's body without her consent, even though her only loss was mental suffering and nervous shock rather than any pecuniary harm — a significant departure from ordinary tort doctrine, which generally required physical or financial injury. Modern New York courts have systematised this into the tort of interference with the right of sepulcher, requiring proof that the claimant was next of kin with a right to possession, that the defendant unlawfully interfered with that right, that the claimant knew of the interference, and that it caused mental anguish — an element the courts generally presume once the other four are shown. The doctrine's evolution illustrates a broader point: civil liability for wrongs to the dead almost always protects the feelings of the living rather than any interest attributed to the deceased directly.</w:t>
      </w:r>
    </w:p>
    <w:p>
      <w:pPr>
        <w:spacing w:after="140" w:before="320"/>
      </w:pPr>
      <w:r>
        <w:rPr>
          <w:rFonts w:ascii="Georgia" w:cs="Georgia" w:eastAsia="Georgia" w:hAnsi="Georgia"/>
          <w:b/>
          <w:bCs/>
          <w:color w:val="000000"/>
          <w:sz w:val="24"/>
          <w:szCs w:val="24"/>
        </w:rPr>
        <w:t xml:space="preserve">5. The Dead in Armed Conflict and International Law</w:t>
      </w:r>
    </w:p>
    <w:p>
      <w:pPr>
        <w:spacing w:after="180" w:line="300"/>
        <w:jc w:val="both"/>
      </w:pPr>
      <w:r>
        <w:rPr>
          <w:rFonts w:ascii="Georgia" w:cs="Georgia" w:eastAsia="Georgia" w:hAnsi="Georgia"/>
          <w:i w:val="false"/>
          <w:iCs w:val="false"/>
          <w:color w:val="000000"/>
          <w:sz w:val="22"/>
          <w:szCs w:val="22"/>
        </w:rPr>
        <w:t xml:space="preserve">International humanitarian law imposes some of the oldest and most detailed rules on the treatment of the dead. The four 1949 Geneva Conventions and their 1977 Additional Protocols require parties to an international armed conflict to search for, collect, and evacuate the dead without adverse distinction; Article 34 of Additional Protocol I further requires that remains and gravesites be respected, maintained, and marked. The International Committee of the Red Cross's study of customary international humanitarian law confirms that these obligations — recorded as Rules 112 through 116 — bind even states that are not party to the treaties, and largely extend to non-international armed conflicts as well, where Article 8 of Additional Protocol II is the only treaty provision but customary rules against outrages on personal dignity and cruel treatment fill the remaining gaps. The ICRC has noted that forcing victims to collect the bodies of members of their own ethnic group can itself amount to a form of cruel or degrading treatment.</w:t>
      </w:r>
    </w:p>
    <w:p>
      <w:pPr>
        <w:spacing w:after="180" w:line="300"/>
        <w:jc w:val="both"/>
      </w:pPr>
      <w:r>
        <w:rPr>
          <w:rFonts w:ascii="Georgia" w:cs="Georgia" w:eastAsia="Georgia" w:hAnsi="Georgia"/>
          <w:i w:val="false"/>
          <w:iCs w:val="false"/>
          <w:color w:val="000000"/>
          <w:sz w:val="22"/>
          <w:szCs w:val="22"/>
        </w:rPr>
        <w:t xml:space="preserve">Outside armed conflict, the International Convention for the Protection of All Persons from Enforced Disappearance (2006) codifies a distinct but related principle: under Article 24, the families of a disappeared person have a right to know the truth about their fate, and where the person has died, the State must locate, respect, and return their remains. This provision speaks directly to a category of harm long familiar in South Asia and Latin America alike — custodial deaths and enforced disappearances in which the state's failure to account for a body compounds the original wrong.</w:t>
      </w:r>
    </w:p>
    <w:p>
      <w:pPr>
        <w:spacing w:after="140" w:before="320"/>
      </w:pPr>
      <w:r>
        <w:rPr>
          <w:rFonts w:ascii="Georgia" w:cs="Georgia" w:eastAsia="Georgia" w:hAnsi="Georgia"/>
          <w:b/>
          <w:bCs/>
          <w:color w:val="000000"/>
          <w:sz w:val="24"/>
          <w:szCs w:val="24"/>
        </w:rPr>
        <w:t xml:space="preserve">6. Reputation and Personality After Death: A Comparative View</w:t>
      </w:r>
    </w:p>
    <w:p>
      <w:pPr>
        <w:spacing w:after="180" w:line="300"/>
        <w:jc w:val="both"/>
      </w:pPr>
      <w:r>
        <w:rPr>
          <w:rFonts w:ascii="Georgia" w:cs="Georgia" w:eastAsia="Georgia" w:hAnsi="Georgia"/>
          <w:i w:val="false"/>
          <w:iCs w:val="false"/>
          <w:color w:val="000000"/>
          <w:sz w:val="22"/>
          <w:szCs w:val="22"/>
        </w:rPr>
        <w:t xml:space="preserve">Common law systems generally treat reputation as a personal interest that does not survive its holder; the orthodox position is that there is no cause of action for defaming a person who is already dead, however damaging the statement. Civil law Germany has taken a markedly different path. In the Mephisto case (1971), the Federal Constitutional Court upheld an injunction against a novel whose central character was a thinly disguised, deeply unflattering portrait of a deceased actor, holding that the constitutional guarantee of human dignity under Article 1(1) of the Basic Law creates a post-mortem personality right that the deceased's heirs may enforce, because — as later commentary on the case put it — the dead remain in a kind of continuing communion with the living, to whom respect is still owed. The German Federal Court of Justice extended this in the Marlene Dietrich case (1999), recognising that personality rights can carry commercial value that heirs may assert against unauthorised exploitation of a deceased celebrity's image. The doctrine is not unlimited: in 2022, the Constitutional Court declined to extend it to protect former Chancellor Helmut Kohl's estate against a memoir, holding that the challenged passages did not touch the dignity "core" of his personality. The contrast is instructive — dignity-based systems protect the dead's reputation through their heirs, while common law systems generally do not, treating reputation as too personal an interest to outlive its holder.</w:t>
      </w:r>
    </w:p>
    <w:p>
      <w:pPr>
        <w:spacing w:after="140" w:before="320"/>
      </w:pPr>
      <w:r>
        <w:rPr>
          <w:rFonts w:ascii="Georgia" w:cs="Georgia" w:eastAsia="Georgia" w:hAnsi="Georgia"/>
          <w:b/>
          <w:bCs/>
          <w:color w:val="000000"/>
          <w:sz w:val="24"/>
          <w:szCs w:val="24"/>
        </w:rPr>
        <w:t xml:space="preserve">7. Can the Dead Be Harmed? The Philosophical Question</w:t>
      </w:r>
    </w:p>
    <w:p>
      <w:pPr>
        <w:spacing w:after="180" w:line="300"/>
        <w:jc w:val="both"/>
      </w:pPr>
      <w:r>
        <w:rPr>
          <w:rFonts w:ascii="Georgia" w:cs="Georgia" w:eastAsia="Georgia" w:hAnsi="Georgia"/>
          <w:i w:val="false"/>
          <w:iCs w:val="false"/>
          <w:color w:val="000000"/>
          <w:sz w:val="22"/>
          <w:szCs w:val="22"/>
        </w:rPr>
        <w:t xml:space="preserve">Underlying all of these doctrines is a metaphysical puzzle that philosophers have argued over since Aristotle: can something that no longer exists be harmed by events that occur after it ceases to exist? The Epicurean answer is no — harm requires a subject, and death eliminates the subject. Aristotle himself resisted this, observing that popular opinion credits the dead with a kind of ongoing good or ill fortune through what happens to their descendants and reputation.</w:t>
      </w:r>
    </w:p>
    <w:p>
      <w:pPr>
        <w:spacing w:after="180" w:line="300"/>
        <w:jc w:val="both"/>
      </w:pPr>
      <w:r>
        <w:rPr>
          <w:rFonts w:ascii="Georgia" w:cs="Georgia" w:eastAsia="Georgia" w:hAnsi="Georgia"/>
          <w:i w:val="false"/>
          <w:iCs w:val="false"/>
          <w:color w:val="000000"/>
          <w:sz w:val="22"/>
          <w:szCs w:val="22"/>
        </w:rPr>
        <w:t xml:space="preserve">The most influential modern attempt to rescue the intuition that the dead can be wronged is Joel Feinberg's theory, developed alongside George Pitcher, of antemortem harm. On this account, a posthumous event does not harm a non-existent person; instead, it makes it true, retroactively, that the living person was already in a harmed condition at the moment they invested in an interest that a later event would go on to defeat. Critics have pointed out that this solution trades one puzzle for another — it seems to require harm to travel backward in time — and Feinberg himself was pushed toward the further, still-debated claim that a person's interests can persist and be violated even after the person who held them no longer exists. Barbara Baum Levenbook offered a different repair, redefining harm itself as a loss suffered by whoever counts as the "loser," a category she argued need not require a currently existing subject. A related line of scholarship frames the question through surviving rights: obligations such as promises or reputational claims can outlast the person to whom they were owed, so that violating them wrongs the dead without requiring that the dead experience anything at all.</w:t>
      </w:r>
    </w:p>
    <w:p>
      <w:pPr>
        <w:spacing w:after="180" w:line="300"/>
        <w:jc w:val="both"/>
      </w:pPr>
      <w:r>
        <w:rPr>
          <w:rFonts w:ascii="Georgia" w:cs="Georgia" w:eastAsia="Georgia" w:hAnsi="Georgia"/>
          <w:i w:val="false"/>
          <w:iCs w:val="false"/>
          <w:color w:val="000000"/>
          <w:sz w:val="22"/>
          <w:szCs w:val="22"/>
        </w:rPr>
        <w:t xml:space="preserve">This debate is not merely academic. It maps remarkably well onto the doctrinal patchwork surveyed above. The common law's refusal to enforce a corpse's own burial wishes, and its refusal to entertain defamation claims for the dead, both reflect an implicit Epicurean instinct that a non-existent person has no interests left to protect. Germany's post-mortem personality right, India's constitutional dignity doctrine, and the international law of the dead in armed conflict all instead assume, in effect, some version of the surviving-interest or surviving-dignity view — that something of the person, or something owed to the person, persists and can still be wronged.</w:t>
      </w:r>
    </w:p>
    <w:p>
      <w:pPr>
        <w:spacing w:after="140" w:before="320"/>
      </w:pPr>
      <w:r>
        <w:rPr>
          <w:rFonts w:ascii="Georgia" w:cs="Georgia" w:eastAsia="Georgia" w:hAnsi="Georgia"/>
          <w:b/>
          <w:bCs/>
          <w:color w:val="000000"/>
          <w:sz w:val="24"/>
          <w:szCs w:val="24"/>
        </w:rPr>
        <w:t xml:space="preserve">8. Toward a Coherent Law of the Dead</w:t>
      </w:r>
    </w:p>
    <w:p>
      <w:pPr>
        <w:spacing w:after="180" w:line="300"/>
        <w:jc w:val="both"/>
      </w:pPr>
      <w:r>
        <w:rPr>
          <w:rFonts w:ascii="Georgia" w:cs="Georgia" w:eastAsia="Georgia" w:hAnsi="Georgia"/>
          <w:i w:val="false"/>
          <w:iCs w:val="false"/>
          <w:color w:val="000000"/>
          <w:sz w:val="22"/>
          <w:szCs w:val="22"/>
        </w:rPr>
        <w:t xml:space="preserve">Three distinct legal strategies emerge from this survey. The first protects the feelings and custodial claims of the living relatives — the American right of sepulcher and, in substance, much of Section 297 of the Indian Penal Code. The second locates an abstract dignity in the corpse or the person's memory that survives independently of any relative's distress — India's Article 21 doctrine, Germany's post-mortem personality right, and the Geneva Conventions' rules on the treatment of the dead in war. The third, narrower and more technical, allows genuine property-like rights to arise only where work or skill has transformed a body into something other than a corpse awaiting burial, as in Doodeward and R v. Kelly.</w:t>
      </w:r>
    </w:p>
    <w:p>
      <w:pPr>
        <w:spacing w:after="180" w:line="300"/>
        <w:jc w:val="both"/>
      </w:pPr>
      <w:r>
        <w:rPr>
          <w:rFonts w:ascii="Georgia" w:cs="Georgia" w:eastAsia="Georgia" w:hAnsi="Georgia"/>
          <w:i w:val="false"/>
          <w:iCs w:val="false"/>
          <w:color w:val="000000"/>
          <w:sz w:val="22"/>
          <w:szCs w:val="22"/>
        </w:rPr>
        <w:t xml:space="preserve">India's law of the dead currently leans heavily on the first and second strategies while leaving clear gaps: it has no dedicated necrophilia offence despite repeated judicial calls for one, no codified national standard for mortuary conditions despite Ramji Singh, and no equivalent of the German post-mortem personality right protecting a deceased person's reputation from defamatory portrayal. As medical technology, forensic science, and the commercial use of a deceased person's image and data all continue to expand what can be done to and with the dead, the doctrinal foundations traced here — dignity, quasi-property, custody, and the surviving-interest theories that try to justify them — will likely be tested well before the legislature catches up.</w:t>
      </w:r>
    </w:p>
    <w:p>
      <w:pPr>
        <w:spacing w:after="160" w:before="420"/>
      </w:pPr>
      <w:r>
        <w:rPr>
          <w:rFonts w:ascii="Georgia" w:cs="Georgia" w:eastAsia="Georgia" w:hAnsi="Georgia"/>
          <w:b/>
          <w:bCs/>
          <w:color w:val="000000"/>
          <w:sz w:val="24"/>
          <w:szCs w:val="24"/>
        </w:rPr>
        <w:t xml:space="preserve">SOURCES</w:t>
      </w:r>
    </w:p>
    <w:p>
      <w:pPr>
        <w:spacing w:after="100" w:before="220"/>
      </w:pPr>
      <w:r>
        <w:rPr>
          <w:rFonts w:ascii="Georgia" w:cs="Georgia" w:eastAsia="Georgia" w:hAnsi="Georgia"/>
          <w:b/>
          <w:bCs/>
          <w:color w:val="000000"/>
          <w:sz w:val="21"/>
          <w:szCs w:val="21"/>
        </w:rPr>
        <w:t xml:space="preserve">Indian Constitutional &amp; Statutory Sources</w:t>
      </w:r>
    </w:p>
    <w:p>
      <w:pPr>
        <w:spacing w:after="90" w:line="260"/>
        <w:ind w:left="260" w:hanging="260"/>
      </w:pPr>
      <w:r>
        <w:rPr>
          <w:rFonts w:ascii="Georgia" w:cs="Georgia" w:eastAsia="Georgia" w:hAnsi="Georgia"/>
          <w:color w:val="000000"/>
          <w:sz w:val="20"/>
          <w:szCs w:val="20"/>
        </w:rPr>
        <w:t xml:space="preserve">Constitution of India, 1950, art. 21.</w:t>
      </w:r>
    </w:p>
    <w:p>
      <w:pPr>
        <w:spacing w:after="90" w:line="260"/>
        <w:ind w:left="260" w:hanging="260"/>
      </w:pPr>
      <w:r>
        <w:rPr>
          <w:rFonts w:ascii="Georgia" w:cs="Georgia" w:eastAsia="Georgia" w:hAnsi="Georgia"/>
          <w:color w:val="000000"/>
          <w:sz w:val="20"/>
          <w:szCs w:val="20"/>
        </w:rPr>
        <w:t xml:space="preserve">Indian Penal Code, 1860, s. 297.</w:t>
      </w:r>
    </w:p>
    <w:p>
      <w:pPr>
        <w:spacing w:after="90" w:line="260"/>
        <w:ind w:left="260" w:hanging="260"/>
      </w:pPr>
      <w:r>
        <w:rPr>
          <w:rFonts w:ascii="Georgia" w:cs="Georgia" w:eastAsia="Georgia" w:hAnsi="Georgia"/>
          <w:color w:val="000000"/>
          <w:sz w:val="20"/>
          <w:szCs w:val="20"/>
        </w:rPr>
        <w:t xml:space="preserve">Bharatiya Nyaya Sanhita, 2023, s. 301.</w:t>
      </w:r>
    </w:p>
    <w:p>
      <w:pPr>
        <w:spacing w:after="100" w:before="220"/>
      </w:pPr>
      <w:r>
        <w:rPr>
          <w:rFonts w:ascii="Georgia" w:cs="Georgia" w:eastAsia="Georgia" w:hAnsi="Georgia"/>
          <w:b/>
          <w:bCs/>
          <w:color w:val="000000"/>
          <w:sz w:val="21"/>
          <w:szCs w:val="21"/>
        </w:rPr>
        <w:t xml:space="preserve">Indian Case Law</w:t>
      </w:r>
    </w:p>
    <w:p>
      <w:pPr>
        <w:spacing w:after="90" w:line="260"/>
        <w:ind w:left="260" w:hanging="260"/>
      </w:pPr>
      <w:r>
        <w:rPr>
          <w:rFonts w:ascii="Georgia" w:cs="Georgia" w:eastAsia="Georgia" w:hAnsi="Georgia"/>
          <w:color w:val="000000"/>
          <w:sz w:val="20"/>
          <w:szCs w:val="20"/>
        </w:rPr>
        <w:t xml:space="preserve">Pt. Parmanand Katara v. Union of India, (1995) 3 SCC 248; AIR 1989 SC 2039.</w:t>
      </w:r>
    </w:p>
    <w:p>
      <w:pPr>
        <w:spacing w:after="90" w:line="260"/>
        <w:ind w:left="260" w:hanging="260"/>
      </w:pPr>
      <w:r>
        <w:rPr>
          <w:rFonts w:ascii="Georgia" w:cs="Georgia" w:eastAsia="Georgia" w:hAnsi="Georgia"/>
          <w:color w:val="000000"/>
          <w:sz w:val="20"/>
          <w:szCs w:val="20"/>
        </w:rPr>
        <w:t xml:space="preserve">Ramji Singh @ Mujeeb Bhai v. State of Uttar Pradesh, Allahabad High Court.</w:t>
      </w:r>
    </w:p>
    <w:p>
      <w:pPr>
        <w:spacing w:after="90" w:line="260"/>
        <w:ind w:left="260" w:hanging="260"/>
      </w:pPr>
      <w:r>
        <w:rPr>
          <w:rFonts w:ascii="Georgia" w:cs="Georgia" w:eastAsia="Georgia" w:hAnsi="Georgia"/>
          <w:color w:val="000000"/>
          <w:sz w:val="20"/>
          <w:szCs w:val="20"/>
        </w:rPr>
        <w:t xml:space="preserve">Marimuthu v. State by the Inspector of Police, Pennadam, Madras High Court, 7 August 2002.</w:t>
      </w:r>
    </w:p>
    <w:p>
      <w:pPr>
        <w:spacing w:after="100" w:before="220"/>
      </w:pPr>
      <w:r>
        <w:rPr>
          <w:rFonts w:ascii="Georgia" w:cs="Georgia" w:eastAsia="Georgia" w:hAnsi="Georgia"/>
          <w:b/>
          <w:bCs/>
          <w:color w:val="000000"/>
          <w:sz w:val="21"/>
          <w:szCs w:val="21"/>
        </w:rPr>
        <w:t xml:space="preserve">Common Law Case Law (UK, Australia, USA)</w:t>
      </w:r>
    </w:p>
    <w:p>
      <w:pPr>
        <w:spacing w:after="90" w:line="260"/>
        <w:ind w:left="260" w:hanging="260"/>
      </w:pPr>
      <w:r>
        <w:rPr>
          <w:rFonts w:ascii="Georgia" w:cs="Georgia" w:eastAsia="Georgia" w:hAnsi="Georgia"/>
          <w:color w:val="000000"/>
          <w:sz w:val="20"/>
          <w:szCs w:val="20"/>
        </w:rPr>
        <w:t xml:space="preserve">Williams v. Williams (1882) 20 Ch D 659.</w:t>
      </w:r>
    </w:p>
    <w:p>
      <w:pPr>
        <w:spacing w:after="90" w:line="260"/>
        <w:ind w:left="260" w:hanging="260"/>
      </w:pPr>
      <w:r>
        <w:rPr>
          <w:rFonts w:ascii="Georgia" w:cs="Georgia" w:eastAsia="Georgia" w:hAnsi="Georgia"/>
          <w:color w:val="000000"/>
          <w:sz w:val="20"/>
          <w:szCs w:val="20"/>
        </w:rPr>
        <w:t xml:space="preserve">Doodeward v. Spence (1908) 6 CLR 406 (HCA).</w:t>
      </w:r>
    </w:p>
    <w:p>
      <w:pPr>
        <w:spacing w:after="90" w:line="260"/>
        <w:ind w:left="260" w:hanging="260"/>
      </w:pPr>
      <w:r>
        <w:rPr>
          <w:rFonts w:ascii="Georgia" w:cs="Georgia" w:eastAsia="Georgia" w:hAnsi="Georgia"/>
          <w:color w:val="000000"/>
          <w:sz w:val="20"/>
          <w:szCs w:val="20"/>
        </w:rPr>
        <w:t xml:space="preserve">R v. Kelly [1998] 3 All ER 741 (CA).</w:t>
      </w:r>
    </w:p>
    <w:p>
      <w:pPr>
        <w:spacing w:after="90" w:line="260"/>
        <w:ind w:left="260" w:hanging="260"/>
      </w:pPr>
      <w:r>
        <w:rPr>
          <w:rFonts w:ascii="Georgia" w:cs="Georgia" w:eastAsia="Georgia" w:hAnsi="Georgia"/>
          <w:color w:val="000000"/>
          <w:sz w:val="20"/>
          <w:szCs w:val="20"/>
        </w:rPr>
        <w:t xml:space="preserve">Dobson v. North Tyneside Health Authority [1997] 1 WLR 596.</w:t>
      </w:r>
    </w:p>
    <w:p>
      <w:pPr>
        <w:spacing w:after="90" w:line="260"/>
        <w:ind w:left="260" w:hanging="260"/>
      </w:pPr>
      <w:r>
        <w:rPr>
          <w:rFonts w:ascii="Georgia" w:cs="Georgia" w:eastAsia="Georgia" w:hAnsi="Georgia"/>
          <w:color w:val="000000"/>
          <w:sz w:val="20"/>
          <w:szCs w:val="20"/>
        </w:rPr>
        <w:t xml:space="preserve">Larson v. Chase, 47 Minn. 307, 50 N.W. 238 (1891).</w:t>
      </w:r>
    </w:p>
    <w:p>
      <w:pPr>
        <w:spacing w:after="90" w:line="260"/>
        <w:ind w:left="260" w:hanging="260"/>
      </w:pPr>
      <w:r>
        <w:rPr>
          <w:rFonts w:ascii="Georgia" w:cs="Georgia" w:eastAsia="Georgia" w:hAnsi="Georgia"/>
          <w:color w:val="000000"/>
          <w:sz w:val="20"/>
          <w:szCs w:val="20"/>
        </w:rPr>
        <w:t xml:space="preserve">Shipley v. City of New York, 25 N.Y.3d 645 (2015); Mack v. Brown, 82 A.D.3d 133 (2d Dep't 2011); Stanley v. City of New York (N.Y. Sup. Ct.).</w:t>
      </w:r>
    </w:p>
    <w:p>
      <w:pPr>
        <w:spacing w:after="100" w:before="220"/>
      </w:pPr>
      <w:r>
        <w:rPr>
          <w:rFonts w:ascii="Georgia" w:cs="Georgia" w:eastAsia="Georgia" w:hAnsi="Georgia"/>
          <w:b/>
          <w:bCs/>
          <w:color w:val="000000"/>
          <w:sz w:val="21"/>
          <w:szCs w:val="21"/>
        </w:rPr>
        <w:t xml:space="preserve">German Constitutional Case Law</w:t>
      </w:r>
    </w:p>
    <w:p>
      <w:pPr>
        <w:spacing w:after="90" w:line="260"/>
        <w:ind w:left="260" w:hanging="260"/>
      </w:pPr>
      <w:r>
        <w:rPr>
          <w:rFonts w:ascii="Georgia" w:cs="Georgia" w:eastAsia="Georgia" w:hAnsi="Georgia"/>
          <w:color w:val="000000"/>
          <w:sz w:val="20"/>
          <w:szCs w:val="20"/>
        </w:rPr>
        <w:t xml:space="preserve">Mephisto Case, BVerfGE 30, 173 (1971).</w:t>
      </w:r>
    </w:p>
    <w:p>
      <w:pPr>
        <w:spacing w:after="90" w:line="260"/>
        <w:ind w:left="260" w:hanging="260"/>
      </w:pPr>
      <w:r>
        <w:rPr>
          <w:rFonts w:ascii="Georgia" w:cs="Georgia" w:eastAsia="Georgia" w:hAnsi="Georgia"/>
          <w:color w:val="000000"/>
          <w:sz w:val="20"/>
          <w:szCs w:val="20"/>
        </w:rPr>
        <w:t xml:space="preserve">Marlene Dietrich Case, BGHZ 143, 214 (1999).</w:t>
      </w:r>
    </w:p>
    <w:p>
      <w:pPr>
        <w:spacing w:after="90" w:line="260"/>
        <w:ind w:left="260" w:hanging="260"/>
      </w:pPr>
      <w:r>
        <w:rPr>
          <w:rFonts w:ascii="Georgia" w:cs="Georgia" w:eastAsia="Georgia" w:hAnsi="Georgia"/>
          <w:color w:val="000000"/>
          <w:sz w:val="20"/>
          <w:szCs w:val="20"/>
        </w:rPr>
        <w:t xml:space="preserve">Re Helmut Kohl Estate, Federal Constitutional Court Press Release No. 108/2022, orders of 24 October 2022.</w:t>
      </w:r>
    </w:p>
    <w:p>
      <w:pPr>
        <w:spacing w:after="100" w:before="220"/>
      </w:pPr>
      <w:r>
        <w:rPr>
          <w:rFonts w:ascii="Georgia" w:cs="Georgia" w:eastAsia="Georgia" w:hAnsi="Georgia"/>
          <w:b/>
          <w:bCs/>
          <w:color w:val="000000"/>
          <w:sz w:val="21"/>
          <w:szCs w:val="21"/>
        </w:rPr>
        <w:t xml:space="preserve">International Instruments</w:t>
      </w:r>
    </w:p>
    <w:p>
      <w:pPr>
        <w:spacing w:after="90" w:line="260"/>
        <w:ind w:left="260" w:hanging="260"/>
      </w:pPr>
      <w:r>
        <w:rPr>
          <w:rFonts w:ascii="Georgia" w:cs="Georgia" w:eastAsia="Georgia" w:hAnsi="Georgia"/>
          <w:color w:val="000000"/>
          <w:sz w:val="20"/>
          <w:szCs w:val="20"/>
        </w:rPr>
        <w:t xml:space="preserve">Geneva Conventions I, II, IV (1949) and Additional Protocol I (1977), art. 34.</w:t>
      </w:r>
    </w:p>
    <w:p>
      <w:pPr>
        <w:spacing w:after="90" w:line="260"/>
        <w:ind w:left="260" w:hanging="260"/>
      </w:pPr>
      <w:r>
        <w:rPr>
          <w:rFonts w:ascii="Georgia" w:cs="Georgia" w:eastAsia="Georgia" w:hAnsi="Georgia"/>
          <w:color w:val="000000"/>
          <w:sz w:val="20"/>
          <w:szCs w:val="20"/>
        </w:rPr>
        <w:t xml:space="preserve">ICRC, Customary International Humanitarian Law Study, Rules 112–116.</w:t>
      </w:r>
    </w:p>
    <w:p>
      <w:pPr>
        <w:spacing w:after="90" w:line="260"/>
        <w:ind w:left="260" w:hanging="260"/>
      </w:pPr>
      <w:r>
        <w:rPr>
          <w:rFonts w:ascii="Georgia" w:cs="Georgia" w:eastAsia="Georgia" w:hAnsi="Georgia"/>
          <w:color w:val="000000"/>
          <w:sz w:val="20"/>
          <w:szCs w:val="20"/>
        </w:rPr>
        <w:t xml:space="preserve">International Convention for the Protection of All Persons from Enforced Disappearance (2006), art. 24.</w:t>
      </w:r>
    </w:p>
    <w:p>
      <w:pPr>
        <w:spacing w:after="100" w:before="220"/>
      </w:pPr>
      <w:r>
        <w:rPr>
          <w:rFonts w:ascii="Georgia" w:cs="Georgia" w:eastAsia="Georgia" w:hAnsi="Georgia"/>
          <w:b/>
          <w:bCs/>
          <w:color w:val="000000"/>
          <w:sz w:val="21"/>
          <w:szCs w:val="21"/>
        </w:rPr>
        <w:t xml:space="preserve">Secondary and Philosophical Literature</w:t>
      </w:r>
    </w:p>
    <w:p>
      <w:pPr>
        <w:spacing w:after="90" w:line="260"/>
        <w:ind w:left="260" w:hanging="260"/>
      </w:pPr>
      <w:r>
        <w:rPr>
          <w:rFonts w:ascii="Georgia" w:cs="Georgia" w:eastAsia="Georgia" w:hAnsi="Georgia"/>
          <w:color w:val="000000"/>
          <w:sz w:val="20"/>
          <w:szCs w:val="20"/>
        </w:rPr>
        <w:t xml:space="preserve">J. Feinberg, Harm to Others (1984); W. J. Waluchow, "Feinberg's Theory of 'Preposthumous' Harm," Dialogue (1986).</w:t>
      </w:r>
    </w:p>
    <w:p>
      <w:pPr>
        <w:spacing w:after="90" w:line="260"/>
        <w:ind w:left="260" w:hanging="260"/>
      </w:pPr>
      <w:r>
        <w:rPr>
          <w:rFonts w:ascii="Georgia" w:cs="Georgia" w:eastAsia="Georgia" w:hAnsi="Georgia"/>
          <w:color w:val="000000"/>
          <w:sz w:val="20"/>
          <w:szCs w:val="20"/>
        </w:rPr>
        <w:t xml:space="preserve">B. B. Levenbook, "Harming Someone After His Death," Ethics (1984).</w:t>
      </w:r>
    </w:p>
    <w:p>
      <w:pPr>
        <w:spacing w:after="90" w:line="260"/>
        <w:ind w:left="260" w:hanging="260"/>
      </w:pPr>
      <w:r>
        <w:rPr>
          <w:rFonts w:ascii="Georgia" w:cs="Georgia" w:eastAsia="Georgia" w:hAnsi="Georgia"/>
          <w:color w:val="000000"/>
          <w:sz w:val="20"/>
          <w:szCs w:val="20"/>
        </w:rPr>
        <w:t xml:space="preserve">Aristotle, Nicomachean Ethics, Book I.</w:t>
      </w:r>
    </w:p>
    <w:p>
      <w:pPr>
        <w:spacing w:after="90" w:line="260"/>
        <w:ind w:left="260" w:hanging="260"/>
      </w:pPr>
      <w:r>
        <w:rPr>
          <w:rFonts w:ascii="Georgia" w:cs="Georgia" w:eastAsia="Georgia" w:hAnsi="Georgia"/>
          <w:color w:val="000000"/>
          <w:sz w:val="20"/>
          <w:szCs w:val="20"/>
        </w:rPr>
        <w:t xml:space="preserve">K. Falconer, "Dismantling Doodeward: Guided Discretion as the Superior Basis for Property Rights in Human Biological Material," (2019) 42(3) UNSW Law Journal 899.</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2026-09-26T07:14:56.715Z</dcterms:created>
  <dcterms:modified xsi:type="dcterms:W3CDTF">2026-09-26T07:14:56.715Z</dcterms:modified>
</cp:coreProperties>
</file>

<file path=docProps/custom.xml><?xml version="1.0" encoding="utf-8"?>
<Properties xmlns="http://schemas.openxmlformats.org/officeDocument/2006/custom-properties" xmlns:vt="http://schemas.openxmlformats.org/officeDocument/2006/docPropsVTypes"/>
</file>