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aps/>
          <w:color w:val="b8860b"/>
          <w:spacing w:val="40"/>
          <w:sz w:val="20"/>
          <w:szCs w:val="20"/>
        </w:rPr>
        <w:t xml:space="preserve">NATIONAL LEGAL OBSERVATORY</w:t>
      </w:r>
    </w:p>
    <w:p>
      <w:pPr>
        <w:spacing w:after="120"/>
        <w:jc w:val="center"/>
      </w:pPr>
      <w:r>
        <w:rPr>
          <w:rFonts w:ascii="Georgia" w:cs="Georgia" w:eastAsia="Georgia" w:hAnsi="Georgia"/>
          <w:i/>
          <w:iCs/>
          <w:color w:val="555555"/>
          <w:sz w:val="16"/>
          <w:szCs w:val="16"/>
        </w:rPr>
        <w:t xml:space="preserve">No noise. No agenda. Just the law.</w:t>
      </w:r>
    </w:p>
    <w:p>
      <w:pPr>
        <w:pBdr>
          <w:bottom w:val="single" w:color="b8860b" w:sz="12" w:space="1"/>
        </w:pBdr>
        <w:spacing w:after="300" w:before="100"/>
      </w:pPr>
      <w:r>
        <w:rPr>
          <w:rFonts w:ascii="Georgia" w:cs="Georgia" w:eastAsia="Georgia" w:hAnsi="Georgia"/>
        </w:rPr>
        <w:t xml:space="preserve"/>
      </w:r>
    </w:p>
    <w:p>
      <w:pPr>
        <w:spacing w:after="80"/>
      </w:pPr>
      <w:r>
        <w:rPr>
          <w:rFonts w:ascii="Georgia" w:cs="Georgia" w:eastAsia="Georgia" w:hAnsi="Georgia"/>
          <w:b/>
          <w:bCs/>
          <w:caps/>
          <w:color w:val="b8860b"/>
          <w:spacing w:val="30"/>
          <w:sz w:val="18"/>
          <w:szCs w:val="18"/>
        </w:rPr>
        <w:t xml:space="preserve">JUDGMENT REVIEW</w:t>
      </w:r>
    </w:p>
    <w:p>
      <w:pPr>
        <w:spacing w:after="200"/>
      </w:pPr>
      <w:r>
        <w:rPr>
          <w:rFonts w:ascii="Georgia" w:cs="Georgia" w:eastAsia="Georgia" w:hAnsi="Georgia"/>
          <w:b/>
          <w:bCs/>
          <w:sz w:val="36"/>
          <w:szCs w:val="36"/>
        </w:rPr>
        <w:t xml:space="preserve">Custody, Consent, and the Limits of Law: Revisiting Tukaram v. State of Maharashtra</w:t>
      </w:r>
    </w:p>
    <w:p>
      <w:pPr>
        <w:spacing w:after="60"/>
      </w:pPr>
      <w:r>
        <w:rPr>
          <w:rFonts w:ascii="Georgia" w:cs="Georgia" w:eastAsia="Georgia" w:hAnsi="Georgia"/>
          <w:b/>
          <w:bCs/>
          <w:sz w:val="22"/>
          <w:szCs w:val="22"/>
        </w:rPr>
        <w:t xml:space="preserve">Bhoomija</w:t>
      </w:r>
    </w:p>
    <w:p>
      <w:pPr>
        <w:spacing w:after="300"/>
      </w:pPr>
      <w:r>
        <w:rPr>
          <w:rFonts w:ascii="Georgia" w:cs="Georgia" w:eastAsia="Georgia" w:hAnsi="Georgia"/>
          <w:i/>
          <w:iCs/>
          <w:color w:val="555555"/>
          <w:sz w:val="20"/>
          <w:szCs w:val="20"/>
        </w:rPr>
        <w:t xml:space="preserve">Tukaram v. State of Maharashtra, (1979) 2 SCC 143 (India).</w:t>
      </w:r>
    </w:p>
    <w:p>
      <w:pPr>
        <w:spacing w:after="160" w:line="300"/>
        <w:jc w:val="both"/>
      </w:pPr>
      <w:r>
        <w:rPr>
          <w:rFonts w:ascii="Georgia" w:cs="Georgia" w:eastAsia="Georgia" w:hAnsi="Georgia"/>
          <w:sz w:val="22"/>
          <w:szCs w:val="22"/>
        </w:rPr>
        <w:t xml:space="preserve">Some judgments fail quietly. Tukaram v. State of Maharashtra did not. The case concerns the alleged rape of a young tribal girl, Mathura, by two policemen inside a police station. The Supreme Court acquitted both men, reversing a conviction the Bombay High Court had already secured. The reasoning behind that acquittal, and the public reckoning it provoked, make this one of the most consequential criminal law decisions in Indian legal history, not because the Court got the law right, but because it got the law so visibly wrong that Parliament had to intervene.</w:t>
      </w:r>
    </w:p>
    <w:p>
      <w:pPr>
        <w:pBdr>
          <w:bottom w:val="single" w:color="b8860b" w:sz="6" w:space="4"/>
        </w:pBdr>
        <w:spacing w:after="200" w:before="400"/>
      </w:pPr>
      <w:r>
        <w:rPr>
          <w:rFonts w:ascii="Georgia" w:cs="Georgia" w:eastAsia="Georgia" w:hAnsi="Georgia"/>
          <w:b/>
          <w:bCs/>
          <w:caps/>
          <w:color w:val="000000"/>
          <w:spacing w:val="20"/>
          <w:sz w:val="24"/>
          <w:szCs w:val="24"/>
        </w:rPr>
        <w:t xml:space="preserve">I. Facts</w:t>
      </w:r>
    </w:p>
    <w:p>
      <w:pPr>
        <w:spacing w:after="160" w:line="300"/>
        <w:jc w:val="both"/>
      </w:pPr>
      <w:r>
        <w:rPr>
          <w:rFonts w:ascii="Georgia" w:cs="Georgia" w:eastAsia="Georgia" w:hAnsi="Georgia"/>
          <w:sz w:val="22"/>
          <w:szCs w:val="22"/>
        </w:rPr>
        <w:t xml:space="preserve">Mathura was a young orphan, aged between fourteen and sixteen, who lived with her brother Gama and worked as a labourer at the house of one Nunshi. She had developed an intimate relationship with Ashok, Nunshi's nephew, and the two intended to marry. On 26 March 1972, Gama lodged a complaint at the Desai Gunj police station alleging that Mathura had been kidnapped by Nunshi, her husband Laxman, and Ashok.</w:t>
      </w:r>
    </w:p>
    <w:p>
      <w:pPr>
        <w:spacing w:after="160" w:line="300"/>
        <w:jc w:val="both"/>
      </w:pPr>
      <w:r>
        <w:rPr>
          <w:rFonts w:ascii="Georgia" w:cs="Georgia" w:eastAsia="Georgia" w:hAnsi="Georgia"/>
          <w:sz w:val="22"/>
          <w:szCs w:val="22"/>
        </w:rPr>
        <w:t xml:space="preserve">When the group outside grew anxious at the delay, a crowd gathered and Mathura eventually emerged crying. A medical examination found no injuries on her body, no semen on her vaginal smear, and two-finger admittance to the vagina consistent with her being "habituated to sexual intercourse," a phrase that would go on to do enormous damage in the judgment itself.</w:t>
      </w:r>
    </w:p>
    <w:p>
      <w:pPr>
        <w:spacing w:after="160" w:line="300"/>
        <w:jc w:val="both"/>
      </w:pPr>
      <w:r>
        <w:rPr>
          <w:rFonts w:ascii="Georgia" w:cs="Georgia" w:eastAsia="Georgia" w:hAnsi="Georgia"/>
          <w:sz w:val="22"/>
          <w:szCs w:val="22"/>
        </w:rPr>
        <w:t xml:space="preserve">The Sessions Court acquitted both accused, holding that Mathura had likely consented because she raised no alarm and bore no injuries, and questioning her credibility on the ground that she was "used to sexual intercourse."</w:t>
      </w:r>
    </w:p>
    <w:p>
      <w:pPr>
        <w:spacing w:after="160" w:line="300"/>
        <w:jc w:val="both"/>
      </w:pPr>
      <w:r>
        <w:rPr>
          <w:rFonts w:ascii="Georgia" w:cs="Georgia" w:eastAsia="Georgia" w:hAnsi="Georgia"/>
          <w:sz w:val="22"/>
          <w:szCs w:val="22"/>
        </w:rPr>
        <w:t xml:space="preserve">News of the acquittal spread beyond legal circles once the case reached the press in 1979, feeding into a wider, growing unease about the treatment of custodial violence in India. Protests followed in several cities, and the case became a rallying point that connected an isolated incident in a Nagpur village to a national conversation about how institutions meant to protect citizens could instead be used against the most vulnerable among them.</w:t>
      </w:r>
    </w:p>
    <w:p>
      <w:pPr>
        <w:pBdr>
          <w:bottom w:val="single" w:color="b8860b" w:sz="6" w:space="4"/>
        </w:pBdr>
        <w:spacing w:after="200" w:before="400"/>
      </w:pPr>
      <w:r>
        <w:rPr>
          <w:rFonts w:ascii="Georgia" w:cs="Georgia" w:eastAsia="Georgia" w:hAnsi="Georgia"/>
          <w:b/>
          <w:bCs/>
          <w:caps/>
          <w:color w:val="000000"/>
          <w:spacing w:val="20"/>
          <w:sz w:val="24"/>
          <w:szCs w:val="24"/>
        </w:rPr>
        <w:t xml:space="preserve">II. Issue</w:t>
      </w:r>
    </w:p>
    <w:p>
      <w:pPr>
        <w:spacing w:after="160" w:line="300"/>
        <w:jc w:val="both"/>
      </w:pPr>
      <w:r>
        <w:rPr>
          <w:rFonts w:ascii="Georgia" w:cs="Georgia" w:eastAsia="Georgia" w:hAnsi="Georgia"/>
          <w:sz w:val="22"/>
          <w:szCs w:val="22"/>
        </w:rPr>
        <w:t xml:space="preserve">The Supreme Court framed the dispute around three questions:</w:t>
      </w:r>
    </w:p>
    <w:p>
      <w:pPr>
        <w:pBdr>
          <w:left w:val="single" w:color="b8860b" w:sz="18" w:space="12"/>
        </w:pBdr>
        <w:spacing w:after="200" w:before="100" w:line="300"/>
        <w:ind w:left="360"/>
      </w:pPr>
      <w:r>
        <w:rPr>
          <w:rFonts w:ascii="Georgia" w:cs="Georgia" w:eastAsia="Georgia" w:hAnsi="Georgia"/>
          <w:i/>
          <w:iCs/>
          <w:sz w:val="22"/>
          <w:szCs w:val="22"/>
        </w:rPr>
        <w:t xml:space="preserve">1. Whether the sexual intercourse between Ganpat and Mathura was without her consent, within the meaning of Section 375 of the Indian Penal Code;</w:t>
      </w:r>
    </w:p>
    <w:p>
      <w:pPr>
        <w:pBdr>
          <w:left w:val="single" w:color="b8860b" w:sz="18" w:space="12"/>
        </w:pBdr>
        <w:spacing w:after="200" w:before="100" w:line="300"/>
        <w:ind w:left="360"/>
      </w:pPr>
      <w:r>
        <w:rPr>
          <w:rFonts w:ascii="Georgia" w:cs="Georgia" w:eastAsia="Georgia" w:hAnsi="Georgia"/>
          <w:i/>
          <w:iCs/>
          <w:sz w:val="22"/>
          <w:szCs w:val="22"/>
        </w:rPr>
        <w:t xml:space="preserve">2. Whether consent, if any, was obtained by putting Mathura in fear of death or hurt, so as to vitiate it under the third clause of Section 375; and</w:t>
      </w:r>
    </w:p>
    <w:p>
      <w:pPr>
        <w:pBdr>
          <w:left w:val="single" w:color="b8860b" w:sz="18" w:space="12"/>
        </w:pBdr>
        <w:spacing w:after="200" w:before="100" w:line="300"/>
        <w:ind w:left="360"/>
      </w:pPr>
      <w:r>
        <w:rPr>
          <w:rFonts w:ascii="Georgia" w:cs="Georgia" w:eastAsia="Georgia" w:hAnsi="Georgia"/>
          <w:i/>
          <w:iCs/>
          <w:sz w:val="22"/>
          <w:szCs w:val="22"/>
        </w:rPr>
        <w:t xml:space="preserve">3. Whether Tukaram's conduct amounted to an offence under Section 354 (assault with intent to outrage modesty).</w:t>
      </w:r>
    </w:p>
    <w:p>
      <w:pPr>
        <w:spacing w:after="160" w:line="300"/>
        <w:jc w:val="both"/>
      </w:pPr>
      <w:r>
        <w:rPr>
          <w:rFonts w:ascii="Georgia" w:cs="Georgia" w:eastAsia="Georgia" w:hAnsi="Georgia"/>
          <w:sz w:val="22"/>
          <w:szCs w:val="22"/>
        </w:rPr>
        <w:t xml:space="preserve">Underlying these formal questions is a deeper interpretive issue that this review treats as central: whether the absence of physical resistance or injury can, by itself, establish consent, and whether custodial power alters that calculus. The Supreme Court answered the formal questions without ever squarely confronting the deeper one, which is precisely where the case's significance lies. A narrow reading confines the case to its facts; the broader framing explains why generations of students, lawyers, and legislators have returned to it as a general statement about how the legal system treats survivors of sexual violence.</w:t>
      </w:r>
    </w:p>
    <w:p>
      <w:pPr>
        <w:pBdr>
          <w:bottom w:val="single" w:color="b8860b" w:sz="6" w:space="4"/>
        </w:pBdr>
        <w:spacing w:after="200" w:before="400"/>
      </w:pPr>
      <w:r>
        <w:rPr>
          <w:rFonts w:ascii="Georgia" w:cs="Georgia" w:eastAsia="Georgia" w:hAnsi="Georgia"/>
          <w:b/>
          <w:bCs/>
          <w:caps/>
          <w:color w:val="000000"/>
          <w:spacing w:val="20"/>
          <w:sz w:val="24"/>
          <w:szCs w:val="24"/>
        </w:rPr>
        <w:t xml:space="preserve">III. Law</w:t>
      </w:r>
    </w:p>
    <w:p>
      <w:pPr>
        <w:spacing w:after="160" w:line="300"/>
        <w:jc w:val="both"/>
      </w:pPr>
      <w:r>
        <w:rPr>
          <w:rFonts w:ascii="Georgia" w:cs="Georgia" w:eastAsia="Georgia" w:hAnsi="Georgia"/>
          <w:sz w:val="22"/>
          <w:szCs w:val="22"/>
        </w:rPr>
        <w:t xml:space="preserve">Two features of the statutory framework as it then stood mattered enormously to how the case was decided. First, Section 375 distinguished sharply between intercourse "against her will" and intercourse "without her consent," treating them as separate, independently sufficient grounds. Second, the third clause, consent obtained through fear of death or hurt, required the prosecution to establish a specific causal link between a threat and the submission. Custodial settings generate a subtler, ambient fear that does not always announce itself as a discrete threat of death or hurt, and the statute as then worded gave the Court little vocabulary for recognising that kind of coercion.</w:t>
      </w:r>
    </w:p>
    <w:p>
      <w:pPr>
        <w:spacing w:after="160" w:line="300"/>
        <w:jc w:val="both"/>
      </w:pPr>
      <w:r>
        <w:rPr>
          <w:rFonts w:ascii="Georgia" w:cs="Georgia" w:eastAsia="Georgia" w:hAnsi="Georgia"/>
          <w:sz w:val="22"/>
          <w:szCs w:val="22"/>
        </w:rPr>
        <w:t xml:space="preserve">Section 354 of the Penal Code, dealing with assault or criminal force to a woman with intent to outrage her modesty, supplied the alternative charge against Tukaram, whose intoxication was said to have prevented completion of intercourse. Beyond the bare statutory text, no binding precedent at the time squarely addressed custodial sexual assault as a distinct evidentiary category, which is part of why the Court had latitude to decide the case as it did, and why the case itself became the precedent that later law had to correct.</w:t>
      </w:r>
    </w:p>
    <w:p>
      <w:pPr>
        <w:spacing w:after="160" w:line="300"/>
        <w:jc w:val="both"/>
      </w:pPr>
      <w:r>
        <w:rPr>
          <w:rFonts w:ascii="Georgia" w:cs="Georgia" w:eastAsia="Georgia" w:hAnsi="Georgia"/>
          <w:sz w:val="22"/>
          <w:szCs w:val="22"/>
        </w:rPr>
        <w:t xml:space="preserve">It is also worth noting what the law did not require, since much of the controversy stems from the gap between what Section 375 demanded on its face and what the Court effectively added to it. Nothing in the text of the unamended provision made resistance an element of the offence, nor did it treat a complainant's sexual history as automatically probative of consent on a separate occasion. Both requirements were judicial gloss, read into the statute rather than drawn from it, which is precisely why they proved so vulnerable to legislative correction once Parliament turned its attention to the section.</w:t>
      </w:r>
    </w:p>
    <w:p>
      <w:pPr>
        <w:pBdr>
          <w:bottom w:val="single" w:color="b8860b" w:sz="6" w:space="4"/>
        </w:pBdr>
        <w:spacing w:after="200" w:before="400"/>
      </w:pPr>
      <w:r>
        <w:rPr>
          <w:rFonts w:ascii="Georgia" w:cs="Georgia" w:eastAsia="Georgia" w:hAnsi="Georgia"/>
          <w:b/>
          <w:bCs/>
          <w:caps/>
          <w:color w:val="000000"/>
          <w:spacing w:val="20"/>
          <w:sz w:val="24"/>
          <w:szCs w:val="24"/>
        </w:rPr>
        <w:t xml:space="preserve">IV. Application</w:t>
      </w:r>
    </w:p>
    <w:p>
      <w:pPr>
        <w:spacing w:after="100" w:before="240"/>
      </w:pPr>
      <w:r>
        <w:rPr>
          <w:rFonts w:ascii="Georgia" w:cs="Georgia" w:eastAsia="Georgia" w:hAnsi="Georgia"/>
          <w:b/>
          <w:bCs/>
          <w:i/>
          <w:iCs/>
          <w:color w:val="b8860b"/>
          <w:sz w:val="22"/>
          <w:szCs w:val="22"/>
        </w:rPr>
        <w:t xml:space="preserve">A. </w:t>
      </w:r>
      <w:r>
        <w:rPr>
          <w:rFonts w:ascii="Georgia" w:cs="Georgia" w:eastAsia="Georgia" w:hAnsi="Georgia"/>
          <w:b/>
          <w:bCs/>
          <w:i/>
          <w:iCs/>
          <w:sz w:val="22"/>
          <w:szCs w:val="22"/>
        </w:rPr>
        <w:t xml:space="preserve">The Court's Own Application of Law to Fact</w:t>
      </w:r>
    </w:p>
    <w:p>
      <w:pPr>
        <w:spacing w:after="160" w:line="300"/>
        <w:jc w:val="both"/>
      </w:pPr>
      <w:r>
        <w:rPr>
          <w:rFonts w:ascii="Georgia" w:cs="Georgia" w:eastAsia="Georgia" w:hAnsi="Georgia"/>
          <w:sz w:val="22"/>
          <w:szCs w:val="22"/>
        </w:rPr>
        <w:t xml:space="preserve">On the question of fear, the Court held that the third clause of Section 375 could not apply because no such fear had been established on the facts, and because Mathura had been taken away "right from amongst her near and dear ones" rather than isolated by threat. It treated the absence of overt struggle as dispositive, effectively collapsing the distinction the High Court had drawn between passive submission and genuine consent. On the Section 354 charge against Tukaram, the Court found the evidence too weak to sustain a conviction once the central allegation against Ganpat had been rejected on the same facts.</w:t>
      </w:r>
    </w:p>
    <w:p>
      <w:pPr>
        <w:spacing w:after="160" w:line="300"/>
        <w:jc w:val="both"/>
      </w:pPr>
      <w:r>
        <w:rPr>
          <w:rFonts w:ascii="Georgia" w:cs="Georgia" w:eastAsia="Georgia" w:hAnsi="Georgia"/>
          <w:sz w:val="22"/>
          <w:szCs w:val="22"/>
        </w:rPr>
        <w:t xml:space="preserve">Having already concluded that Mathura consented to intercourse with Ganpat, the bench found it difficult to sustain a lesser charge against Tukaram premised on the same encounter, reasoning that the surrounding circumstances did not independently establish assault with intent to outrage modesty once the central factual narrative had been resolved in the accused's favour. This illustrates a structural weakness in bringing alternative or lesser charges alongside a primary charge that shares the same evidentiary foundation: once a court forms a view on the primary allegation, that view tends to colour its assessment of everything built on the same facts, leaving little independent room for the lesser charge to succeed.</w:t>
      </w:r>
    </w:p>
    <w:p>
      <w:pPr>
        <w:spacing w:after="100" w:before="240"/>
      </w:pPr>
      <w:r>
        <w:rPr>
          <w:rFonts w:ascii="Georgia" w:cs="Georgia" w:eastAsia="Georgia" w:hAnsi="Georgia"/>
          <w:b/>
          <w:bCs/>
          <w:i/>
          <w:iCs/>
          <w:color w:val="b8860b"/>
          <w:sz w:val="22"/>
          <w:szCs w:val="22"/>
        </w:rPr>
        <w:t xml:space="preserve">B. </w:t>
      </w:r>
      <w:r>
        <w:rPr>
          <w:rFonts w:ascii="Georgia" w:cs="Georgia" w:eastAsia="Georgia" w:hAnsi="Georgia"/>
          <w:b/>
          <w:bCs/>
          <w:i/>
          <w:iCs/>
          <w:sz w:val="22"/>
          <w:szCs w:val="22"/>
        </w:rPr>
        <w:t xml:space="preserve">The Conflation of Submission and Consent</w:t>
      </w:r>
    </w:p>
    <w:p>
      <w:pPr>
        <w:spacing w:after="160" w:line="300"/>
        <w:jc w:val="both"/>
      </w:pPr>
      <w:r>
        <w:rPr>
          <w:rFonts w:ascii="Georgia" w:cs="Georgia" w:eastAsia="Georgia" w:hAnsi="Georgia"/>
          <w:sz w:val="22"/>
          <w:szCs w:val="22"/>
        </w:rPr>
        <w:t xml:space="preserve">The most basic flaw in the Court's application of Section 375 is definitional. Consent requires a voluntary, conscious agreement to a specific act. Submission is what happens when a person calculates, correctly or not, that resistance will make things worse. The High Court had already drawn this distinction with some clarity; the Supreme Court erased it, treating the two as functionally identical whenever the record showed no torn clothing or bruises. A fourteen-to-sixteen-year-old orphan, alone in a police station after dark, with her family already told to leave, is not a free bargaining agent in any meaningful sense. Expecting her to scream, fight, or flee, and reading her failure to do so as agreement, ignores what was even then understood about the psychology of fear and the practical reality of power.</w:t>
      </w:r>
    </w:p>
    <w:p>
      <w:pPr>
        <w:spacing w:after="100" w:before="240"/>
      </w:pPr>
      <w:r>
        <w:rPr>
          <w:rFonts w:ascii="Georgia" w:cs="Georgia" w:eastAsia="Georgia" w:hAnsi="Georgia"/>
          <w:b/>
          <w:bCs/>
          <w:i/>
          <w:iCs/>
          <w:color w:val="b8860b"/>
          <w:sz w:val="22"/>
          <w:szCs w:val="22"/>
        </w:rPr>
        <w:t xml:space="preserve">C. </w:t>
      </w:r>
      <w:r>
        <w:rPr>
          <w:rFonts w:ascii="Georgia" w:cs="Georgia" w:eastAsia="Georgia" w:hAnsi="Georgia"/>
          <w:b/>
          <w:bCs/>
          <w:i/>
          <w:iCs/>
          <w:sz w:val="22"/>
          <w:szCs w:val="22"/>
        </w:rPr>
        <w:t xml:space="preserve">Custodial Power Was Not a Neutral Fact</w:t>
      </w:r>
    </w:p>
    <w:p>
      <w:pPr>
        <w:spacing w:after="160" w:line="300"/>
        <w:jc w:val="both"/>
      </w:pPr>
      <w:r>
        <w:rPr>
          <w:rFonts w:ascii="Georgia" w:cs="Georgia" w:eastAsia="Georgia" w:hAnsi="Georgia"/>
          <w:sz w:val="22"/>
          <w:szCs w:val="22"/>
        </w:rPr>
        <w:t xml:space="preserve">What makes this case distinct from an ordinary rape prosecution is the setting: a police station, staffed by the very officers accused of the assault. Custody is not incidental background; it is the mechanism of coercion itself. A police officer inside his own station holds the keys, the authority to detain, and the practical ability to control who enters and leaves. The Court's application of the law treats the police station as a neutral location where an allegation happened to occur, rather than as the source of the power imbalance that made resistance dangerous and futile. This blindness to institutional power is arguably a more serious failing than any single evidentiary misstep, because it reflects an inability, or unwillingness, to see custodial rape as a distinct category of harm.</w:t>
      </w:r>
    </w:p>
    <w:p>
      <w:pPr>
        <w:spacing w:after="100" w:before="240"/>
      </w:pPr>
      <w:r>
        <w:rPr>
          <w:rFonts w:ascii="Georgia" w:cs="Georgia" w:eastAsia="Georgia" w:hAnsi="Georgia"/>
          <w:b/>
          <w:bCs/>
          <w:i/>
          <w:iCs/>
          <w:color w:val="b8860b"/>
          <w:sz w:val="22"/>
          <w:szCs w:val="22"/>
        </w:rPr>
        <w:t xml:space="preserve">D. </w:t>
      </w:r>
      <w:r>
        <w:rPr>
          <w:rFonts w:ascii="Georgia" w:cs="Georgia" w:eastAsia="Georgia" w:hAnsi="Georgia"/>
          <w:b/>
          <w:bCs/>
          <w:i/>
          <w:iCs/>
          <w:sz w:val="22"/>
          <w:szCs w:val="22"/>
        </w:rPr>
        <w:t xml:space="preserve">The "Habituated to Sexual Intercourse" Reasoning</w:t>
      </w:r>
    </w:p>
    <w:p>
      <w:pPr>
        <w:spacing w:after="160" w:line="300"/>
        <w:jc w:val="both"/>
      </w:pPr>
      <w:r>
        <w:rPr>
          <w:rFonts w:ascii="Georgia" w:cs="Georgia" w:eastAsia="Georgia" w:hAnsi="Georgia"/>
          <w:sz w:val="22"/>
          <w:szCs w:val="22"/>
        </w:rPr>
        <w:t xml:space="preserve">The Court's reliance on Mathura's sexual history is perhaps the most widely criticised feature of its application of the statute. Whether a woman has previously engaged in consensual intercourse, with anyone, has no logical bearing on whether she consented to intercourse with a stranger, let alone an armed police officer in his own station. Using her relationship with Ashok to explain away physical evidence conflated character with credibility, and credibility with consent. It is precisely this kind of reasoning that later reforms to the Evidence Act would attempt to foreclose.</w:t>
      </w:r>
    </w:p>
    <w:p>
      <w:pPr>
        <w:spacing w:after="100" w:before="240"/>
      </w:pPr>
      <w:r>
        <w:rPr>
          <w:rFonts w:ascii="Georgia" w:cs="Georgia" w:eastAsia="Georgia" w:hAnsi="Georgia"/>
          <w:b/>
          <w:bCs/>
          <w:i/>
          <w:iCs/>
          <w:color w:val="b8860b"/>
          <w:sz w:val="22"/>
          <w:szCs w:val="22"/>
        </w:rPr>
        <w:t xml:space="preserve">E. </w:t>
      </w:r>
      <w:r>
        <w:rPr>
          <w:rFonts w:ascii="Georgia" w:cs="Georgia" w:eastAsia="Georgia" w:hAnsi="Georgia"/>
          <w:b/>
          <w:bCs/>
          <w:i/>
          <w:iCs/>
          <w:sz w:val="22"/>
          <w:szCs w:val="22"/>
        </w:rPr>
        <w:t xml:space="preserve">An Evidentiary Standard the Facts Did Not Support</w:t>
      </w:r>
    </w:p>
    <w:p>
      <w:pPr>
        <w:spacing w:after="160" w:line="300"/>
        <w:jc w:val="both"/>
      </w:pPr>
      <w:r>
        <w:rPr>
          <w:rFonts w:ascii="Georgia" w:cs="Georgia" w:eastAsia="Georgia" w:hAnsi="Georgia"/>
          <w:sz w:val="22"/>
          <w:szCs w:val="22"/>
        </w:rPr>
        <w:t xml:space="preserve">Even accepting the Court's own framework, the conclusion does not follow comfortably from the facts. Semen was found on Mathura's clothing but not on the vaginal slides; the Court read this ambiguity in the accused's favour without seriously testing whether it was equally, or more, consistent with a struggle interrupted before ejaculation, or with contamination during a delayed and imperfect examination. A finding of fact resting on an evidentiary gap should not automatically resolve toward acquittal when the gap admits multiple explanations, particularly where the accused occupy a position of institutional trust that the prosecution's own witnesses may have been too frightened to challenge.</w:t>
      </w:r>
    </w:p>
    <w:p>
      <w:pPr>
        <w:spacing w:after="100" w:before="240"/>
      </w:pPr>
      <w:r>
        <w:rPr>
          <w:rFonts w:ascii="Georgia" w:cs="Georgia" w:eastAsia="Georgia" w:hAnsi="Georgia"/>
          <w:b/>
          <w:bCs/>
          <w:i/>
          <w:iCs/>
          <w:color w:val="b8860b"/>
          <w:sz w:val="22"/>
          <w:szCs w:val="22"/>
        </w:rPr>
        <w:t xml:space="preserve">F. </w:t>
      </w:r>
      <w:r>
        <w:rPr>
          <w:rFonts w:ascii="Georgia" w:cs="Georgia" w:eastAsia="Georgia" w:hAnsi="Georgia"/>
          <w:b/>
          <w:bCs/>
          <w:i/>
          <w:iCs/>
          <w:sz w:val="22"/>
          <w:szCs w:val="22"/>
        </w:rPr>
        <w:t xml:space="preserve">Rape Myths and the Psychology of the Judgment</w:t>
      </w:r>
    </w:p>
    <w:p>
      <w:pPr>
        <w:spacing w:after="160" w:line="300"/>
        <w:jc w:val="both"/>
      </w:pPr>
      <w:r>
        <w:rPr>
          <w:rFonts w:ascii="Georgia" w:cs="Georgia" w:eastAsia="Georgia" w:hAnsi="Georgia"/>
          <w:sz w:val="22"/>
          <w:szCs w:val="22"/>
        </w:rPr>
        <w:t xml:space="preserve">Much of the Court's reasoning tracks what later scholarship on sexual violence would call rape myths: the belief that a genuine victim always fights back, that a woman's prior sexual conduct predicts her behaviour on a specific later occasion, and that silence in the immediate aftermath signals consent rather than shock, fear, or shame. None of these beliefs holds up under scrutiny. Freezing, dissociation, and compliance are well documented psychological responses to overwhelming threat, particularly for a minor confronted by armed authority figures in an unfamiliar space. The judgment treats the absence of a fight as the absence of a violation, when the more accurate reading is that resistance becomes calculable, and often irrational, only from outside the moment of the assault itself.</w:t>
      </w:r>
    </w:p>
    <w:p>
      <w:pPr>
        <w:spacing w:after="100" w:before="240"/>
      </w:pPr>
      <w:r>
        <w:rPr>
          <w:rFonts w:ascii="Georgia" w:cs="Georgia" w:eastAsia="Georgia" w:hAnsi="Georgia"/>
          <w:b/>
          <w:bCs/>
          <w:i/>
          <w:iCs/>
          <w:color w:val="b8860b"/>
          <w:sz w:val="22"/>
          <w:szCs w:val="22"/>
        </w:rPr>
        <w:t xml:space="preserve">G. </w:t>
      </w:r>
      <w:r>
        <w:rPr>
          <w:rFonts w:ascii="Georgia" w:cs="Georgia" w:eastAsia="Georgia" w:hAnsi="Georgia"/>
          <w:b/>
          <w:bCs/>
          <w:i/>
          <w:iCs/>
          <w:sz w:val="22"/>
          <w:szCs w:val="22"/>
        </w:rPr>
        <w:t xml:space="preserve">Structural Context: Caste, Class, and Institutional Power</w:t>
      </w:r>
    </w:p>
    <w:p>
      <w:pPr>
        <w:spacing w:after="160" w:line="300"/>
        <w:jc w:val="both"/>
      </w:pPr>
      <w:r>
        <w:rPr>
          <w:rFonts w:ascii="Georgia" w:cs="Georgia" w:eastAsia="Georgia" w:hAnsi="Georgia"/>
          <w:sz w:val="22"/>
          <w:szCs w:val="22"/>
        </w:rPr>
        <w:t xml:space="preserve">The case also sits at an uncomfortable intersection of caste, class, and gender that later commentary has increasingly foregrounded. Mathura was not merely young and female; she was an orphaned labourer from a marginalised background with no institutional standing to counterbalance that of two armed policemen. A legal system attentive only to the formal elements of Section 375, without asking who typically ends up in Mathura's position and who typically ends up in the position of her assailants, risks reproducing exactly the hierarchies the criminal law is meant to check. That structural blindness, as much as any single misreading of the evidence, is what the open letter and the reforms that followed ultimately tried to correct.</w:t>
      </w:r>
    </w:p>
    <w:p>
      <w:pPr>
        <w:spacing w:after="100" w:before="240"/>
      </w:pPr>
      <w:r>
        <w:rPr>
          <w:rFonts w:ascii="Georgia" w:cs="Georgia" w:eastAsia="Georgia" w:hAnsi="Georgia"/>
          <w:b/>
          <w:bCs/>
          <w:i/>
          <w:iCs/>
          <w:color w:val="b8860b"/>
          <w:sz w:val="22"/>
          <w:szCs w:val="22"/>
        </w:rPr>
        <w:t xml:space="preserve">H. </w:t>
      </w:r>
      <w:r>
        <w:rPr>
          <w:rFonts w:ascii="Georgia" w:cs="Georgia" w:eastAsia="Georgia" w:hAnsi="Georgia"/>
          <w:b/>
          <w:bCs/>
          <w:i/>
          <w:iCs/>
          <w:sz w:val="22"/>
          <w:szCs w:val="22"/>
        </w:rPr>
        <w:t xml:space="preserve">A Counterfactual: What the Bench Might Have Asked Instead</w:t>
      </w:r>
    </w:p>
    <w:p>
      <w:pPr>
        <w:spacing w:after="160" w:line="300"/>
        <w:jc w:val="both"/>
      </w:pPr>
      <w:r>
        <w:rPr>
          <w:rFonts w:ascii="Georgia" w:cs="Georgia" w:eastAsia="Georgia" w:hAnsi="Georgia"/>
          <w:sz w:val="22"/>
          <w:szCs w:val="22"/>
        </w:rPr>
        <w:t xml:space="preserve">It is useful to consider what a differently reasoned application of the same law to the same facts might have looked like. A bench alert to custodial power would have asked why Mathura was separated from her family in the first place, and whether that separation was itself an exercise of coercive authority requiring no further threat to be effective. It would have asked whether a minor girl, moments after her family had been dismissed by the very officers now alone with her, had any realistic avenue of refusal that did not carry a plausible risk of further harm. It would have treated her prior relationship with Ashok as legally irrelevant to consent on this specific occasion with these specific men, rather than as background colour bearing on her general disposition. None of this required new legislation; every one of these questions was available to the Court under the law as it stood in 1978. The failure was interpretive, not merely statutory, which is precisely why the case remains a staple of legal education: it shows how the same statutory words can be read narrowly or expansively depending on whether the reader is willing to see power where the text is silent about it.</w:t>
      </w:r>
    </w:p>
    <w:p>
      <w:pPr>
        <w:spacing w:after="100" w:before="240"/>
      </w:pPr>
      <w:r>
        <w:rPr>
          <w:rFonts w:ascii="Georgia" w:cs="Georgia" w:eastAsia="Georgia" w:hAnsi="Georgia"/>
          <w:b/>
          <w:bCs/>
          <w:i/>
          <w:iCs/>
          <w:color w:val="b8860b"/>
          <w:sz w:val="22"/>
          <w:szCs w:val="22"/>
        </w:rPr>
        <w:t xml:space="preserve">I. </w:t>
      </w:r>
      <w:r>
        <w:rPr>
          <w:rFonts w:ascii="Georgia" w:cs="Georgia" w:eastAsia="Georgia" w:hAnsi="Georgia"/>
          <w:b/>
          <w:bCs/>
          <w:i/>
          <w:iCs/>
          <w:sz w:val="22"/>
          <w:szCs w:val="22"/>
        </w:rPr>
        <w:t xml:space="preserve">Doctrinal Significance and Ratio</w:t>
      </w:r>
    </w:p>
    <w:p>
      <w:pPr>
        <w:spacing w:after="160" w:line="300"/>
        <w:jc w:val="both"/>
      </w:pPr>
      <w:r>
        <w:rPr>
          <w:rFonts w:ascii="Georgia" w:cs="Georgia" w:eastAsia="Georgia" w:hAnsi="Georgia"/>
          <w:sz w:val="22"/>
          <w:szCs w:val="22"/>
        </w:rPr>
        <w:t xml:space="preserve">Stripped to its bones, the ratio that emerged from the Court's application of Section 375 was that consent could be inferred from the absence of physical resistance or visible injury, irrespective of the custodial or coercive context in which the intercourse occurred. The Court did not require the prosecution to show active, communicated willingness; it merely asked whether the defence had failed to disprove submission. This effectively shifted the practical burden onto the victim to prove that she fought back, a standard the unamended law never explicitly demanded but which the judgment quietly installed.</w:t>
      </w:r>
    </w:p>
    <w:p>
      <w:pPr>
        <w:spacing w:after="160" w:line="300"/>
        <w:jc w:val="both"/>
      </w:pPr>
      <w:r>
        <w:rPr>
          <w:rFonts w:ascii="Georgia" w:cs="Georgia" w:eastAsia="Georgia" w:hAnsi="Georgia"/>
          <w:sz w:val="22"/>
          <w:szCs w:val="22"/>
        </w:rPr>
        <w:t xml:space="preserve">It is worth being precise about what this ratio does and does not say, because subsequent criticism sometimes overstates the holding. The Court did not rule, as a matter of general law, that custodial rape is impossible to prove or that a woman's sexual history is always relevant. Its error was narrower and, in a sense, more insidious: it applied an ordinary evidentiary standard, calibrated for cases between private parties on roughly equal footing, to a case where the power asymmetry between the accused and the complainant was total. The holding travelled beyond its facts because trial courts across the country treated it as authority for a general proposition, that absence of injury undermines a rape complaint, long after the specific custodial context that should have limited its reach was forgotten. This gap between what a case actually decides and what later courts take it to mean is itself a recurring problem in the application of precedent, and Mathura's case is a textbook illustration of it.</w:t>
      </w:r>
    </w:p>
    <w:p>
      <w:pPr>
        <w:spacing w:after="100" w:before="240"/>
      </w:pPr>
      <w:r>
        <w:rPr>
          <w:rFonts w:ascii="Georgia" w:cs="Georgia" w:eastAsia="Georgia" w:hAnsi="Georgia"/>
          <w:b/>
          <w:bCs/>
          <w:i/>
          <w:iCs/>
          <w:color w:val="b8860b"/>
          <w:sz w:val="22"/>
          <w:szCs w:val="22"/>
        </w:rPr>
        <w:t xml:space="preserve">J. </w:t>
      </w:r>
      <w:r>
        <w:rPr>
          <w:rFonts w:ascii="Georgia" w:cs="Georgia" w:eastAsia="Georgia" w:hAnsi="Georgia"/>
          <w:b/>
          <w:bCs/>
          <w:i/>
          <w:iCs/>
          <w:sz w:val="22"/>
          <w:szCs w:val="22"/>
        </w:rPr>
        <w:t xml:space="preserve">Aftermath: The Open Letter and the Criminal Law (Amendment) Act, 1983</w:t>
      </w:r>
    </w:p>
    <w:p>
      <w:pPr>
        <w:spacing w:after="160" w:line="300"/>
        <w:jc w:val="both"/>
      </w:pPr>
      <w:r>
        <w:rPr>
          <w:rFonts w:ascii="Georgia" w:cs="Georgia" w:eastAsia="Georgia" w:hAnsi="Georgia"/>
          <w:sz w:val="22"/>
          <w:szCs w:val="22"/>
        </w:rPr>
        <w:t xml:space="preserve">The acquittal drew a sharp public rebuke in the form of an open letter to the Chief Justice of India, signed by four law professors, which argued that the Court had ignored the realities of custodial power and effectively told women that resistance, not violation, was the measure of rape, describing the outcome as "an extraordinary decision sacrificing human rights of women under the law and the Constitution." The letter is widely credited with converting a single acquittal into a national law reform movement.</w:t>
      </w:r>
    </w:p>
    <w:p>
      <w:pPr>
        <w:spacing w:after="160" w:line="300"/>
        <w:jc w:val="both"/>
      </w:pPr>
      <w:r>
        <w:rPr>
          <w:rFonts w:ascii="Georgia" w:cs="Georgia" w:eastAsia="Georgia" w:hAnsi="Georgia"/>
          <w:sz w:val="22"/>
          <w:szCs w:val="22"/>
        </w:rPr>
        <w:t xml:space="preserve">Parliament responded with the Criminal Law (Amendment) Act, 1983, which introduced a distinct, more severely punished offence of custodial rape under Sections 376(2) and 376A to 376D of the Penal Code; inserted Section 114A into the Indian Evidence Act, creating a presumption of absence of consent in custodial rape cases once intercourse is proved; and amended Section 327(2) of the Code of Criminal Procedure to mandate in-camera trials for rape cases. Each of these reforms tracks, almost point for point, a specific failure identified in Tukaram.</w:t>
      </w:r>
    </w:p>
    <w:p>
      <w:pPr>
        <w:spacing w:after="100" w:before="240"/>
      </w:pPr>
      <w:r>
        <w:rPr>
          <w:rFonts w:ascii="Georgia" w:cs="Georgia" w:eastAsia="Georgia" w:hAnsi="Georgia"/>
          <w:b/>
          <w:bCs/>
          <w:i/>
          <w:iCs/>
          <w:color w:val="b8860b"/>
          <w:sz w:val="22"/>
          <w:szCs w:val="22"/>
        </w:rPr>
        <w:t xml:space="preserve">K. </w:t>
      </w:r>
      <w:r>
        <w:rPr>
          <w:rFonts w:ascii="Georgia" w:cs="Georgia" w:eastAsia="Georgia" w:hAnsi="Georgia"/>
          <w:b/>
          <w:bCs/>
          <w:i/>
          <w:iCs/>
          <w:sz w:val="22"/>
          <w:szCs w:val="22"/>
        </w:rPr>
        <w:t xml:space="preserve">Continuing Relevance</w:t>
      </w:r>
    </w:p>
    <w:p>
      <w:pPr>
        <w:spacing w:after="160" w:line="300"/>
        <w:jc w:val="both"/>
      </w:pPr>
      <w:r>
        <w:rPr>
          <w:rFonts w:ascii="Georgia" w:cs="Georgia" w:eastAsia="Georgia" w:hAnsi="Georgia"/>
          <w:sz w:val="22"/>
          <w:szCs w:val="22"/>
        </w:rPr>
        <w:t xml:space="preserve">It is tempting, and not entirely wrong, to read Mathura's case as superseded history. But the question it posed, whether the absence of visible resistance can stand in for the presence of consent, remains live wherever investigators, prosecutors, or judges default to asking why a survivor did not fight back rather than why the accused believed they had permission. Trial court practice in India still shows traces of the same scepticism that shaped the 1979 acquittal, including the discredited "two-finger test" in some jurisdictions long after courts formally denounced it, a practice the Supreme Court revisited decades later in Mukesh v. State (NCT of Delhi). The law changed the presumption; changing the reflex inside courtrooms and police stations has taken much longer, and remains, in important respects, unfinished.</w:t>
      </w:r>
    </w:p>
    <w:p>
      <w:pPr>
        <w:spacing w:after="160" w:line="300"/>
        <w:jc w:val="both"/>
      </w:pPr>
      <w:r>
        <w:rPr>
          <w:rFonts w:ascii="Georgia" w:cs="Georgia" w:eastAsia="Georgia" w:hAnsi="Georgia"/>
          <w:sz w:val="22"/>
          <w:szCs w:val="22"/>
        </w:rPr>
        <w:t xml:space="preserve">Many common law jurisdictions went through a version of the same reckoning around the same period, replacing resistance-based standards for rape with definitions centred on affirmative, communicated consent, and abolishing corroboration requirements that had specifically singled out complainants of sexual offences for suspicion no other category of witness faced. Mathura's case belongs to that broader history of common law systems slowly, and usually only after public outrage, abandoning doctrines that treated a victim's credibility as inherently more fragile than an accused's denial.</w:t>
      </w:r>
    </w:p>
    <w:p>
      <w:pPr>
        <w:spacing w:after="100" w:before="240"/>
      </w:pPr>
      <w:r>
        <w:rPr>
          <w:rFonts w:ascii="Georgia" w:cs="Georgia" w:eastAsia="Georgia" w:hAnsi="Georgia"/>
          <w:b/>
          <w:bCs/>
          <w:i/>
          <w:iCs/>
          <w:color w:val="b8860b"/>
          <w:sz w:val="22"/>
          <w:szCs w:val="22"/>
        </w:rPr>
        <w:t xml:space="preserve">L. </w:t>
      </w:r>
      <w:r>
        <w:rPr>
          <w:rFonts w:ascii="Georgia" w:cs="Georgia" w:eastAsia="Georgia" w:hAnsi="Georgia"/>
          <w:b/>
          <w:bCs/>
          <w:i/>
          <w:iCs/>
          <w:sz w:val="22"/>
          <w:szCs w:val="22"/>
        </w:rPr>
        <w:t xml:space="preserve">Institutional Accountability Beyond the Individual Case</w:t>
      </w:r>
    </w:p>
    <w:p>
      <w:pPr>
        <w:spacing w:after="160" w:line="300"/>
        <w:jc w:val="both"/>
      </w:pPr>
      <w:r>
        <w:rPr>
          <w:rFonts w:ascii="Georgia" w:cs="Georgia" w:eastAsia="Georgia" w:hAnsi="Georgia"/>
          <w:sz w:val="22"/>
          <w:szCs w:val="22"/>
        </w:rPr>
        <w:t xml:space="preserve">It is worth pausing on what the acquittal meant institutionally, not just doctrinally. Two on-duty police officers were accused of assaulting a minor inside their own station, using the authority of their position to isolate her from the family that had come to protect her. An acquittal in this setting does more than clear two individuals; it signals to every officer with custodial power that the criminal law will demand an unusually high, almost theatrical, standard of victim resistance before it will intervene. Custodial crimes, whether rape, torture, or unexplained deaths in detention, share a structural feature: the victim is isolated precisely because the perpetrator controls the space. A legal standard that requires visible struggle as proof of non-consent is, in a custodial setting, a standard almost designed to fail.</w:t>
      </w:r>
    </w:p>
    <w:p>
      <w:pPr>
        <w:pBdr>
          <w:bottom w:val="single" w:color="b8860b" w:sz="6" w:space="4"/>
        </w:pBdr>
        <w:spacing w:after="200" w:before="400"/>
      </w:pPr>
      <w:r>
        <w:rPr>
          <w:rFonts w:ascii="Georgia" w:cs="Georgia" w:eastAsia="Georgia" w:hAnsi="Georgia"/>
          <w:b/>
          <w:bCs/>
          <w:caps/>
          <w:color w:val="000000"/>
          <w:spacing w:val="20"/>
          <w:sz w:val="24"/>
          <w:szCs w:val="24"/>
        </w:rPr>
        <w:t xml:space="preserve">V. Conclusion</w:t>
      </w:r>
    </w:p>
    <w:p>
      <w:pPr>
        <w:spacing w:after="160" w:line="300"/>
        <w:jc w:val="both"/>
      </w:pPr>
      <w:r>
        <w:rPr>
          <w:rFonts w:ascii="Georgia" w:cs="Georgia" w:eastAsia="Georgia" w:hAnsi="Georgia"/>
          <w:sz w:val="22"/>
          <w:szCs w:val="22"/>
        </w:rPr>
        <w:t xml:space="preserve">The Supreme Court acquitted Tukaram and Ganpat by applying an ordinary consent standard, calibrated for parties on roughly equal footing, to a case defined by total power asymmetry, and by treating a minor's silence and lack of injury as proof of willingness rather than as evidence consistent with fear. That application was doctrinally defensible on the bare text of the unamended Section 375 and factually indefensible given the setting in which the intercourse occurred. The judgment's most lasting contribution to Indian law was inadvertent: by getting the question so wrong, it forced professors, activists, and eventually Parliament to answer it properly. Section 114A of the Evidence Act, the custodial rape provisions of the Penal Code, and the procedural protections that followed all trace back to a single, badly reasoned acquittal. That is not vindication for Mathura, who never received justice in her own case, but it is the closest thing Indian criminal law has to an apology. The case rewards close reading precisely because it is not an aberration produced by an unusually indifferent bench. It is what happens when competent judges apply an accepted legal standard without interrogating whether that standard was ever built to handle the situation before them.</w:t>
      </w:r>
    </w:p>
    <w:p>
      <w:pPr>
        <w:pBdr>
          <w:bottom w:val="single" w:color="b8860b" w:sz="12" w:space="1"/>
        </w:pBdr>
        <w:spacing w:after="300" w:before="100"/>
      </w:pPr>
      <w:r>
        <w:rPr>
          <w:rFonts w:ascii="Georgia" w:cs="Georgia" w:eastAsia="Georgia" w:hAnsi="Georgia"/>
        </w:rPr>
        <w:t xml:space="preserve"/>
      </w:r>
    </w:p>
    <w:p>
      <w:pPr>
        <w:pBdr>
          <w:bottom w:val="single" w:color="b8860b" w:sz="6" w:space="4"/>
        </w:pBdr>
        <w:spacing w:after="200" w:before="400"/>
      </w:pPr>
      <w:r>
        <w:rPr>
          <w:rFonts w:ascii="Georgia" w:cs="Georgia" w:eastAsia="Georgia" w:hAnsi="Georgia"/>
          <w:b/>
          <w:bCs/>
          <w:caps/>
          <w:color w:val="000000"/>
          <w:spacing w:val="20"/>
          <w:sz w:val="24"/>
          <w:szCs w:val="24"/>
        </w:rPr>
        <w:t xml:space="preserve">Bibliography</w:t>
      </w:r>
    </w:p>
    <w:p>
      <w:pPr>
        <w:spacing w:after="60" w:before="120"/>
      </w:pPr>
      <w:r>
        <w:rPr>
          <w:rFonts w:ascii="Georgia" w:cs="Georgia" w:eastAsia="Georgia" w:hAnsi="Georgia"/>
          <w:b/>
          <w:bCs/>
          <w:sz w:val="20"/>
          <w:szCs w:val="20"/>
        </w:rPr>
        <w:t xml:space="preserve">Cases</w:t>
      </w:r>
    </w:p>
    <w:p>
      <w:pPr>
        <w:spacing w:after="160" w:line="300"/>
        <w:jc w:val="both"/>
      </w:pPr>
      <w:r>
        <w:rPr>
          <w:rFonts w:ascii="Georgia" w:cs="Georgia" w:eastAsia="Georgia" w:hAnsi="Georgia"/>
          <w:sz w:val="18"/>
          <w:szCs w:val="18"/>
        </w:rPr>
        <w:t xml:space="preserve">Mukesh v. State (NCT of Delhi), (2017) 6 SCC 1 (India).</w:t>
      </w:r>
    </w:p>
    <w:p>
      <w:pPr>
        <w:spacing w:after="160" w:line="300"/>
        <w:jc w:val="both"/>
      </w:pPr>
      <w:r>
        <w:rPr>
          <w:rFonts w:ascii="Georgia" w:cs="Georgia" w:eastAsia="Georgia" w:hAnsi="Georgia"/>
          <w:sz w:val="18"/>
          <w:szCs w:val="18"/>
        </w:rPr>
        <w:t xml:space="preserve">State of Maharashtra v. Madhukar Narayan Mardikar, (1991) 1 SCC 57 (India).</w:t>
      </w:r>
    </w:p>
    <w:p>
      <w:pPr>
        <w:spacing w:after="160" w:line="300"/>
        <w:jc w:val="both"/>
      </w:pPr>
      <w:r>
        <w:rPr>
          <w:rFonts w:ascii="Georgia" w:cs="Georgia" w:eastAsia="Georgia" w:hAnsi="Georgia"/>
          <w:sz w:val="18"/>
          <w:szCs w:val="18"/>
        </w:rPr>
        <w:t xml:space="preserve">State of Punjab v. Gurmit Singh, (1996) 2 SCC 384 (India).</w:t>
      </w:r>
    </w:p>
    <w:p>
      <w:pPr>
        <w:spacing w:after="160" w:line="300"/>
        <w:jc w:val="both"/>
      </w:pPr>
      <w:r>
        <w:rPr>
          <w:rFonts w:ascii="Georgia" w:cs="Georgia" w:eastAsia="Georgia" w:hAnsi="Georgia"/>
          <w:sz w:val="18"/>
          <w:szCs w:val="18"/>
        </w:rPr>
        <w:t xml:space="preserve">Tukaram v. State of Maharashtra, (1979) 2 SCC 143 (India).</w:t>
      </w:r>
    </w:p>
    <w:p>
      <w:pPr>
        <w:spacing w:after="60" w:before="120"/>
      </w:pPr>
      <w:r>
        <w:rPr>
          <w:rFonts w:ascii="Georgia" w:cs="Georgia" w:eastAsia="Georgia" w:hAnsi="Georgia"/>
          <w:b/>
          <w:bCs/>
          <w:sz w:val="20"/>
          <w:szCs w:val="20"/>
        </w:rPr>
        <w:t xml:space="preserve">Statutes</w:t>
      </w:r>
    </w:p>
    <w:p>
      <w:pPr>
        <w:spacing w:after="160" w:line="300"/>
        <w:jc w:val="both"/>
      </w:pPr>
      <w:r>
        <w:rPr>
          <w:rFonts w:ascii="Georgia" w:cs="Georgia" w:eastAsia="Georgia" w:hAnsi="Georgia"/>
          <w:sz w:val="18"/>
          <w:szCs w:val="18"/>
        </w:rPr>
        <w:t xml:space="preserve">Code of Criminal Procedure, 1973, § 327(2) (India).</w:t>
      </w:r>
    </w:p>
    <w:p>
      <w:pPr>
        <w:spacing w:after="160" w:line="300"/>
        <w:jc w:val="both"/>
      </w:pPr>
      <w:r>
        <w:rPr>
          <w:rFonts w:ascii="Georgia" w:cs="Georgia" w:eastAsia="Georgia" w:hAnsi="Georgia"/>
          <w:sz w:val="18"/>
          <w:szCs w:val="18"/>
        </w:rPr>
        <w:t xml:space="preserve">Criminal Law (Amendment) Act, No. 43 of 1983 (India).</w:t>
      </w:r>
    </w:p>
    <w:p>
      <w:pPr>
        <w:spacing w:after="160" w:line="300"/>
        <w:jc w:val="both"/>
      </w:pPr>
      <w:r>
        <w:rPr>
          <w:rFonts w:ascii="Georgia" w:cs="Georgia" w:eastAsia="Georgia" w:hAnsi="Georgia"/>
          <w:sz w:val="18"/>
          <w:szCs w:val="18"/>
        </w:rPr>
        <w:t xml:space="preserve">Criminal Law (Amendment) Act, No. 13 of 2013 (India).</w:t>
      </w:r>
    </w:p>
    <w:p>
      <w:pPr>
        <w:spacing w:after="160" w:line="300"/>
        <w:jc w:val="both"/>
      </w:pPr>
      <w:r>
        <w:rPr>
          <w:rFonts w:ascii="Georgia" w:cs="Georgia" w:eastAsia="Georgia" w:hAnsi="Georgia"/>
          <w:sz w:val="18"/>
          <w:szCs w:val="18"/>
        </w:rPr>
        <w:t xml:space="preserve">Criminal Law (Amendment) Act, No. 22 of 2018 (India).</w:t>
      </w:r>
    </w:p>
    <w:p>
      <w:pPr>
        <w:spacing w:after="160" w:line="300"/>
        <w:jc w:val="both"/>
      </w:pPr>
      <w:r>
        <w:rPr>
          <w:rFonts w:ascii="Georgia" w:cs="Georgia" w:eastAsia="Georgia" w:hAnsi="Georgia"/>
          <w:sz w:val="18"/>
          <w:szCs w:val="18"/>
        </w:rPr>
        <w:t xml:space="preserve">Indian Evidence Act, 1872, § 114A (India).</w:t>
      </w:r>
    </w:p>
    <w:p>
      <w:pPr>
        <w:spacing w:after="160" w:line="300"/>
        <w:jc w:val="both"/>
      </w:pPr>
      <w:r>
        <w:rPr>
          <w:rFonts w:ascii="Georgia" w:cs="Georgia" w:eastAsia="Georgia" w:hAnsi="Georgia"/>
          <w:sz w:val="18"/>
          <w:szCs w:val="18"/>
        </w:rPr>
        <w:t xml:space="preserve">Indian Penal Code, 1860, §§ 354, 375, 376, 376A–376D, 228A (India).</w:t>
      </w:r>
    </w:p>
    <w:p>
      <w:pPr>
        <w:spacing w:after="60" w:before="120"/>
      </w:pPr>
      <w:r>
        <w:rPr>
          <w:rFonts w:ascii="Georgia" w:cs="Georgia" w:eastAsia="Georgia" w:hAnsi="Georgia"/>
          <w:b/>
          <w:bCs/>
          <w:sz w:val="20"/>
          <w:szCs w:val="20"/>
        </w:rPr>
        <w:t xml:space="preserve">Secondary Sources</w:t>
      </w:r>
    </w:p>
    <w:p>
      <w:pPr>
        <w:spacing w:after="160" w:line="300"/>
        <w:jc w:val="both"/>
      </w:pPr>
      <w:r>
        <w:rPr>
          <w:rFonts w:ascii="Georgia" w:cs="Georgia" w:eastAsia="Georgia" w:hAnsi="Georgia"/>
          <w:sz w:val="18"/>
          <w:szCs w:val="18"/>
        </w:rPr>
        <w:t xml:space="preserve">Upendra Baxi, Vasudha Dhagamwar, Raghunath Kelkar &amp; Lotika Sarkar, An Open Letter to the Chief Justice of India, (1979) 4 SCC (J) 17.</w:t>
      </w:r>
    </w:p>
    <w:p>
      <w:pPr>
        <w:spacing w:after="160" w:line="300"/>
        <w:jc w:val="both"/>
      </w:pPr>
      <w:r>
        <w:rPr>
          <w:rFonts w:ascii="Georgia" w:cs="Georgia" w:eastAsia="Georgia" w:hAnsi="Georgia"/>
          <w:sz w:val="18"/>
          <w:szCs w:val="18"/>
        </w:rPr>
        <w:t xml:space="preserve">Case Analysis: Tukaram &amp; Anr. v. State of Maharashtra, IJLLR (Feb. 5, 2022).</w:t>
      </w:r>
    </w:p>
    <w:p>
      <w:pPr>
        <w:spacing w:after="160" w:line="300"/>
        <w:jc w:val="both"/>
      </w:pPr>
      <w:r>
        <w:rPr>
          <w:rFonts w:ascii="Georgia" w:cs="Georgia" w:eastAsia="Georgia" w:hAnsi="Georgia"/>
          <w:sz w:val="18"/>
          <w:szCs w:val="18"/>
        </w:rPr>
        <w:t xml:space="preserve">The Case That Shook India: How Mathura Forced a Nation to Rethink Justice, India Legal (Nov. 22, 2025).</w:t>
      </w:r>
    </w:p>
    <w:p>
      <w:pPr>
        <w:spacing w:after="160" w:line="300"/>
        <w:jc w:val="both"/>
      </w:pPr>
      <w:r>
        <w:rPr>
          <w:rFonts w:ascii="Georgia" w:cs="Georgia" w:eastAsia="Georgia" w:hAnsi="Georgia"/>
          <w:sz w:val="18"/>
          <w:szCs w:val="18"/>
        </w:rPr>
        <w:t xml:space="preserve">Tukaram v. State of Maharashtra, LexForti (Jan. 17, 2021).</w:t>
      </w:r>
    </w:p>
    <w:p>
      <w:pPr>
        <w:spacing w:after="160" w:line="300"/>
        <w:jc w:val="both"/>
      </w:pPr>
      <w:r>
        <w:rPr>
          <w:rFonts w:ascii="Georgia" w:cs="Georgia" w:eastAsia="Georgia" w:hAnsi="Georgia"/>
          <w:sz w:val="18"/>
          <w:szCs w:val="18"/>
        </w:rPr>
        <w:t xml:space="preserve">Tuka Ram and Anr. v. State of Maharashtra, Indian Kanoon, https://indiankanoon.org/doc/1092711/.</w:t>
      </w:r>
    </w:p>
    <w:p>
      <w:pPr>
        <w:spacing w:after="160" w:line="300"/>
        <w:jc w:val="both"/>
      </w:pPr>
      <w:r>
        <w:rPr>
          <w:rFonts w:ascii="Georgia" w:cs="Georgia" w:eastAsia="Georgia" w:hAnsi="Georgia"/>
          <w:sz w:val="18"/>
          <w:szCs w:val="18"/>
        </w:rPr>
        <w:t xml:space="preserve">Mathura Rape Case, Wikipedia, https://en.wikipedia.org/wiki/Mathura_rape_case.</w:t>
      </w:r>
    </w:p>
    <w:p>
      <w:pPr>
        <w:pBdr>
          <w:bottom w:val="single" w:color="b8860b" w:sz="12" w:space="1"/>
        </w:pBdr>
        <w:spacing w:after="300" w:before="100"/>
      </w:pPr>
      <w:r>
        <w:rPr>
          <w:rFonts w:ascii="Georgia" w:cs="Georgia" w:eastAsia="Georgia" w:hAnsi="Georgia"/>
        </w:rPr>
        <w:t xml:space="preserve"/>
      </w:r>
    </w:p>
    <w:p>
      <w:pPr>
        <w:spacing w:after="120"/>
        <w:jc w:val="center"/>
      </w:pPr>
      <w:r>
        <w:rPr>
          <w:rFonts w:ascii="Georgia" w:cs="Georgia" w:eastAsia="Georgia" w:hAnsi="Georgia"/>
          <w:color w:val="888888"/>
          <w:sz w:val="16"/>
          <w:szCs w:val="16"/>
        </w:rPr>
        <w:t xml:space="preserve">NATIONAL LEGAL OBSERVATORY  ·  legal-observatory.vercel.app  ·  @national.legal.observatory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2026-08-19T04:55:24.274Z</dcterms:created>
  <dcterms:modified xsi:type="dcterms:W3CDTF">2026-08-19T04:55:24.288Z</dcterms:modified>
</cp:coreProperties>
</file>

<file path=docProps/custom.xml><?xml version="1.0" encoding="utf-8"?>
<Properties xmlns="http://schemas.openxmlformats.org/officeDocument/2006/custom-properties" xmlns:vt="http://schemas.openxmlformats.org/officeDocument/2006/docPropsVTypes"/>
</file>