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49BD1" w14:textId="77777777" w:rsidR="000641D4" w:rsidRPr="00C41AD0" w:rsidRDefault="000641D4" w:rsidP="000641D4">
      <w:pPr>
        <w:pStyle w:val="Heading1"/>
        <w:ind w:left="360"/>
        <w:rPr>
          <w:rFonts w:ascii="Arial" w:hAnsi="Arial" w:cs="Arial"/>
          <w:bCs/>
        </w:rPr>
      </w:pPr>
      <w:r w:rsidRPr="00C41AD0">
        <w:rPr>
          <w:rFonts w:ascii="Arial" w:hAnsi="Arial" w:cs="Arial"/>
          <w:bCs/>
        </w:rPr>
        <w:t>APPENDIX B - BESMM input data</w:t>
      </w:r>
    </w:p>
    <w:p w14:paraId="7C8A51B3" w14:textId="77777777" w:rsidR="000641D4" w:rsidRPr="009776D9" w:rsidRDefault="000641D4" w:rsidP="000641D4">
      <w:pPr>
        <w:ind w:firstLine="0"/>
        <w:rPr>
          <w:rFonts w:ascii="Arial" w:hAnsi="Arial" w:cs="Arial"/>
        </w:rPr>
      </w:pPr>
    </w:p>
    <w:p w14:paraId="616D49BE" w14:textId="77777777" w:rsidR="000641D4" w:rsidRPr="009776D9" w:rsidRDefault="000641D4" w:rsidP="000641D4">
      <w:pPr>
        <w:rPr>
          <w:rFonts w:ascii="Arial" w:hAnsi="Arial" w:cs="Arial"/>
        </w:rPr>
      </w:pPr>
      <w:r w:rsidRPr="009776D9">
        <w:rPr>
          <w:rFonts w:ascii="Arial" w:hAnsi="Arial" w:cs="Arial"/>
        </w:rPr>
        <w:fldChar w:fldCharType="begin"/>
      </w:r>
      <w:r w:rsidRPr="009776D9">
        <w:rPr>
          <w:rFonts w:ascii="Arial" w:hAnsi="Arial" w:cs="Arial"/>
        </w:rPr>
        <w:instrText xml:space="preserve"> REF _Ref83646049 \h  \* MERGEFORMAT </w:instrText>
      </w:r>
      <w:r w:rsidRPr="009776D9">
        <w:rPr>
          <w:rFonts w:ascii="Arial" w:hAnsi="Arial" w:cs="Arial"/>
        </w:rPr>
      </w:r>
      <w:r w:rsidRPr="009776D9">
        <w:rPr>
          <w:rFonts w:ascii="Arial" w:hAnsi="Arial" w:cs="Arial"/>
        </w:rPr>
        <w:fldChar w:fldCharType="separate"/>
      </w:r>
      <w:r w:rsidRPr="009776D9">
        <w:rPr>
          <w:rFonts w:ascii="Arial" w:hAnsi="Arial" w:cs="Arial"/>
        </w:rPr>
        <w:t xml:space="preserve">Figure </w:t>
      </w:r>
      <w:r w:rsidRPr="00DB5D52">
        <w:rPr>
          <w:rFonts w:ascii="Arial" w:hAnsi="Arial" w:cs="Arial"/>
          <w:noProof/>
        </w:rPr>
        <w:t>B</w:t>
      </w:r>
      <w:r w:rsidRPr="009776D9">
        <w:rPr>
          <w:rFonts w:ascii="Arial" w:hAnsi="Arial" w:cs="Arial"/>
          <w:noProof/>
        </w:rPr>
        <w:noBreakHyphen/>
      </w:r>
      <w:r>
        <w:rPr>
          <w:rFonts w:ascii="Arial" w:hAnsi="Arial" w:cs="Arial"/>
          <w:noProof/>
        </w:rPr>
        <w:t>1</w:t>
      </w:r>
      <w:r w:rsidRPr="009776D9">
        <w:rPr>
          <w:rFonts w:ascii="Arial" w:hAnsi="Arial" w:cs="Arial"/>
        </w:rPr>
        <w:fldChar w:fldCharType="end"/>
      </w:r>
      <w:r w:rsidRPr="009776D9">
        <w:rPr>
          <w:rFonts w:ascii="Arial" w:hAnsi="Arial" w:cs="Arial"/>
        </w:rPr>
        <w:t xml:space="preserve"> presents the installed capacity values added for each technology and subsystem. Southeast/Midwest has 52% of the total installed capacity of Brazil and at the same time 58% of the total electricity demand of Brazil. The other subsystems’ demand rate is: 17% in the South region, 16% in the Northeast, and 8% in the North region.  </w:t>
      </w:r>
    </w:p>
    <w:p w14:paraId="38B2F8D5" w14:textId="77777777" w:rsidR="000641D4" w:rsidRPr="009776D9" w:rsidRDefault="000641D4" w:rsidP="000641D4">
      <w:pPr>
        <w:rPr>
          <w:rFonts w:ascii="Arial" w:hAnsi="Arial" w:cs="Arial"/>
        </w:rPr>
      </w:pPr>
    </w:p>
    <w:p w14:paraId="4500D20E" w14:textId="77777777" w:rsidR="000641D4" w:rsidRPr="009776D9" w:rsidRDefault="000641D4" w:rsidP="000641D4">
      <w:pPr>
        <w:keepNext/>
        <w:ind w:firstLine="0"/>
        <w:rPr>
          <w:rFonts w:ascii="Arial" w:hAnsi="Arial" w:cs="Arial"/>
        </w:rPr>
      </w:pPr>
      <w:r w:rsidRPr="009776D9">
        <w:rPr>
          <w:rFonts w:ascii="Arial" w:hAnsi="Arial" w:cs="Arial"/>
          <w:noProof/>
        </w:rPr>
        <w:drawing>
          <wp:inline distT="0" distB="0" distL="0" distR="0" wp14:anchorId="6B91849C" wp14:editId="489957CC">
            <wp:extent cx="5727700" cy="2667635"/>
            <wp:effectExtent l="0" t="0" r="6350" b="0"/>
            <wp:docPr id="53" name="Imagem 5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m 53" descr="A screenshot of a graph&#10;&#10;Description automatically generated"/>
                    <pic:cNvPicPr/>
                  </pic:nvPicPr>
                  <pic:blipFill>
                    <a:blip r:embed="rId6"/>
                    <a:stretch>
                      <a:fillRect/>
                    </a:stretch>
                  </pic:blipFill>
                  <pic:spPr>
                    <a:xfrm>
                      <a:off x="0" y="0"/>
                      <a:ext cx="5727700" cy="2667635"/>
                    </a:xfrm>
                    <a:prstGeom prst="rect">
                      <a:avLst/>
                    </a:prstGeom>
                  </pic:spPr>
                </pic:pic>
              </a:graphicData>
            </a:graphic>
          </wp:inline>
        </w:drawing>
      </w:r>
    </w:p>
    <w:p w14:paraId="4B873249" w14:textId="77777777" w:rsidR="000641D4" w:rsidRPr="009776D9" w:rsidRDefault="000641D4" w:rsidP="000641D4">
      <w:pPr>
        <w:spacing w:line="240" w:lineRule="auto"/>
        <w:jc w:val="center"/>
        <w:rPr>
          <w:rFonts w:ascii="Arial" w:hAnsi="Arial" w:cs="Arial"/>
        </w:rPr>
      </w:pPr>
      <w:bookmarkStart w:id="0" w:name="_Ref83646049"/>
      <w:bookmarkStart w:id="1" w:name="_Toc137400226"/>
      <w:r w:rsidRPr="009776D9">
        <w:rPr>
          <w:rFonts w:ascii="Arial" w:hAnsi="Arial" w:cs="Arial"/>
        </w:rPr>
        <w:t xml:space="preserve">Figure </w:t>
      </w:r>
      <w:r>
        <w:rPr>
          <w:rFonts w:ascii="Arial" w:hAnsi="Arial" w:cs="Arial"/>
          <w:lang w:val="en-AT"/>
        </w:rPr>
        <w:t>B</w:t>
      </w:r>
      <w:r w:rsidRPr="009776D9">
        <w:rPr>
          <w:rFonts w:ascii="Arial" w:hAnsi="Arial" w:cs="Arial"/>
        </w:rPr>
        <w:noBreakHyphen/>
      </w:r>
      <w:r w:rsidRPr="009776D9">
        <w:rPr>
          <w:rFonts w:ascii="Arial" w:hAnsi="Arial" w:cs="Arial"/>
        </w:rPr>
        <w:fldChar w:fldCharType="begin"/>
      </w:r>
      <w:r w:rsidRPr="009776D9">
        <w:rPr>
          <w:rFonts w:ascii="Arial" w:hAnsi="Arial" w:cs="Arial"/>
        </w:rPr>
        <w:instrText xml:space="preserve"> SEQ Figure \* ARABIC \s 1 </w:instrText>
      </w:r>
      <w:r w:rsidRPr="009776D9">
        <w:rPr>
          <w:rFonts w:ascii="Arial" w:hAnsi="Arial" w:cs="Arial"/>
        </w:rPr>
        <w:fldChar w:fldCharType="separate"/>
      </w:r>
      <w:r>
        <w:rPr>
          <w:rFonts w:ascii="Arial" w:hAnsi="Arial" w:cs="Arial"/>
          <w:noProof/>
        </w:rPr>
        <w:t>1</w:t>
      </w:r>
      <w:r w:rsidRPr="009776D9">
        <w:rPr>
          <w:rFonts w:ascii="Arial" w:hAnsi="Arial" w:cs="Arial"/>
          <w:noProof/>
        </w:rPr>
        <w:fldChar w:fldCharType="end"/>
      </w:r>
      <w:bookmarkEnd w:id="0"/>
      <w:r w:rsidRPr="009776D9">
        <w:rPr>
          <w:rFonts w:ascii="Arial" w:hAnsi="Arial" w:cs="Arial"/>
        </w:rPr>
        <w:t xml:space="preserve"> – Installed capacity of each node according to historical values from 2019 </w:t>
      </w:r>
      <w:r w:rsidRPr="009776D9">
        <w:rPr>
          <w:rFonts w:ascii="Arial" w:hAnsi="Arial" w:cs="Arial"/>
        </w:rPr>
        <w:fldChar w:fldCharType="begin" w:fldLock="1"/>
      </w:r>
      <w:r w:rsidRPr="009776D9">
        <w:rPr>
          <w:rFonts w:ascii="Arial" w:hAnsi="Arial" w:cs="Arial"/>
        </w:rPr>
        <w:instrText>ADDIN CSL_CITATION {"citationItems":[{"id":"ITEM-1","itemData":{"URL":"https://www.epe.gov.br/pt/publicacoes-dados-abertos/publicacoes/anuario-estatistico-de-energia-eletrica","accessed":{"date-parts":[["2020","11","9"]]},"author":[{"dropping-particle":"","family":"EPE","given":"","non-dropping-particle":"","parse-names":false,"suffix":""}],"id":"ITEM-1","issued":{"date-parts":[["2020"]]},"title":"Anuário Estatístico de Energia Elétrica 2020: ano base 2019","type":"webpage"},"uris":["http://www.mendeley.com/documents/?uuid=9532333e-2619-3712-9963-af1725280d47"]}],"mendeley":{"formattedCitation":"[EPE, 2020a]","manualFormatting":"[Adapted from EPE, 2020a]","plainTextFormattedCitation":"[EPE, 2020a]","previouslyFormattedCitation":"[EPE, 2020a]"},"properties":{"noteIndex":0},"schema":"https://github.com/citation-style-language/schema/raw/master/csl-citation.json"}</w:instrText>
      </w:r>
      <w:r w:rsidRPr="009776D9">
        <w:rPr>
          <w:rFonts w:ascii="Arial" w:hAnsi="Arial" w:cs="Arial"/>
        </w:rPr>
        <w:fldChar w:fldCharType="separate"/>
      </w:r>
      <w:r w:rsidRPr="009776D9">
        <w:rPr>
          <w:rFonts w:ascii="Arial" w:hAnsi="Arial" w:cs="Arial"/>
          <w:noProof/>
        </w:rPr>
        <w:t>[Adapted from EPE, 2020a]</w:t>
      </w:r>
      <w:r w:rsidRPr="009776D9">
        <w:rPr>
          <w:rFonts w:ascii="Arial" w:hAnsi="Arial" w:cs="Arial"/>
        </w:rPr>
        <w:fldChar w:fldCharType="end"/>
      </w:r>
      <w:r w:rsidRPr="009776D9">
        <w:rPr>
          <w:rFonts w:ascii="Arial" w:hAnsi="Arial" w:cs="Arial"/>
        </w:rPr>
        <w:t>.</w:t>
      </w:r>
      <w:bookmarkEnd w:id="1"/>
    </w:p>
    <w:p w14:paraId="1CA0F423" w14:textId="77777777" w:rsidR="000641D4" w:rsidRPr="009776D9" w:rsidRDefault="000641D4" w:rsidP="000641D4">
      <w:pPr>
        <w:spacing w:line="240" w:lineRule="auto"/>
        <w:jc w:val="center"/>
        <w:rPr>
          <w:rFonts w:ascii="Arial" w:hAnsi="Arial" w:cs="Arial"/>
        </w:rPr>
      </w:pPr>
    </w:p>
    <w:p w14:paraId="65C29F7B" w14:textId="50A53EDD" w:rsidR="000641D4" w:rsidRPr="009776D9" w:rsidRDefault="000641D4" w:rsidP="000641D4">
      <w:pPr>
        <w:ind w:firstLine="0"/>
        <w:rPr>
          <w:rFonts w:ascii="Arial" w:hAnsi="Arial" w:cs="Arial"/>
        </w:rPr>
      </w:pPr>
      <w:r w:rsidRPr="009776D9">
        <w:rPr>
          <w:rFonts w:ascii="Arial" w:hAnsi="Arial" w:cs="Arial"/>
        </w:rPr>
        <w:t xml:space="preserve">The transmission lines in BESMM </w:t>
      </w:r>
      <w:r w:rsidR="000323DC">
        <w:rPr>
          <w:rFonts w:ascii="Arial" w:hAnsi="Arial" w:cs="Arial"/>
          <w:lang w:val="en-AT"/>
        </w:rPr>
        <w:t>are</w:t>
      </w:r>
      <w:r w:rsidRPr="009776D9">
        <w:rPr>
          <w:rFonts w:ascii="Arial" w:hAnsi="Arial" w:cs="Arial"/>
        </w:rPr>
        <w:t xml:space="preserve"> </w:t>
      </w:r>
      <w:r w:rsidR="000323DC">
        <w:rPr>
          <w:rFonts w:ascii="Arial" w:hAnsi="Arial" w:cs="Arial"/>
          <w:lang w:val="en-AT"/>
        </w:rPr>
        <w:t>described</w:t>
      </w:r>
      <w:r w:rsidRPr="009776D9">
        <w:rPr>
          <w:rFonts w:ascii="Arial" w:hAnsi="Arial" w:cs="Arial"/>
        </w:rPr>
        <w:t xml:space="preserve"> </w:t>
      </w:r>
      <w:r w:rsidR="0065489E">
        <w:rPr>
          <w:rFonts w:ascii="Arial" w:hAnsi="Arial" w:cs="Arial"/>
          <w:lang w:val="en-AT"/>
        </w:rPr>
        <w:t>in</w:t>
      </w:r>
      <w:r w:rsidRPr="009776D9">
        <w:rPr>
          <w:rFonts w:ascii="Arial" w:hAnsi="Arial" w:cs="Arial"/>
        </w:rPr>
        <w:t xml:space="preserve"> </w:t>
      </w:r>
      <w:r w:rsidRPr="009776D9">
        <w:rPr>
          <w:rFonts w:ascii="Arial" w:hAnsi="Arial" w:cs="Arial"/>
        </w:rPr>
        <w:fldChar w:fldCharType="begin"/>
      </w:r>
      <w:r w:rsidRPr="009776D9">
        <w:rPr>
          <w:rFonts w:ascii="Arial" w:hAnsi="Arial" w:cs="Arial"/>
        </w:rPr>
        <w:instrText xml:space="preserve"> REF _Ref119430503 \h  \* MERGEFORMAT </w:instrText>
      </w:r>
      <w:r w:rsidRPr="009776D9">
        <w:rPr>
          <w:rFonts w:ascii="Arial" w:hAnsi="Arial" w:cs="Arial"/>
        </w:rPr>
      </w:r>
      <w:r w:rsidRPr="009776D9">
        <w:rPr>
          <w:rFonts w:ascii="Arial" w:hAnsi="Arial" w:cs="Arial"/>
        </w:rPr>
        <w:fldChar w:fldCharType="separate"/>
      </w:r>
      <w:r w:rsidR="004A5861">
        <w:rPr>
          <w:rFonts w:ascii="Arial" w:hAnsi="Arial" w:cs="Arial"/>
          <w:b/>
          <w:bCs/>
        </w:rPr>
        <w:fldChar w:fldCharType="begin"/>
      </w:r>
      <w:r w:rsidR="004A5861">
        <w:rPr>
          <w:rFonts w:ascii="Arial" w:hAnsi="Arial" w:cs="Arial"/>
        </w:rPr>
        <w:instrText xml:space="preserve"> REF _Ref159598940 \h </w:instrText>
      </w:r>
      <w:r w:rsidR="004A5861">
        <w:rPr>
          <w:rFonts w:ascii="Arial" w:hAnsi="Arial" w:cs="Arial"/>
          <w:b/>
          <w:bCs/>
        </w:rPr>
      </w:r>
      <w:r w:rsidR="004A5861">
        <w:rPr>
          <w:rFonts w:ascii="Arial" w:hAnsi="Arial" w:cs="Arial"/>
          <w:b/>
          <w:bCs/>
        </w:rPr>
        <w:fldChar w:fldCharType="separate"/>
      </w:r>
      <w:r w:rsidR="004A5861" w:rsidRPr="009776D9">
        <w:rPr>
          <w:rFonts w:ascii="Arial" w:hAnsi="Arial" w:cs="Arial"/>
        </w:rPr>
        <w:t xml:space="preserve">Table </w:t>
      </w:r>
      <w:r w:rsidR="004A5861">
        <w:rPr>
          <w:rFonts w:ascii="Arial" w:hAnsi="Arial" w:cs="Arial"/>
          <w:lang w:val="en-AT"/>
        </w:rPr>
        <w:t>B</w:t>
      </w:r>
      <w:r w:rsidR="004A5861" w:rsidRPr="009776D9">
        <w:rPr>
          <w:rFonts w:ascii="Arial" w:hAnsi="Arial" w:cs="Arial"/>
        </w:rPr>
        <w:noBreakHyphen/>
      </w:r>
      <w:r w:rsidR="004A5861">
        <w:rPr>
          <w:rFonts w:ascii="Arial" w:hAnsi="Arial" w:cs="Arial"/>
          <w:noProof/>
        </w:rPr>
        <w:t>1</w:t>
      </w:r>
      <w:r w:rsidR="004A5861">
        <w:rPr>
          <w:rFonts w:ascii="Arial" w:hAnsi="Arial" w:cs="Arial"/>
          <w:b/>
          <w:bCs/>
        </w:rPr>
        <w:fldChar w:fldCharType="end"/>
      </w:r>
      <w:r>
        <w:rPr>
          <w:rFonts w:ascii="Arial" w:hAnsi="Arial" w:cs="Arial"/>
          <w:b/>
          <w:bCs/>
        </w:rPr>
        <w:t>.</w:t>
      </w:r>
      <w:r w:rsidRPr="009776D9">
        <w:rPr>
          <w:rFonts w:ascii="Arial" w:hAnsi="Arial" w:cs="Arial"/>
        </w:rPr>
        <w:fldChar w:fldCharType="end"/>
      </w:r>
      <w:r w:rsidR="0065489E">
        <w:rPr>
          <w:rFonts w:ascii="Arial" w:hAnsi="Arial" w:cs="Arial"/>
          <w:lang w:val="en-AT"/>
        </w:rPr>
        <w:t xml:space="preserve"> </w:t>
      </w:r>
      <w:r w:rsidRPr="009776D9">
        <w:rPr>
          <w:rFonts w:ascii="Arial" w:hAnsi="Arial" w:cs="Arial"/>
        </w:rPr>
        <w:t xml:space="preserve">In this representation there are four transmission lines, one connecting the North node with the Northeast node, one connecting the Northeast with the Southeast/Midwest, on connecting the Southeast/Midwest node with the North node, and one connecting the South node with the Southeast/Midwest node. </w:t>
      </w:r>
    </w:p>
    <w:p w14:paraId="766D176F" w14:textId="77777777" w:rsidR="000641D4" w:rsidRPr="009776D9" w:rsidRDefault="000641D4" w:rsidP="000641D4">
      <w:pPr>
        <w:jc w:val="center"/>
        <w:rPr>
          <w:rFonts w:ascii="Arial" w:hAnsi="Arial" w:cs="Arial"/>
        </w:rPr>
      </w:pPr>
    </w:p>
    <w:p w14:paraId="5228F0CA" w14:textId="77777777" w:rsidR="000641D4" w:rsidRPr="009776D9" w:rsidRDefault="000641D4" w:rsidP="000641D4">
      <w:pPr>
        <w:spacing w:after="240" w:line="240" w:lineRule="auto"/>
        <w:jc w:val="center"/>
        <w:rPr>
          <w:rFonts w:ascii="Arial" w:hAnsi="Arial" w:cs="Arial"/>
        </w:rPr>
      </w:pPr>
      <w:bookmarkStart w:id="2" w:name="_Ref159598940"/>
      <w:r w:rsidRPr="009776D9">
        <w:rPr>
          <w:rFonts w:ascii="Arial" w:hAnsi="Arial" w:cs="Arial"/>
        </w:rPr>
        <w:t xml:space="preserve">Table </w:t>
      </w:r>
      <w:r>
        <w:rPr>
          <w:rFonts w:ascii="Arial" w:hAnsi="Arial" w:cs="Arial"/>
          <w:lang w:val="en-AT"/>
        </w:rPr>
        <w:t>B</w:t>
      </w:r>
      <w:r w:rsidRPr="009776D9">
        <w:rPr>
          <w:rFonts w:ascii="Arial" w:hAnsi="Arial" w:cs="Arial"/>
        </w:rPr>
        <w:noBreakHyphen/>
      </w:r>
      <w:r w:rsidRPr="009776D9">
        <w:rPr>
          <w:rFonts w:ascii="Arial" w:hAnsi="Arial" w:cs="Arial"/>
        </w:rPr>
        <w:fldChar w:fldCharType="begin"/>
      </w:r>
      <w:r w:rsidRPr="009776D9">
        <w:rPr>
          <w:rFonts w:ascii="Arial" w:hAnsi="Arial" w:cs="Arial"/>
        </w:rPr>
        <w:instrText xml:space="preserve"> SEQ Table \* ARABIC \s 1 </w:instrText>
      </w:r>
      <w:r w:rsidRPr="009776D9">
        <w:rPr>
          <w:rFonts w:ascii="Arial" w:hAnsi="Arial" w:cs="Arial"/>
        </w:rPr>
        <w:fldChar w:fldCharType="separate"/>
      </w:r>
      <w:r>
        <w:rPr>
          <w:rFonts w:ascii="Arial" w:hAnsi="Arial" w:cs="Arial"/>
          <w:noProof/>
        </w:rPr>
        <w:t>1</w:t>
      </w:r>
      <w:r w:rsidRPr="009776D9">
        <w:rPr>
          <w:rFonts w:ascii="Arial" w:hAnsi="Arial" w:cs="Arial"/>
          <w:noProof/>
        </w:rPr>
        <w:fldChar w:fldCharType="end"/>
      </w:r>
      <w:bookmarkEnd w:id="2"/>
      <w:r w:rsidRPr="009776D9">
        <w:rPr>
          <w:rFonts w:ascii="Arial" w:hAnsi="Arial" w:cs="Arial"/>
        </w:rPr>
        <w:t xml:space="preserve"> - Transmission lines capacity for each node </w:t>
      </w:r>
      <w:r w:rsidRPr="009776D9">
        <w:rPr>
          <w:rFonts w:ascii="Arial" w:hAnsi="Arial" w:cs="Arial"/>
        </w:rPr>
        <w:fldChar w:fldCharType="begin" w:fldLock="1"/>
      </w:r>
      <w:r w:rsidRPr="009776D9">
        <w:rPr>
          <w:rFonts w:ascii="Arial" w:hAnsi="Arial" w:cs="Arial"/>
        </w:rPr>
        <w:instrText>ADDIN CSL_CITATION {"citationItems":[{"id":"ITEM-1","itemData":{"URL":"http://www.ons.org.br/paginas/resultados-da-operacao/historico-da-operacao","accessed":{"date-parts":[["2022","8","14"]]},"author":[{"dropping-particle":"","family":"ONS","given":"","non-dropping-particle":"","parse-names":false,"suffix":""}],"id":"ITEM-1","issued":{"date-parts":[["2022"]]},"title":"Histórico da Operação","type":"webpage"},"uris":["http://www.mendeley.com/documents/?uuid=a1264df0-cdf1-3a1d-8493-d2212028443c"]}],"mendeley":{"formattedCitation":"[ONS, 2022c]","manualFormatting":"[Adapted from ONS, 2022c]","plainTextFormattedCitation":"[ONS, 2022c]","previouslyFormattedCitation":"[ONS, 2022c]"},"properties":{"noteIndex":0},"schema":"https://github.com/citation-style-language/schema/raw/master/csl-citation.json"}</w:instrText>
      </w:r>
      <w:r w:rsidRPr="009776D9">
        <w:rPr>
          <w:rFonts w:ascii="Arial" w:hAnsi="Arial" w:cs="Arial"/>
        </w:rPr>
        <w:fldChar w:fldCharType="separate"/>
      </w:r>
      <w:r w:rsidRPr="009776D9">
        <w:rPr>
          <w:rFonts w:ascii="Arial" w:hAnsi="Arial" w:cs="Arial"/>
          <w:noProof/>
        </w:rPr>
        <w:t>[Adapted from ONS, 2022c]</w:t>
      </w:r>
      <w:r w:rsidRPr="009776D9">
        <w:rPr>
          <w:rFonts w:ascii="Arial" w:hAnsi="Arial" w:cs="Arial"/>
        </w:rPr>
        <w:fldChar w:fldCharType="end"/>
      </w:r>
      <w:r w:rsidRPr="009776D9">
        <w:rPr>
          <w:rFonts w:ascii="Arial" w:hAnsi="Arial" w:cs="Arial"/>
        </w:rPr>
        <w:t>.</w:t>
      </w:r>
    </w:p>
    <w:tbl>
      <w:tblPr>
        <w:tblW w:w="4973" w:type="dxa"/>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3349"/>
        <w:gridCol w:w="1624"/>
      </w:tblGrid>
      <w:tr w:rsidR="000641D4" w:rsidRPr="009776D9" w14:paraId="7EE9CEA7" w14:textId="77777777" w:rsidTr="00A46FBB">
        <w:trPr>
          <w:trHeight w:val="329"/>
          <w:jc w:val="center"/>
        </w:trPr>
        <w:tc>
          <w:tcPr>
            <w:tcW w:w="3349" w:type="dxa"/>
            <w:tcBorders>
              <w:top w:val="single" w:sz="4" w:space="0" w:color="auto"/>
              <w:bottom w:val="single" w:sz="4" w:space="0" w:color="auto"/>
            </w:tcBorders>
            <w:shd w:val="clear" w:color="auto" w:fill="auto"/>
            <w:noWrap/>
            <w:vAlign w:val="bottom"/>
          </w:tcPr>
          <w:p w14:paraId="07AA4BC7" w14:textId="77777777" w:rsidR="000641D4" w:rsidRPr="009776D9" w:rsidRDefault="000641D4" w:rsidP="00A46FBB">
            <w:pPr>
              <w:spacing w:line="240" w:lineRule="auto"/>
              <w:ind w:firstLine="0"/>
              <w:jc w:val="left"/>
              <w:rPr>
                <w:rFonts w:ascii="Arial" w:eastAsia="Times New Roman" w:hAnsi="Arial" w:cs="Arial"/>
                <w:szCs w:val="24"/>
                <w:lang w:eastAsia="pt-BR"/>
              </w:rPr>
            </w:pPr>
            <w:r w:rsidRPr="009776D9">
              <w:rPr>
                <w:rFonts w:ascii="Arial" w:eastAsia="Times New Roman" w:hAnsi="Arial" w:cs="Arial"/>
                <w:szCs w:val="24"/>
                <w:lang w:eastAsia="pt-BR"/>
              </w:rPr>
              <w:t>Node</w:t>
            </w:r>
          </w:p>
        </w:tc>
        <w:tc>
          <w:tcPr>
            <w:tcW w:w="1624" w:type="dxa"/>
            <w:tcBorders>
              <w:top w:val="single" w:sz="4" w:space="0" w:color="auto"/>
              <w:bottom w:val="single" w:sz="4" w:space="0" w:color="auto"/>
            </w:tcBorders>
            <w:shd w:val="clear" w:color="auto" w:fill="auto"/>
            <w:noWrap/>
            <w:vAlign w:val="bottom"/>
          </w:tcPr>
          <w:p w14:paraId="2B29D554" w14:textId="77777777" w:rsidR="000641D4" w:rsidRPr="009776D9" w:rsidRDefault="000641D4" w:rsidP="00A46FBB">
            <w:pPr>
              <w:spacing w:line="240" w:lineRule="auto"/>
              <w:ind w:firstLine="0"/>
              <w:jc w:val="right"/>
              <w:rPr>
                <w:rFonts w:ascii="Arial" w:eastAsia="Times New Roman" w:hAnsi="Arial" w:cs="Arial"/>
                <w:szCs w:val="24"/>
                <w:lang w:eastAsia="pt-BR"/>
              </w:rPr>
            </w:pPr>
            <w:r w:rsidRPr="009776D9">
              <w:rPr>
                <w:rFonts w:ascii="Arial" w:eastAsia="Times New Roman" w:hAnsi="Arial" w:cs="Arial"/>
                <w:szCs w:val="24"/>
                <w:lang w:eastAsia="pt-BR"/>
              </w:rPr>
              <w:t>GW</w:t>
            </w:r>
          </w:p>
        </w:tc>
      </w:tr>
      <w:tr w:rsidR="000641D4" w:rsidRPr="009776D9" w14:paraId="5798E2D1" w14:textId="77777777" w:rsidTr="00A46FBB">
        <w:trPr>
          <w:trHeight w:val="329"/>
          <w:jc w:val="center"/>
        </w:trPr>
        <w:tc>
          <w:tcPr>
            <w:tcW w:w="3349" w:type="dxa"/>
            <w:tcBorders>
              <w:top w:val="single" w:sz="4" w:space="0" w:color="auto"/>
            </w:tcBorders>
            <w:shd w:val="clear" w:color="auto" w:fill="auto"/>
            <w:noWrap/>
            <w:vAlign w:val="bottom"/>
            <w:hideMark/>
          </w:tcPr>
          <w:p w14:paraId="6AA9E662" w14:textId="77777777" w:rsidR="000641D4" w:rsidRPr="009776D9" w:rsidRDefault="000641D4" w:rsidP="00A46FBB">
            <w:pPr>
              <w:spacing w:line="240" w:lineRule="auto"/>
              <w:ind w:firstLine="0"/>
              <w:jc w:val="left"/>
              <w:rPr>
                <w:rFonts w:ascii="Arial" w:eastAsia="Times New Roman" w:hAnsi="Arial" w:cs="Arial"/>
                <w:szCs w:val="24"/>
                <w:lang w:eastAsia="pt-BR"/>
              </w:rPr>
            </w:pPr>
            <w:r w:rsidRPr="009776D9">
              <w:rPr>
                <w:rFonts w:ascii="Arial" w:eastAsia="Times New Roman" w:hAnsi="Arial" w:cs="Arial"/>
                <w:szCs w:val="24"/>
                <w:lang w:eastAsia="pt-BR"/>
              </w:rPr>
              <w:t xml:space="preserve">North </w:t>
            </w:r>
            <m:oMath>
              <m:r>
                <m:rPr>
                  <m:sty m:val="p"/>
                </m:rPr>
                <w:rPr>
                  <w:rFonts w:ascii="Cambria Math" w:eastAsia="Times New Roman" w:hAnsi="Cambria Math" w:cs="Arial"/>
                  <w:szCs w:val="24"/>
                  <w:lang w:eastAsia="pt-BR"/>
                </w:rPr>
                <m:t>↔</m:t>
              </m:r>
            </m:oMath>
            <w:r w:rsidRPr="009776D9">
              <w:rPr>
                <w:rFonts w:ascii="Arial" w:eastAsia="Times New Roman" w:hAnsi="Arial" w:cs="Arial"/>
                <w:szCs w:val="24"/>
                <w:lang w:eastAsia="pt-BR"/>
              </w:rPr>
              <w:t xml:space="preserve"> Northeast</w:t>
            </w:r>
          </w:p>
        </w:tc>
        <w:tc>
          <w:tcPr>
            <w:tcW w:w="1624" w:type="dxa"/>
            <w:tcBorders>
              <w:top w:val="single" w:sz="4" w:space="0" w:color="auto"/>
            </w:tcBorders>
            <w:shd w:val="clear" w:color="auto" w:fill="auto"/>
            <w:noWrap/>
            <w:vAlign w:val="bottom"/>
            <w:hideMark/>
          </w:tcPr>
          <w:p w14:paraId="12F83869" w14:textId="77777777" w:rsidR="000641D4" w:rsidRPr="009776D9" w:rsidRDefault="000641D4" w:rsidP="00A46FBB">
            <w:pPr>
              <w:spacing w:line="240" w:lineRule="auto"/>
              <w:ind w:firstLine="0"/>
              <w:jc w:val="right"/>
              <w:rPr>
                <w:rFonts w:ascii="Arial" w:eastAsia="Times New Roman" w:hAnsi="Arial" w:cs="Arial"/>
                <w:szCs w:val="24"/>
                <w:lang w:eastAsia="pt-BR"/>
              </w:rPr>
            </w:pPr>
            <w:r w:rsidRPr="009776D9">
              <w:rPr>
                <w:rFonts w:ascii="Arial" w:eastAsia="Times New Roman" w:hAnsi="Arial" w:cs="Arial"/>
                <w:szCs w:val="24"/>
                <w:lang w:eastAsia="pt-BR"/>
              </w:rPr>
              <w:t>44.1</w:t>
            </w:r>
          </w:p>
        </w:tc>
      </w:tr>
      <w:tr w:rsidR="000641D4" w:rsidRPr="009776D9" w14:paraId="11601350" w14:textId="77777777" w:rsidTr="00A46FBB">
        <w:trPr>
          <w:trHeight w:val="329"/>
          <w:jc w:val="center"/>
        </w:trPr>
        <w:tc>
          <w:tcPr>
            <w:tcW w:w="3349" w:type="dxa"/>
            <w:shd w:val="clear" w:color="auto" w:fill="auto"/>
            <w:noWrap/>
            <w:vAlign w:val="bottom"/>
            <w:hideMark/>
          </w:tcPr>
          <w:p w14:paraId="1F42617E" w14:textId="77777777" w:rsidR="000641D4" w:rsidRPr="009776D9" w:rsidRDefault="000641D4" w:rsidP="00A46FBB">
            <w:pPr>
              <w:spacing w:line="240" w:lineRule="auto"/>
              <w:ind w:firstLine="0"/>
              <w:jc w:val="left"/>
              <w:rPr>
                <w:rFonts w:ascii="Arial" w:eastAsia="Times New Roman" w:hAnsi="Arial" w:cs="Arial"/>
                <w:szCs w:val="24"/>
                <w:lang w:eastAsia="pt-BR"/>
              </w:rPr>
            </w:pPr>
            <w:r w:rsidRPr="009776D9">
              <w:rPr>
                <w:rFonts w:ascii="Arial" w:eastAsia="Times New Roman" w:hAnsi="Arial" w:cs="Arial"/>
                <w:szCs w:val="24"/>
                <w:lang w:eastAsia="pt-BR"/>
              </w:rPr>
              <w:t xml:space="preserve">Northeast </w:t>
            </w:r>
            <m:oMath>
              <m:r>
                <m:rPr>
                  <m:sty m:val="p"/>
                </m:rPr>
                <w:rPr>
                  <w:rFonts w:ascii="Cambria Math" w:eastAsia="Times New Roman" w:hAnsi="Cambria Math" w:cs="Arial"/>
                  <w:szCs w:val="24"/>
                  <w:lang w:eastAsia="pt-BR"/>
                </w:rPr>
                <m:t>↔</m:t>
              </m:r>
            </m:oMath>
            <w:r w:rsidRPr="009776D9">
              <w:rPr>
                <w:rFonts w:ascii="Arial" w:eastAsia="Times New Roman" w:hAnsi="Arial" w:cs="Arial"/>
                <w:szCs w:val="24"/>
                <w:lang w:eastAsia="pt-BR"/>
              </w:rPr>
              <w:t xml:space="preserve"> Southeast/Midwest</w:t>
            </w:r>
          </w:p>
        </w:tc>
        <w:tc>
          <w:tcPr>
            <w:tcW w:w="1624" w:type="dxa"/>
            <w:shd w:val="clear" w:color="auto" w:fill="auto"/>
            <w:noWrap/>
            <w:vAlign w:val="bottom"/>
            <w:hideMark/>
          </w:tcPr>
          <w:p w14:paraId="50A2D206" w14:textId="77777777" w:rsidR="000641D4" w:rsidRPr="009776D9" w:rsidRDefault="000641D4" w:rsidP="00A46FBB">
            <w:pPr>
              <w:spacing w:line="240" w:lineRule="auto"/>
              <w:ind w:firstLine="0"/>
              <w:jc w:val="right"/>
              <w:rPr>
                <w:rFonts w:ascii="Arial" w:eastAsia="Times New Roman" w:hAnsi="Arial" w:cs="Arial"/>
                <w:szCs w:val="24"/>
                <w:lang w:eastAsia="pt-BR"/>
              </w:rPr>
            </w:pPr>
            <w:r w:rsidRPr="009776D9">
              <w:rPr>
                <w:rFonts w:ascii="Arial" w:eastAsia="Times New Roman" w:hAnsi="Arial" w:cs="Arial"/>
                <w:szCs w:val="24"/>
                <w:lang w:eastAsia="pt-BR"/>
              </w:rPr>
              <w:t>22.1</w:t>
            </w:r>
          </w:p>
        </w:tc>
      </w:tr>
      <w:tr w:rsidR="000641D4" w:rsidRPr="009776D9" w14:paraId="4BF72ED7" w14:textId="77777777" w:rsidTr="00A46FBB">
        <w:trPr>
          <w:trHeight w:val="329"/>
          <w:jc w:val="center"/>
        </w:trPr>
        <w:tc>
          <w:tcPr>
            <w:tcW w:w="3349" w:type="dxa"/>
            <w:shd w:val="clear" w:color="auto" w:fill="auto"/>
            <w:noWrap/>
            <w:vAlign w:val="bottom"/>
            <w:hideMark/>
          </w:tcPr>
          <w:p w14:paraId="2DD1A374" w14:textId="77777777" w:rsidR="000641D4" w:rsidRPr="009776D9" w:rsidRDefault="000641D4" w:rsidP="00A46FBB">
            <w:pPr>
              <w:spacing w:line="240" w:lineRule="auto"/>
              <w:ind w:firstLine="0"/>
              <w:jc w:val="left"/>
              <w:rPr>
                <w:rFonts w:ascii="Arial" w:eastAsia="Times New Roman" w:hAnsi="Arial" w:cs="Arial"/>
                <w:szCs w:val="24"/>
                <w:lang w:eastAsia="pt-BR"/>
              </w:rPr>
            </w:pPr>
            <w:r w:rsidRPr="009776D9">
              <w:rPr>
                <w:rFonts w:ascii="Arial" w:eastAsia="Times New Roman" w:hAnsi="Arial" w:cs="Arial"/>
                <w:szCs w:val="24"/>
                <w:lang w:eastAsia="pt-BR"/>
              </w:rPr>
              <w:t xml:space="preserve">Southeast/Midwest </w:t>
            </w:r>
            <m:oMath>
              <m:r>
                <m:rPr>
                  <m:sty m:val="p"/>
                </m:rPr>
                <w:rPr>
                  <w:rFonts w:ascii="Cambria Math" w:eastAsia="Times New Roman" w:hAnsi="Cambria Math" w:cs="Arial"/>
                  <w:szCs w:val="24"/>
                  <w:lang w:eastAsia="pt-BR"/>
                </w:rPr>
                <m:t>↔</m:t>
              </m:r>
            </m:oMath>
            <w:r w:rsidRPr="009776D9">
              <w:rPr>
                <w:rFonts w:ascii="Arial" w:eastAsia="Times New Roman" w:hAnsi="Arial" w:cs="Arial"/>
                <w:szCs w:val="24"/>
                <w:lang w:eastAsia="pt-BR"/>
              </w:rPr>
              <w:t xml:space="preserve"> North</w:t>
            </w:r>
          </w:p>
        </w:tc>
        <w:tc>
          <w:tcPr>
            <w:tcW w:w="1624" w:type="dxa"/>
            <w:shd w:val="clear" w:color="auto" w:fill="auto"/>
            <w:noWrap/>
            <w:vAlign w:val="bottom"/>
            <w:hideMark/>
          </w:tcPr>
          <w:p w14:paraId="5E78663E" w14:textId="77777777" w:rsidR="000641D4" w:rsidRPr="009776D9" w:rsidRDefault="000641D4" w:rsidP="00A46FBB">
            <w:pPr>
              <w:spacing w:line="240" w:lineRule="auto"/>
              <w:ind w:firstLine="0"/>
              <w:jc w:val="right"/>
              <w:rPr>
                <w:rFonts w:ascii="Arial" w:eastAsia="Times New Roman" w:hAnsi="Arial" w:cs="Arial"/>
                <w:szCs w:val="24"/>
                <w:lang w:eastAsia="pt-BR"/>
              </w:rPr>
            </w:pPr>
            <w:r w:rsidRPr="009776D9">
              <w:rPr>
                <w:rFonts w:ascii="Arial" w:eastAsia="Times New Roman" w:hAnsi="Arial" w:cs="Arial"/>
                <w:szCs w:val="24"/>
                <w:lang w:eastAsia="pt-BR"/>
              </w:rPr>
              <w:t>83.1</w:t>
            </w:r>
          </w:p>
        </w:tc>
      </w:tr>
      <w:tr w:rsidR="000641D4" w:rsidRPr="009776D9" w14:paraId="34FE25E3" w14:textId="77777777" w:rsidTr="00A46FBB">
        <w:trPr>
          <w:trHeight w:val="329"/>
          <w:jc w:val="center"/>
        </w:trPr>
        <w:tc>
          <w:tcPr>
            <w:tcW w:w="3349" w:type="dxa"/>
            <w:shd w:val="clear" w:color="auto" w:fill="auto"/>
            <w:noWrap/>
            <w:vAlign w:val="bottom"/>
            <w:hideMark/>
          </w:tcPr>
          <w:p w14:paraId="64CCD189" w14:textId="77777777" w:rsidR="000641D4" w:rsidRPr="009776D9" w:rsidRDefault="000641D4" w:rsidP="00A46FBB">
            <w:pPr>
              <w:spacing w:line="240" w:lineRule="auto"/>
              <w:ind w:firstLine="0"/>
              <w:jc w:val="left"/>
              <w:rPr>
                <w:rFonts w:ascii="Arial" w:eastAsia="Times New Roman" w:hAnsi="Arial" w:cs="Arial"/>
                <w:szCs w:val="24"/>
                <w:lang w:eastAsia="pt-BR"/>
              </w:rPr>
            </w:pPr>
            <w:r w:rsidRPr="009776D9">
              <w:rPr>
                <w:rFonts w:ascii="Arial" w:eastAsia="Times New Roman" w:hAnsi="Arial" w:cs="Arial"/>
                <w:szCs w:val="24"/>
                <w:lang w:eastAsia="pt-BR"/>
              </w:rPr>
              <w:t xml:space="preserve">South </w:t>
            </w:r>
            <m:oMath>
              <m:r>
                <m:rPr>
                  <m:sty m:val="p"/>
                </m:rPr>
                <w:rPr>
                  <w:rFonts w:ascii="Cambria Math" w:eastAsia="Times New Roman" w:hAnsi="Cambria Math" w:cs="Arial"/>
                  <w:szCs w:val="24"/>
                  <w:lang w:eastAsia="pt-BR"/>
                </w:rPr>
                <m:t>↔</m:t>
              </m:r>
            </m:oMath>
            <w:r w:rsidRPr="009776D9">
              <w:rPr>
                <w:rFonts w:ascii="Arial" w:eastAsia="Times New Roman" w:hAnsi="Arial" w:cs="Arial"/>
                <w:szCs w:val="24"/>
                <w:lang w:eastAsia="pt-BR"/>
              </w:rPr>
              <w:t xml:space="preserve"> Southeast/Midwest</w:t>
            </w:r>
          </w:p>
        </w:tc>
        <w:tc>
          <w:tcPr>
            <w:tcW w:w="1624" w:type="dxa"/>
            <w:shd w:val="clear" w:color="auto" w:fill="auto"/>
            <w:noWrap/>
            <w:vAlign w:val="bottom"/>
            <w:hideMark/>
          </w:tcPr>
          <w:p w14:paraId="208F5009" w14:textId="77777777" w:rsidR="000641D4" w:rsidRPr="009776D9" w:rsidRDefault="000641D4" w:rsidP="00A46FBB">
            <w:pPr>
              <w:spacing w:line="240" w:lineRule="auto"/>
              <w:ind w:firstLine="0"/>
              <w:jc w:val="right"/>
              <w:rPr>
                <w:rFonts w:ascii="Arial" w:eastAsia="Times New Roman" w:hAnsi="Arial" w:cs="Arial"/>
                <w:szCs w:val="24"/>
                <w:lang w:eastAsia="pt-BR"/>
              </w:rPr>
            </w:pPr>
            <w:r w:rsidRPr="009776D9">
              <w:rPr>
                <w:rFonts w:ascii="Arial" w:eastAsia="Times New Roman" w:hAnsi="Arial" w:cs="Arial"/>
                <w:szCs w:val="24"/>
                <w:lang w:eastAsia="pt-BR"/>
              </w:rPr>
              <w:t>48.5</w:t>
            </w:r>
          </w:p>
        </w:tc>
      </w:tr>
    </w:tbl>
    <w:p w14:paraId="15004D49" w14:textId="77777777" w:rsidR="000641D4" w:rsidRPr="009776D9" w:rsidRDefault="000641D4" w:rsidP="000641D4">
      <w:pPr>
        <w:ind w:firstLine="0"/>
        <w:rPr>
          <w:rFonts w:ascii="Arial" w:hAnsi="Arial" w:cs="Arial"/>
        </w:rPr>
      </w:pPr>
    </w:p>
    <w:p w14:paraId="47A19880" w14:textId="77777777" w:rsidR="000641D4" w:rsidRPr="009776D9" w:rsidRDefault="000641D4" w:rsidP="000641D4">
      <w:pPr>
        <w:rPr>
          <w:rFonts w:ascii="Arial" w:hAnsi="Arial" w:cs="Arial"/>
        </w:rPr>
      </w:pPr>
      <w:r w:rsidRPr="009776D9">
        <w:rPr>
          <w:rFonts w:ascii="Arial" w:hAnsi="Arial" w:cs="Arial"/>
        </w:rPr>
        <w:lastRenderedPageBreak/>
        <w:fldChar w:fldCharType="begin"/>
      </w:r>
      <w:r w:rsidRPr="009776D9">
        <w:rPr>
          <w:rFonts w:ascii="Arial" w:hAnsi="Arial" w:cs="Arial"/>
        </w:rPr>
        <w:instrText xml:space="preserve"> REF _Ref122940109 \h  \* MERGEFORMAT </w:instrText>
      </w:r>
      <w:r w:rsidRPr="009776D9">
        <w:rPr>
          <w:rFonts w:ascii="Arial" w:hAnsi="Arial" w:cs="Arial"/>
        </w:rPr>
      </w:r>
      <w:r w:rsidRPr="009776D9">
        <w:rPr>
          <w:rFonts w:ascii="Arial" w:hAnsi="Arial" w:cs="Arial"/>
        </w:rPr>
        <w:fldChar w:fldCharType="separate"/>
      </w:r>
      <w:r w:rsidRPr="009776D9">
        <w:rPr>
          <w:rFonts w:ascii="Arial" w:hAnsi="Arial" w:cs="Arial"/>
        </w:rPr>
        <w:t xml:space="preserve">Table </w:t>
      </w:r>
      <w:r w:rsidRPr="00DB5D52">
        <w:rPr>
          <w:rFonts w:ascii="Arial" w:hAnsi="Arial" w:cs="Arial"/>
          <w:noProof/>
        </w:rPr>
        <w:t>B</w:t>
      </w:r>
      <w:r w:rsidRPr="009776D9">
        <w:rPr>
          <w:rFonts w:ascii="Arial" w:hAnsi="Arial" w:cs="Arial"/>
          <w:noProof/>
        </w:rPr>
        <w:noBreakHyphen/>
      </w:r>
      <w:r>
        <w:rPr>
          <w:rFonts w:ascii="Arial" w:hAnsi="Arial" w:cs="Arial"/>
          <w:noProof/>
        </w:rPr>
        <w:t>2</w:t>
      </w:r>
      <w:r w:rsidRPr="009776D9">
        <w:rPr>
          <w:rFonts w:ascii="Arial" w:hAnsi="Arial" w:cs="Arial"/>
        </w:rPr>
        <w:fldChar w:fldCharType="end"/>
      </w:r>
      <w:r w:rsidRPr="009776D9">
        <w:rPr>
          <w:rFonts w:ascii="Arial" w:hAnsi="Arial" w:cs="Arial"/>
        </w:rPr>
        <w:t xml:space="preserve"> shows the energy generation activity in Brazil in 2019 used as case activity input in BESMM.</w:t>
      </w:r>
    </w:p>
    <w:p w14:paraId="1D643C12" w14:textId="77777777" w:rsidR="000641D4" w:rsidRPr="009776D9" w:rsidRDefault="000641D4" w:rsidP="000641D4">
      <w:pPr>
        <w:rPr>
          <w:rFonts w:ascii="Arial" w:hAnsi="Arial" w:cs="Arial"/>
        </w:rPr>
      </w:pPr>
    </w:p>
    <w:p w14:paraId="296142A7" w14:textId="77777777" w:rsidR="000641D4" w:rsidRPr="009776D9" w:rsidRDefault="000641D4" w:rsidP="000641D4">
      <w:pPr>
        <w:spacing w:after="240" w:line="240" w:lineRule="auto"/>
        <w:jc w:val="center"/>
        <w:rPr>
          <w:rFonts w:ascii="Arial" w:hAnsi="Arial" w:cs="Arial"/>
        </w:rPr>
      </w:pPr>
      <w:bookmarkStart w:id="3" w:name="_Ref122940109"/>
      <w:r w:rsidRPr="009776D9">
        <w:rPr>
          <w:rFonts w:ascii="Arial" w:hAnsi="Arial" w:cs="Arial"/>
        </w:rPr>
        <w:t xml:space="preserve">Table </w:t>
      </w:r>
      <w:r>
        <w:rPr>
          <w:rFonts w:ascii="Arial" w:hAnsi="Arial" w:cs="Arial"/>
          <w:lang w:val="en-AT"/>
        </w:rPr>
        <w:t>B</w:t>
      </w:r>
      <w:r w:rsidRPr="009776D9">
        <w:rPr>
          <w:rFonts w:ascii="Arial" w:hAnsi="Arial" w:cs="Arial"/>
        </w:rPr>
        <w:noBreakHyphen/>
      </w:r>
      <w:r w:rsidRPr="009776D9">
        <w:rPr>
          <w:rFonts w:ascii="Arial" w:hAnsi="Arial" w:cs="Arial"/>
        </w:rPr>
        <w:fldChar w:fldCharType="begin"/>
      </w:r>
      <w:r w:rsidRPr="009776D9">
        <w:rPr>
          <w:rFonts w:ascii="Arial" w:hAnsi="Arial" w:cs="Arial"/>
        </w:rPr>
        <w:instrText xml:space="preserve"> SEQ Table \* ARABIC \s 1 </w:instrText>
      </w:r>
      <w:r w:rsidRPr="009776D9">
        <w:rPr>
          <w:rFonts w:ascii="Arial" w:hAnsi="Arial" w:cs="Arial"/>
        </w:rPr>
        <w:fldChar w:fldCharType="separate"/>
      </w:r>
      <w:r>
        <w:rPr>
          <w:rFonts w:ascii="Arial" w:hAnsi="Arial" w:cs="Arial"/>
          <w:noProof/>
        </w:rPr>
        <w:t>2</w:t>
      </w:r>
      <w:r w:rsidRPr="009776D9">
        <w:rPr>
          <w:rFonts w:ascii="Arial" w:hAnsi="Arial" w:cs="Arial"/>
          <w:noProof/>
        </w:rPr>
        <w:fldChar w:fldCharType="end"/>
      </w:r>
      <w:bookmarkEnd w:id="3"/>
      <w:r w:rsidRPr="009776D9">
        <w:rPr>
          <w:rFonts w:ascii="Arial" w:hAnsi="Arial" w:cs="Arial"/>
        </w:rPr>
        <w:t xml:space="preserve"> – Energy generation activity of each subsystem according historical values from 2019 </w:t>
      </w:r>
      <w:r w:rsidRPr="009776D9">
        <w:rPr>
          <w:rFonts w:ascii="Arial" w:hAnsi="Arial" w:cs="Arial"/>
        </w:rPr>
        <w:fldChar w:fldCharType="begin" w:fldLock="1"/>
      </w:r>
      <w:r w:rsidRPr="009776D9">
        <w:rPr>
          <w:rFonts w:ascii="Arial" w:hAnsi="Arial" w:cs="Arial"/>
        </w:rPr>
        <w:instrText>ADDIN CSL_CITATION {"citationItems":[{"id":"ITEM-1","itemData":{"URL":"https://www.epe.gov.br/pt/publicacoes-dados-abertos/publicacoes/anuario-estatistico-de-energia-eletrica","accessed":{"date-parts":[["2020","11","9"]]},"author":[{"dropping-particle":"","family":"EPE","given":"","non-dropping-particle":"","parse-names":false,"suffix":""}],"id":"ITEM-1","issued":{"date-parts":[["2020"]]},"title":"Anuário Estatístico de Energia Elétrica 2020: ano base 2019","type":"webpage"},"uris":["http://www.mendeley.com/documents/?uuid=9532333e-2619-3712-9963-af1725280d47"]}],"mendeley":{"formattedCitation":"[EPE, 2020a]","manualFormatting":"[Adapted from EPE, 2020a]","plainTextFormattedCitation":"[EPE, 2020a]","previouslyFormattedCitation":"[EPE, 2020a]"},"properties":{"noteIndex":0},"schema":"https://github.com/citation-style-language/schema/raw/master/csl-citation.json"}</w:instrText>
      </w:r>
      <w:r w:rsidRPr="009776D9">
        <w:rPr>
          <w:rFonts w:ascii="Arial" w:hAnsi="Arial" w:cs="Arial"/>
        </w:rPr>
        <w:fldChar w:fldCharType="separate"/>
      </w:r>
      <w:r w:rsidRPr="009776D9">
        <w:rPr>
          <w:rFonts w:ascii="Arial" w:hAnsi="Arial" w:cs="Arial"/>
          <w:noProof/>
        </w:rPr>
        <w:t>[Adapted from EPE, 2020a]</w:t>
      </w:r>
      <w:r w:rsidRPr="009776D9">
        <w:rPr>
          <w:rFonts w:ascii="Arial" w:hAnsi="Arial" w:cs="Arial"/>
        </w:rPr>
        <w:fldChar w:fldCharType="end"/>
      </w:r>
      <w:r w:rsidRPr="009776D9">
        <w:rPr>
          <w:rFonts w:ascii="Arial" w:hAnsi="Arial" w:cs="Arial"/>
        </w:rPr>
        <w:t>.</w:t>
      </w:r>
    </w:p>
    <w:tbl>
      <w:tblPr>
        <w:tblW w:w="6088" w:type="dxa"/>
        <w:jc w:val="center"/>
        <w:tblCellMar>
          <w:left w:w="70" w:type="dxa"/>
          <w:right w:w="70" w:type="dxa"/>
        </w:tblCellMar>
        <w:tblLook w:val="04A0" w:firstRow="1" w:lastRow="0" w:firstColumn="1" w:lastColumn="0" w:noHBand="0" w:noVBand="1"/>
      </w:tblPr>
      <w:tblGrid>
        <w:gridCol w:w="967"/>
        <w:gridCol w:w="960"/>
        <w:gridCol w:w="1181"/>
        <w:gridCol w:w="1221"/>
        <w:gridCol w:w="960"/>
        <w:gridCol w:w="1280"/>
      </w:tblGrid>
      <w:tr w:rsidR="000641D4" w:rsidRPr="009776D9" w14:paraId="7AF078A9" w14:textId="77777777" w:rsidTr="00A46FBB">
        <w:trPr>
          <w:trHeight w:val="330"/>
          <w:jc w:val="center"/>
        </w:trPr>
        <w:tc>
          <w:tcPr>
            <w:tcW w:w="960" w:type="dxa"/>
            <w:tcBorders>
              <w:top w:val="single" w:sz="4" w:space="0" w:color="auto"/>
              <w:left w:val="nil"/>
              <w:bottom w:val="single" w:sz="8" w:space="0" w:color="auto"/>
              <w:right w:val="nil"/>
            </w:tcBorders>
            <w:shd w:val="clear" w:color="auto" w:fill="auto"/>
            <w:noWrap/>
            <w:vAlign w:val="bottom"/>
            <w:hideMark/>
          </w:tcPr>
          <w:p w14:paraId="1346B86B" w14:textId="77777777" w:rsidR="000641D4" w:rsidRPr="009776D9" w:rsidRDefault="000641D4" w:rsidP="00A46FBB">
            <w:pPr>
              <w:spacing w:line="240" w:lineRule="auto"/>
              <w:ind w:firstLine="0"/>
              <w:jc w:val="left"/>
              <w:rPr>
                <w:rFonts w:ascii="Arial" w:eastAsia="Times New Roman" w:hAnsi="Arial" w:cs="Arial"/>
                <w:szCs w:val="24"/>
                <w:lang w:eastAsia="pt-BR"/>
              </w:rPr>
            </w:pPr>
            <w:r w:rsidRPr="009776D9">
              <w:rPr>
                <w:rFonts w:ascii="Arial" w:eastAsia="Times New Roman" w:hAnsi="Arial" w:cs="Arial"/>
                <w:szCs w:val="24"/>
                <w:lang w:eastAsia="pt-BR"/>
              </w:rPr>
              <w:t> </w:t>
            </w:r>
          </w:p>
        </w:tc>
        <w:tc>
          <w:tcPr>
            <w:tcW w:w="960" w:type="dxa"/>
            <w:tcBorders>
              <w:top w:val="single" w:sz="4" w:space="0" w:color="auto"/>
              <w:left w:val="nil"/>
              <w:bottom w:val="single" w:sz="8" w:space="0" w:color="auto"/>
              <w:right w:val="nil"/>
            </w:tcBorders>
            <w:shd w:val="clear" w:color="auto" w:fill="auto"/>
            <w:noWrap/>
            <w:vAlign w:val="bottom"/>
            <w:hideMark/>
          </w:tcPr>
          <w:p w14:paraId="1B1D99BF"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North [GWa]</w:t>
            </w:r>
          </w:p>
        </w:tc>
        <w:tc>
          <w:tcPr>
            <w:tcW w:w="964" w:type="dxa"/>
            <w:tcBorders>
              <w:top w:val="single" w:sz="4" w:space="0" w:color="auto"/>
              <w:left w:val="nil"/>
              <w:bottom w:val="single" w:sz="8" w:space="0" w:color="auto"/>
              <w:right w:val="nil"/>
            </w:tcBorders>
            <w:shd w:val="clear" w:color="auto" w:fill="auto"/>
            <w:noWrap/>
            <w:vAlign w:val="bottom"/>
            <w:hideMark/>
          </w:tcPr>
          <w:p w14:paraId="599FE2B1"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Northeast [GWa]</w:t>
            </w:r>
          </w:p>
        </w:tc>
        <w:tc>
          <w:tcPr>
            <w:tcW w:w="964" w:type="dxa"/>
            <w:tcBorders>
              <w:top w:val="single" w:sz="4" w:space="0" w:color="auto"/>
              <w:left w:val="nil"/>
              <w:bottom w:val="single" w:sz="8" w:space="0" w:color="auto"/>
              <w:right w:val="nil"/>
            </w:tcBorders>
            <w:shd w:val="clear" w:color="auto" w:fill="auto"/>
            <w:noWrap/>
            <w:vAlign w:val="bottom"/>
            <w:hideMark/>
          </w:tcPr>
          <w:p w14:paraId="65C883E1"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Southeast [GWa]</w:t>
            </w:r>
          </w:p>
        </w:tc>
        <w:tc>
          <w:tcPr>
            <w:tcW w:w="960" w:type="dxa"/>
            <w:tcBorders>
              <w:top w:val="single" w:sz="4" w:space="0" w:color="auto"/>
              <w:left w:val="nil"/>
              <w:bottom w:val="single" w:sz="8" w:space="0" w:color="auto"/>
              <w:right w:val="nil"/>
            </w:tcBorders>
            <w:shd w:val="clear" w:color="auto" w:fill="auto"/>
            <w:noWrap/>
            <w:vAlign w:val="bottom"/>
            <w:hideMark/>
          </w:tcPr>
          <w:p w14:paraId="587837F0"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South [GWa]</w:t>
            </w:r>
          </w:p>
        </w:tc>
        <w:tc>
          <w:tcPr>
            <w:tcW w:w="1280" w:type="dxa"/>
            <w:tcBorders>
              <w:top w:val="single" w:sz="4" w:space="0" w:color="auto"/>
              <w:left w:val="nil"/>
              <w:bottom w:val="single" w:sz="8" w:space="0" w:color="auto"/>
              <w:right w:val="nil"/>
            </w:tcBorders>
            <w:shd w:val="clear" w:color="auto" w:fill="auto"/>
            <w:noWrap/>
            <w:vAlign w:val="bottom"/>
            <w:hideMark/>
          </w:tcPr>
          <w:p w14:paraId="1706CCEE"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Total [GWa]</w:t>
            </w:r>
          </w:p>
        </w:tc>
      </w:tr>
      <w:tr w:rsidR="000641D4" w:rsidRPr="009776D9" w14:paraId="604ABC8C" w14:textId="77777777" w:rsidTr="00A46FBB">
        <w:trPr>
          <w:trHeight w:val="315"/>
          <w:jc w:val="center"/>
        </w:trPr>
        <w:tc>
          <w:tcPr>
            <w:tcW w:w="960" w:type="dxa"/>
            <w:tcBorders>
              <w:top w:val="nil"/>
              <w:left w:val="nil"/>
              <w:bottom w:val="nil"/>
              <w:right w:val="nil"/>
            </w:tcBorders>
            <w:shd w:val="clear" w:color="auto" w:fill="auto"/>
            <w:noWrap/>
            <w:vAlign w:val="bottom"/>
            <w:hideMark/>
          </w:tcPr>
          <w:p w14:paraId="7651E00E" w14:textId="77777777" w:rsidR="000641D4" w:rsidRPr="009776D9" w:rsidRDefault="000641D4" w:rsidP="00A46FBB">
            <w:pPr>
              <w:spacing w:line="240" w:lineRule="auto"/>
              <w:ind w:firstLine="0"/>
              <w:jc w:val="left"/>
              <w:rPr>
                <w:rFonts w:ascii="Arial" w:eastAsia="Times New Roman" w:hAnsi="Arial" w:cs="Arial"/>
                <w:szCs w:val="24"/>
                <w:lang w:eastAsia="pt-BR"/>
              </w:rPr>
            </w:pPr>
            <w:r w:rsidRPr="009776D9">
              <w:rPr>
                <w:rFonts w:ascii="Arial" w:eastAsia="Times New Roman" w:hAnsi="Arial" w:cs="Arial"/>
                <w:szCs w:val="24"/>
                <w:lang w:eastAsia="pt-BR"/>
              </w:rPr>
              <w:t>Hydro</w:t>
            </w:r>
          </w:p>
        </w:tc>
        <w:tc>
          <w:tcPr>
            <w:tcW w:w="960" w:type="dxa"/>
            <w:tcBorders>
              <w:top w:val="nil"/>
              <w:left w:val="nil"/>
              <w:bottom w:val="nil"/>
              <w:right w:val="nil"/>
            </w:tcBorders>
            <w:shd w:val="clear" w:color="auto" w:fill="auto"/>
            <w:noWrap/>
            <w:vAlign w:val="bottom"/>
            <w:hideMark/>
          </w:tcPr>
          <w:p w14:paraId="3E0D723F"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7.5</w:t>
            </w:r>
          </w:p>
        </w:tc>
        <w:tc>
          <w:tcPr>
            <w:tcW w:w="964" w:type="dxa"/>
            <w:tcBorders>
              <w:top w:val="nil"/>
              <w:left w:val="nil"/>
              <w:bottom w:val="nil"/>
              <w:right w:val="nil"/>
            </w:tcBorders>
            <w:shd w:val="clear" w:color="auto" w:fill="auto"/>
            <w:noWrap/>
            <w:vAlign w:val="bottom"/>
            <w:hideMark/>
          </w:tcPr>
          <w:p w14:paraId="24E4A9CA"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2.5</w:t>
            </w:r>
          </w:p>
        </w:tc>
        <w:tc>
          <w:tcPr>
            <w:tcW w:w="964" w:type="dxa"/>
            <w:tcBorders>
              <w:top w:val="nil"/>
              <w:left w:val="nil"/>
              <w:bottom w:val="nil"/>
              <w:right w:val="nil"/>
            </w:tcBorders>
            <w:shd w:val="clear" w:color="auto" w:fill="auto"/>
            <w:noWrap/>
            <w:vAlign w:val="bottom"/>
            <w:hideMark/>
          </w:tcPr>
          <w:p w14:paraId="7352681F"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29.7</w:t>
            </w:r>
          </w:p>
        </w:tc>
        <w:tc>
          <w:tcPr>
            <w:tcW w:w="960" w:type="dxa"/>
            <w:tcBorders>
              <w:top w:val="nil"/>
              <w:left w:val="nil"/>
              <w:bottom w:val="nil"/>
              <w:right w:val="nil"/>
            </w:tcBorders>
            <w:shd w:val="clear" w:color="auto" w:fill="auto"/>
            <w:noWrap/>
            <w:vAlign w:val="bottom"/>
            <w:hideMark/>
          </w:tcPr>
          <w:p w14:paraId="3B7160E0"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8.0</w:t>
            </w:r>
          </w:p>
        </w:tc>
        <w:tc>
          <w:tcPr>
            <w:tcW w:w="1280" w:type="dxa"/>
            <w:tcBorders>
              <w:top w:val="nil"/>
              <w:left w:val="nil"/>
              <w:bottom w:val="nil"/>
              <w:right w:val="nil"/>
            </w:tcBorders>
            <w:shd w:val="clear" w:color="auto" w:fill="auto"/>
            <w:noWrap/>
            <w:vAlign w:val="bottom"/>
            <w:hideMark/>
          </w:tcPr>
          <w:p w14:paraId="079E55B5"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47.7</w:t>
            </w:r>
          </w:p>
        </w:tc>
      </w:tr>
      <w:tr w:rsidR="000641D4" w:rsidRPr="009776D9" w14:paraId="69FB25B5" w14:textId="77777777" w:rsidTr="00A46FBB">
        <w:trPr>
          <w:trHeight w:val="315"/>
          <w:jc w:val="center"/>
        </w:trPr>
        <w:tc>
          <w:tcPr>
            <w:tcW w:w="960" w:type="dxa"/>
            <w:tcBorders>
              <w:top w:val="nil"/>
              <w:left w:val="nil"/>
              <w:bottom w:val="nil"/>
              <w:right w:val="nil"/>
            </w:tcBorders>
            <w:shd w:val="clear" w:color="auto" w:fill="auto"/>
            <w:noWrap/>
            <w:vAlign w:val="bottom"/>
            <w:hideMark/>
          </w:tcPr>
          <w:p w14:paraId="2E301EC0" w14:textId="77777777" w:rsidR="000641D4" w:rsidRPr="009776D9" w:rsidRDefault="000641D4" w:rsidP="00A46FBB">
            <w:pPr>
              <w:spacing w:line="240" w:lineRule="auto"/>
              <w:ind w:firstLine="0"/>
              <w:jc w:val="left"/>
              <w:rPr>
                <w:rFonts w:ascii="Arial" w:eastAsia="Times New Roman" w:hAnsi="Arial" w:cs="Arial"/>
                <w:szCs w:val="24"/>
                <w:lang w:eastAsia="pt-BR"/>
              </w:rPr>
            </w:pPr>
            <w:r w:rsidRPr="009776D9">
              <w:rPr>
                <w:rFonts w:ascii="Arial" w:eastAsia="Times New Roman" w:hAnsi="Arial" w:cs="Arial"/>
                <w:szCs w:val="24"/>
                <w:lang w:eastAsia="pt-BR"/>
              </w:rPr>
              <w:t>Termo</w:t>
            </w:r>
          </w:p>
        </w:tc>
        <w:tc>
          <w:tcPr>
            <w:tcW w:w="960" w:type="dxa"/>
            <w:tcBorders>
              <w:top w:val="nil"/>
              <w:left w:val="nil"/>
              <w:bottom w:val="nil"/>
              <w:right w:val="nil"/>
            </w:tcBorders>
            <w:shd w:val="clear" w:color="auto" w:fill="auto"/>
            <w:noWrap/>
            <w:vAlign w:val="bottom"/>
            <w:hideMark/>
          </w:tcPr>
          <w:p w14:paraId="07188811"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1.8</w:t>
            </w:r>
          </w:p>
        </w:tc>
        <w:tc>
          <w:tcPr>
            <w:tcW w:w="964" w:type="dxa"/>
            <w:tcBorders>
              <w:top w:val="nil"/>
              <w:left w:val="nil"/>
              <w:bottom w:val="nil"/>
              <w:right w:val="nil"/>
            </w:tcBorders>
            <w:shd w:val="clear" w:color="auto" w:fill="auto"/>
            <w:noWrap/>
            <w:vAlign w:val="bottom"/>
            <w:hideMark/>
          </w:tcPr>
          <w:p w14:paraId="53289F42"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2.1</w:t>
            </w:r>
          </w:p>
        </w:tc>
        <w:tc>
          <w:tcPr>
            <w:tcW w:w="964" w:type="dxa"/>
            <w:tcBorders>
              <w:top w:val="nil"/>
              <w:left w:val="nil"/>
              <w:bottom w:val="nil"/>
              <w:right w:val="nil"/>
            </w:tcBorders>
            <w:shd w:val="clear" w:color="auto" w:fill="auto"/>
            <w:noWrap/>
            <w:vAlign w:val="bottom"/>
            <w:hideMark/>
          </w:tcPr>
          <w:p w14:paraId="587291D3"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6.1</w:t>
            </w:r>
          </w:p>
        </w:tc>
        <w:tc>
          <w:tcPr>
            <w:tcW w:w="960" w:type="dxa"/>
            <w:tcBorders>
              <w:top w:val="nil"/>
              <w:left w:val="nil"/>
              <w:bottom w:val="nil"/>
              <w:right w:val="nil"/>
            </w:tcBorders>
            <w:shd w:val="clear" w:color="auto" w:fill="auto"/>
            <w:noWrap/>
            <w:vAlign w:val="bottom"/>
            <w:hideMark/>
          </w:tcPr>
          <w:p w14:paraId="3E51263E"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1.2</w:t>
            </w:r>
          </w:p>
        </w:tc>
        <w:tc>
          <w:tcPr>
            <w:tcW w:w="1280" w:type="dxa"/>
            <w:tcBorders>
              <w:top w:val="nil"/>
              <w:left w:val="nil"/>
              <w:bottom w:val="nil"/>
              <w:right w:val="nil"/>
            </w:tcBorders>
            <w:shd w:val="clear" w:color="auto" w:fill="auto"/>
            <w:noWrap/>
            <w:vAlign w:val="bottom"/>
            <w:hideMark/>
          </w:tcPr>
          <w:p w14:paraId="4A34E327"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11.2</w:t>
            </w:r>
          </w:p>
        </w:tc>
      </w:tr>
      <w:tr w:rsidR="000641D4" w:rsidRPr="009776D9" w14:paraId="67C6D9D8" w14:textId="77777777" w:rsidTr="00A46FBB">
        <w:trPr>
          <w:trHeight w:val="315"/>
          <w:jc w:val="center"/>
        </w:trPr>
        <w:tc>
          <w:tcPr>
            <w:tcW w:w="960" w:type="dxa"/>
            <w:tcBorders>
              <w:top w:val="nil"/>
              <w:left w:val="nil"/>
              <w:bottom w:val="nil"/>
              <w:right w:val="nil"/>
            </w:tcBorders>
            <w:shd w:val="clear" w:color="auto" w:fill="auto"/>
            <w:noWrap/>
            <w:vAlign w:val="bottom"/>
            <w:hideMark/>
          </w:tcPr>
          <w:p w14:paraId="62E28916" w14:textId="77777777" w:rsidR="000641D4" w:rsidRPr="009776D9" w:rsidRDefault="000641D4" w:rsidP="00A46FBB">
            <w:pPr>
              <w:spacing w:line="240" w:lineRule="auto"/>
              <w:ind w:firstLine="0"/>
              <w:jc w:val="left"/>
              <w:rPr>
                <w:rFonts w:ascii="Arial" w:eastAsia="Times New Roman" w:hAnsi="Arial" w:cs="Arial"/>
                <w:szCs w:val="24"/>
                <w:lang w:eastAsia="pt-BR"/>
              </w:rPr>
            </w:pPr>
            <w:r w:rsidRPr="009776D9">
              <w:rPr>
                <w:rFonts w:ascii="Arial" w:eastAsia="Times New Roman" w:hAnsi="Arial" w:cs="Arial"/>
                <w:szCs w:val="24"/>
                <w:lang w:eastAsia="pt-BR"/>
              </w:rPr>
              <w:t>Wind</w:t>
            </w:r>
          </w:p>
        </w:tc>
        <w:tc>
          <w:tcPr>
            <w:tcW w:w="960" w:type="dxa"/>
            <w:tcBorders>
              <w:top w:val="nil"/>
              <w:left w:val="nil"/>
              <w:bottom w:val="nil"/>
              <w:right w:val="nil"/>
            </w:tcBorders>
            <w:shd w:val="clear" w:color="auto" w:fill="auto"/>
            <w:noWrap/>
            <w:vAlign w:val="bottom"/>
            <w:hideMark/>
          </w:tcPr>
          <w:p w14:paraId="27B20642"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w:t>
            </w:r>
          </w:p>
        </w:tc>
        <w:tc>
          <w:tcPr>
            <w:tcW w:w="964" w:type="dxa"/>
            <w:tcBorders>
              <w:top w:val="nil"/>
              <w:left w:val="nil"/>
              <w:bottom w:val="nil"/>
              <w:right w:val="nil"/>
            </w:tcBorders>
            <w:shd w:val="clear" w:color="auto" w:fill="auto"/>
            <w:noWrap/>
            <w:vAlign w:val="bottom"/>
            <w:hideMark/>
          </w:tcPr>
          <w:p w14:paraId="73A6CFB7"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5.5</w:t>
            </w:r>
          </w:p>
        </w:tc>
        <w:tc>
          <w:tcPr>
            <w:tcW w:w="964" w:type="dxa"/>
            <w:tcBorders>
              <w:top w:val="nil"/>
              <w:left w:val="nil"/>
              <w:bottom w:val="nil"/>
              <w:right w:val="nil"/>
            </w:tcBorders>
            <w:shd w:val="clear" w:color="auto" w:fill="auto"/>
            <w:noWrap/>
            <w:vAlign w:val="bottom"/>
            <w:hideMark/>
          </w:tcPr>
          <w:p w14:paraId="617B9318"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0.0</w:t>
            </w:r>
          </w:p>
        </w:tc>
        <w:tc>
          <w:tcPr>
            <w:tcW w:w="960" w:type="dxa"/>
            <w:tcBorders>
              <w:top w:val="nil"/>
              <w:left w:val="nil"/>
              <w:bottom w:val="nil"/>
              <w:right w:val="nil"/>
            </w:tcBorders>
            <w:shd w:val="clear" w:color="auto" w:fill="auto"/>
            <w:noWrap/>
            <w:vAlign w:val="bottom"/>
            <w:hideMark/>
          </w:tcPr>
          <w:p w14:paraId="5CC6E40C"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0.7</w:t>
            </w:r>
          </w:p>
        </w:tc>
        <w:tc>
          <w:tcPr>
            <w:tcW w:w="1280" w:type="dxa"/>
            <w:tcBorders>
              <w:top w:val="nil"/>
              <w:left w:val="nil"/>
              <w:bottom w:val="nil"/>
              <w:right w:val="nil"/>
            </w:tcBorders>
            <w:shd w:val="clear" w:color="auto" w:fill="auto"/>
            <w:noWrap/>
            <w:vAlign w:val="bottom"/>
            <w:hideMark/>
          </w:tcPr>
          <w:p w14:paraId="55278284"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6.4</w:t>
            </w:r>
          </w:p>
        </w:tc>
      </w:tr>
      <w:tr w:rsidR="000641D4" w:rsidRPr="009776D9" w14:paraId="03FC4A10" w14:textId="77777777" w:rsidTr="00A46FBB">
        <w:trPr>
          <w:trHeight w:val="315"/>
          <w:jc w:val="center"/>
        </w:trPr>
        <w:tc>
          <w:tcPr>
            <w:tcW w:w="960" w:type="dxa"/>
            <w:tcBorders>
              <w:top w:val="nil"/>
              <w:left w:val="nil"/>
              <w:bottom w:val="nil"/>
              <w:right w:val="nil"/>
            </w:tcBorders>
            <w:shd w:val="clear" w:color="auto" w:fill="auto"/>
            <w:noWrap/>
            <w:vAlign w:val="bottom"/>
            <w:hideMark/>
          </w:tcPr>
          <w:p w14:paraId="52A00FC8" w14:textId="77777777" w:rsidR="000641D4" w:rsidRPr="009776D9" w:rsidRDefault="000641D4" w:rsidP="00A46FBB">
            <w:pPr>
              <w:spacing w:line="240" w:lineRule="auto"/>
              <w:ind w:firstLine="0"/>
              <w:jc w:val="left"/>
              <w:rPr>
                <w:rFonts w:ascii="Arial" w:eastAsia="Times New Roman" w:hAnsi="Arial" w:cs="Arial"/>
                <w:szCs w:val="24"/>
                <w:lang w:eastAsia="pt-BR"/>
              </w:rPr>
            </w:pPr>
            <w:r w:rsidRPr="009776D9">
              <w:rPr>
                <w:rFonts w:ascii="Arial" w:eastAsia="Times New Roman" w:hAnsi="Arial" w:cs="Arial"/>
                <w:szCs w:val="24"/>
                <w:lang w:eastAsia="pt-BR"/>
              </w:rPr>
              <w:t>Solar</w:t>
            </w:r>
          </w:p>
        </w:tc>
        <w:tc>
          <w:tcPr>
            <w:tcW w:w="960" w:type="dxa"/>
            <w:tcBorders>
              <w:top w:val="nil"/>
              <w:left w:val="nil"/>
              <w:bottom w:val="nil"/>
              <w:right w:val="nil"/>
            </w:tcBorders>
            <w:shd w:val="clear" w:color="auto" w:fill="auto"/>
            <w:noWrap/>
            <w:vAlign w:val="bottom"/>
            <w:hideMark/>
          </w:tcPr>
          <w:p w14:paraId="618A3D1A"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0.0</w:t>
            </w:r>
          </w:p>
        </w:tc>
        <w:tc>
          <w:tcPr>
            <w:tcW w:w="964" w:type="dxa"/>
            <w:tcBorders>
              <w:top w:val="nil"/>
              <w:left w:val="nil"/>
              <w:bottom w:val="nil"/>
              <w:right w:val="nil"/>
            </w:tcBorders>
            <w:shd w:val="clear" w:color="auto" w:fill="auto"/>
            <w:noWrap/>
            <w:vAlign w:val="bottom"/>
            <w:hideMark/>
          </w:tcPr>
          <w:p w14:paraId="0F56F94C"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0.4</w:t>
            </w:r>
          </w:p>
        </w:tc>
        <w:tc>
          <w:tcPr>
            <w:tcW w:w="964" w:type="dxa"/>
            <w:tcBorders>
              <w:top w:val="nil"/>
              <w:left w:val="nil"/>
              <w:bottom w:val="nil"/>
              <w:right w:val="nil"/>
            </w:tcBorders>
            <w:shd w:val="clear" w:color="auto" w:fill="auto"/>
            <w:noWrap/>
            <w:vAlign w:val="bottom"/>
            <w:hideMark/>
          </w:tcPr>
          <w:p w14:paraId="16A68CD6"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0.2</w:t>
            </w:r>
          </w:p>
        </w:tc>
        <w:tc>
          <w:tcPr>
            <w:tcW w:w="960" w:type="dxa"/>
            <w:tcBorders>
              <w:top w:val="nil"/>
              <w:left w:val="nil"/>
              <w:bottom w:val="nil"/>
              <w:right w:val="nil"/>
            </w:tcBorders>
            <w:shd w:val="clear" w:color="auto" w:fill="auto"/>
            <w:noWrap/>
            <w:vAlign w:val="bottom"/>
            <w:hideMark/>
          </w:tcPr>
          <w:p w14:paraId="0E75B860"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0.0</w:t>
            </w:r>
          </w:p>
        </w:tc>
        <w:tc>
          <w:tcPr>
            <w:tcW w:w="1280" w:type="dxa"/>
            <w:tcBorders>
              <w:top w:val="nil"/>
              <w:left w:val="nil"/>
              <w:bottom w:val="nil"/>
              <w:right w:val="nil"/>
            </w:tcBorders>
            <w:shd w:val="clear" w:color="auto" w:fill="auto"/>
            <w:noWrap/>
            <w:vAlign w:val="bottom"/>
            <w:hideMark/>
          </w:tcPr>
          <w:p w14:paraId="552EEB0E"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0.6</w:t>
            </w:r>
          </w:p>
        </w:tc>
      </w:tr>
      <w:tr w:rsidR="000641D4" w:rsidRPr="009776D9" w14:paraId="25990AF2" w14:textId="77777777" w:rsidTr="00A46FBB">
        <w:trPr>
          <w:trHeight w:val="315"/>
          <w:jc w:val="center"/>
        </w:trPr>
        <w:tc>
          <w:tcPr>
            <w:tcW w:w="960" w:type="dxa"/>
            <w:tcBorders>
              <w:top w:val="nil"/>
              <w:left w:val="nil"/>
              <w:bottom w:val="nil"/>
              <w:right w:val="nil"/>
            </w:tcBorders>
            <w:shd w:val="clear" w:color="auto" w:fill="auto"/>
            <w:noWrap/>
            <w:vAlign w:val="bottom"/>
            <w:hideMark/>
          </w:tcPr>
          <w:p w14:paraId="00B1F05A" w14:textId="77777777" w:rsidR="000641D4" w:rsidRPr="009776D9" w:rsidRDefault="000641D4" w:rsidP="00A46FBB">
            <w:pPr>
              <w:spacing w:line="240" w:lineRule="auto"/>
              <w:ind w:firstLine="0"/>
              <w:jc w:val="left"/>
              <w:rPr>
                <w:rFonts w:ascii="Arial" w:eastAsia="Times New Roman" w:hAnsi="Arial" w:cs="Arial"/>
                <w:szCs w:val="24"/>
                <w:lang w:eastAsia="pt-BR"/>
              </w:rPr>
            </w:pPr>
            <w:r w:rsidRPr="009776D9">
              <w:rPr>
                <w:rFonts w:ascii="Arial" w:eastAsia="Times New Roman" w:hAnsi="Arial" w:cs="Arial"/>
                <w:szCs w:val="24"/>
                <w:lang w:eastAsia="pt-BR"/>
              </w:rPr>
              <w:t>Nuclear</w:t>
            </w:r>
          </w:p>
        </w:tc>
        <w:tc>
          <w:tcPr>
            <w:tcW w:w="960" w:type="dxa"/>
            <w:tcBorders>
              <w:top w:val="nil"/>
              <w:left w:val="nil"/>
              <w:bottom w:val="nil"/>
              <w:right w:val="nil"/>
            </w:tcBorders>
            <w:shd w:val="clear" w:color="auto" w:fill="auto"/>
            <w:noWrap/>
            <w:vAlign w:val="bottom"/>
            <w:hideMark/>
          </w:tcPr>
          <w:p w14:paraId="455E6A70" w14:textId="77777777" w:rsidR="000641D4" w:rsidRPr="009776D9" w:rsidRDefault="000641D4" w:rsidP="00A46FBB">
            <w:pPr>
              <w:spacing w:line="240" w:lineRule="auto"/>
              <w:ind w:firstLine="0"/>
              <w:jc w:val="center"/>
              <w:rPr>
                <w:rFonts w:ascii="Arial" w:eastAsia="Times New Roman" w:hAnsi="Arial" w:cs="Arial"/>
                <w:szCs w:val="24"/>
                <w:lang w:eastAsia="pt-BR"/>
              </w:rPr>
            </w:pPr>
          </w:p>
        </w:tc>
        <w:tc>
          <w:tcPr>
            <w:tcW w:w="964" w:type="dxa"/>
            <w:tcBorders>
              <w:top w:val="nil"/>
              <w:left w:val="nil"/>
              <w:bottom w:val="nil"/>
              <w:right w:val="nil"/>
            </w:tcBorders>
            <w:shd w:val="clear" w:color="auto" w:fill="auto"/>
            <w:noWrap/>
            <w:vAlign w:val="bottom"/>
            <w:hideMark/>
          </w:tcPr>
          <w:p w14:paraId="522617F0" w14:textId="77777777" w:rsidR="000641D4" w:rsidRPr="009776D9" w:rsidRDefault="000641D4" w:rsidP="00A46FBB">
            <w:pPr>
              <w:spacing w:line="240" w:lineRule="auto"/>
              <w:ind w:firstLine="0"/>
              <w:jc w:val="center"/>
              <w:rPr>
                <w:rFonts w:ascii="Arial" w:eastAsia="Times New Roman" w:hAnsi="Arial" w:cs="Arial"/>
                <w:sz w:val="20"/>
                <w:szCs w:val="20"/>
                <w:lang w:eastAsia="pt-BR"/>
              </w:rPr>
            </w:pPr>
          </w:p>
        </w:tc>
        <w:tc>
          <w:tcPr>
            <w:tcW w:w="964" w:type="dxa"/>
            <w:tcBorders>
              <w:top w:val="nil"/>
              <w:left w:val="nil"/>
              <w:bottom w:val="nil"/>
              <w:right w:val="nil"/>
            </w:tcBorders>
            <w:shd w:val="clear" w:color="auto" w:fill="auto"/>
            <w:noWrap/>
            <w:vAlign w:val="bottom"/>
            <w:hideMark/>
          </w:tcPr>
          <w:p w14:paraId="1A7141E8"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1.8</w:t>
            </w:r>
          </w:p>
        </w:tc>
        <w:tc>
          <w:tcPr>
            <w:tcW w:w="960" w:type="dxa"/>
            <w:tcBorders>
              <w:top w:val="nil"/>
              <w:left w:val="nil"/>
              <w:bottom w:val="nil"/>
              <w:right w:val="nil"/>
            </w:tcBorders>
            <w:shd w:val="clear" w:color="auto" w:fill="auto"/>
            <w:noWrap/>
            <w:vAlign w:val="bottom"/>
            <w:hideMark/>
          </w:tcPr>
          <w:p w14:paraId="05FA3475" w14:textId="77777777" w:rsidR="000641D4" w:rsidRPr="009776D9" w:rsidRDefault="000641D4" w:rsidP="00A46FBB">
            <w:pPr>
              <w:spacing w:line="240" w:lineRule="auto"/>
              <w:ind w:firstLine="0"/>
              <w:jc w:val="center"/>
              <w:rPr>
                <w:rFonts w:ascii="Arial" w:eastAsia="Times New Roman" w:hAnsi="Arial" w:cs="Arial"/>
                <w:szCs w:val="24"/>
                <w:lang w:eastAsia="pt-BR"/>
              </w:rPr>
            </w:pPr>
          </w:p>
        </w:tc>
        <w:tc>
          <w:tcPr>
            <w:tcW w:w="1280" w:type="dxa"/>
            <w:tcBorders>
              <w:top w:val="nil"/>
              <w:left w:val="nil"/>
              <w:bottom w:val="nil"/>
              <w:right w:val="nil"/>
            </w:tcBorders>
            <w:shd w:val="clear" w:color="auto" w:fill="auto"/>
            <w:noWrap/>
            <w:vAlign w:val="bottom"/>
            <w:hideMark/>
          </w:tcPr>
          <w:p w14:paraId="6ABB1171"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1.8</w:t>
            </w:r>
          </w:p>
        </w:tc>
      </w:tr>
      <w:tr w:rsidR="000641D4" w:rsidRPr="009776D9" w14:paraId="0AD4333E" w14:textId="77777777" w:rsidTr="00A46FBB">
        <w:trPr>
          <w:trHeight w:val="330"/>
          <w:jc w:val="center"/>
        </w:trPr>
        <w:tc>
          <w:tcPr>
            <w:tcW w:w="960" w:type="dxa"/>
            <w:tcBorders>
              <w:top w:val="single" w:sz="4" w:space="0" w:color="auto"/>
              <w:left w:val="nil"/>
              <w:bottom w:val="single" w:sz="8" w:space="0" w:color="auto"/>
              <w:right w:val="nil"/>
            </w:tcBorders>
            <w:shd w:val="clear" w:color="auto" w:fill="auto"/>
            <w:noWrap/>
            <w:vAlign w:val="bottom"/>
            <w:hideMark/>
          </w:tcPr>
          <w:p w14:paraId="7B45B928" w14:textId="77777777" w:rsidR="000641D4" w:rsidRPr="009776D9" w:rsidRDefault="000641D4" w:rsidP="00A46FBB">
            <w:pPr>
              <w:spacing w:line="240" w:lineRule="auto"/>
              <w:ind w:firstLine="0"/>
              <w:jc w:val="left"/>
              <w:rPr>
                <w:rFonts w:ascii="Arial" w:eastAsia="Times New Roman" w:hAnsi="Arial" w:cs="Arial"/>
                <w:szCs w:val="24"/>
                <w:lang w:eastAsia="pt-BR"/>
              </w:rPr>
            </w:pPr>
            <w:r w:rsidRPr="009776D9">
              <w:rPr>
                <w:rFonts w:ascii="Arial" w:eastAsia="Times New Roman" w:hAnsi="Arial" w:cs="Arial"/>
                <w:szCs w:val="24"/>
                <w:lang w:eastAsia="pt-BR"/>
              </w:rPr>
              <w:t>Total</w:t>
            </w:r>
          </w:p>
        </w:tc>
        <w:tc>
          <w:tcPr>
            <w:tcW w:w="960" w:type="dxa"/>
            <w:tcBorders>
              <w:top w:val="single" w:sz="4" w:space="0" w:color="auto"/>
              <w:left w:val="nil"/>
              <w:bottom w:val="single" w:sz="8" w:space="0" w:color="auto"/>
              <w:right w:val="nil"/>
            </w:tcBorders>
            <w:shd w:val="clear" w:color="auto" w:fill="auto"/>
            <w:noWrap/>
            <w:vAlign w:val="bottom"/>
            <w:hideMark/>
          </w:tcPr>
          <w:p w14:paraId="3CDD2C2B"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9.5</w:t>
            </w:r>
          </w:p>
        </w:tc>
        <w:tc>
          <w:tcPr>
            <w:tcW w:w="964" w:type="dxa"/>
            <w:tcBorders>
              <w:top w:val="single" w:sz="4" w:space="0" w:color="auto"/>
              <w:left w:val="nil"/>
              <w:bottom w:val="single" w:sz="8" w:space="0" w:color="auto"/>
              <w:right w:val="nil"/>
            </w:tcBorders>
            <w:shd w:val="clear" w:color="auto" w:fill="auto"/>
            <w:noWrap/>
            <w:vAlign w:val="bottom"/>
            <w:hideMark/>
          </w:tcPr>
          <w:p w14:paraId="0BF4322F"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10.5</w:t>
            </w:r>
          </w:p>
        </w:tc>
        <w:tc>
          <w:tcPr>
            <w:tcW w:w="964" w:type="dxa"/>
            <w:tcBorders>
              <w:top w:val="single" w:sz="4" w:space="0" w:color="auto"/>
              <w:left w:val="nil"/>
              <w:bottom w:val="single" w:sz="8" w:space="0" w:color="auto"/>
              <w:right w:val="nil"/>
            </w:tcBorders>
            <w:shd w:val="clear" w:color="auto" w:fill="auto"/>
            <w:noWrap/>
            <w:vAlign w:val="bottom"/>
            <w:hideMark/>
          </w:tcPr>
          <w:p w14:paraId="3235F045"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37.9</w:t>
            </w:r>
          </w:p>
        </w:tc>
        <w:tc>
          <w:tcPr>
            <w:tcW w:w="960" w:type="dxa"/>
            <w:tcBorders>
              <w:top w:val="single" w:sz="4" w:space="0" w:color="auto"/>
              <w:left w:val="nil"/>
              <w:bottom w:val="single" w:sz="8" w:space="0" w:color="auto"/>
              <w:right w:val="nil"/>
            </w:tcBorders>
            <w:shd w:val="clear" w:color="auto" w:fill="auto"/>
            <w:noWrap/>
            <w:vAlign w:val="bottom"/>
            <w:hideMark/>
          </w:tcPr>
          <w:p w14:paraId="5A4F4D93"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9.9</w:t>
            </w:r>
          </w:p>
        </w:tc>
        <w:tc>
          <w:tcPr>
            <w:tcW w:w="1280" w:type="dxa"/>
            <w:tcBorders>
              <w:top w:val="single" w:sz="4" w:space="0" w:color="auto"/>
              <w:left w:val="nil"/>
              <w:bottom w:val="single" w:sz="8" w:space="0" w:color="auto"/>
              <w:right w:val="nil"/>
            </w:tcBorders>
            <w:shd w:val="clear" w:color="auto" w:fill="auto"/>
            <w:noWrap/>
            <w:vAlign w:val="bottom"/>
            <w:hideMark/>
          </w:tcPr>
          <w:p w14:paraId="2F5FD752"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67.8</w:t>
            </w:r>
          </w:p>
        </w:tc>
      </w:tr>
    </w:tbl>
    <w:p w14:paraId="09BE8BD2" w14:textId="77777777" w:rsidR="000641D4" w:rsidRPr="009776D9" w:rsidRDefault="000641D4" w:rsidP="000641D4">
      <w:pPr>
        <w:spacing w:after="240" w:line="240" w:lineRule="auto"/>
        <w:jc w:val="center"/>
        <w:rPr>
          <w:rFonts w:ascii="Arial" w:hAnsi="Arial" w:cs="Arial"/>
        </w:rPr>
      </w:pPr>
    </w:p>
    <w:p w14:paraId="6E06B6E7" w14:textId="77777777" w:rsidR="000641D4" w:rsidRPr="009776D9" w:rsidRDefault="000641D4" w:rsidP="000641D4">
      <w:pPr>
        <w:rPr>
          <w:rFonts w:ascii="Arial" w:hAnsi="Arial" w:cs="Arial"/>
        </w:rPr>
      </w:pPr>
      <w:r w:rsidRPr="009776D9">
        <w:rPr>
          <w:rFonts w:ascii="Arial" w:hAnsi="Arial" w:cs="Arial"/>
        </w:rPr>
        <w:t xml:space="preserve">Demand projections used the rate of the SSP2-45 for Latin America developed by </w:t>
      </w:r>
      <w:r w:rsidRPr="009776D9">
        <w:rPr>
          <w:rFonts w:ascii="Arial" w:hAnsi="Arial" w:cs="Arial"/>
        </w:rPr>
        <w:fldChar w:fldCharType="begin" w:fldLock="1"/>
      </w:r>
      <w:r w:rsidRPr="009776D9">
        <w:rPr>
          <w:rFonts w:ascii="Arial" w:hAnsi="Arial" w:cs="Arial"/>
        </w:rPr>
        <w:instrText>ADDIN CSL_CITATION {"citationItems":[{"id":"ITEM-1","itemData":{"DOI":"10.5281/ZENODO.3363345","author":[{"dropping-particle":"","family":"Huppmann","given":"Daniel","non-dropping-particle":"","parse-names":false,"suffix":""},{"dropping-particle":"","family":"Kriegler","given":"Elmar","non-dropping-particle":"","parse-names":false,"suffix":""},{"dropping-particle":"","family":"Krey","given":"Volker","non-dropping-particle":"","parse-names":false,"suffix":""},{"dropping-particle":"","family":"Riahi","given":"Keywan","non-dropping-particle":"","parse-names":false,"suffix":""},{"dropping-particle":"","family":"Rogelj","given":"Joeri","non-dropping-particle":"","parse-names":false,"suffix":""},{"dropping-particle":"","family":"Calvin","given":"Katherine","non-dropping-particle":"","parse-names":false,"suffix":""},{"dropping-particle":"","family":"Humpenoeder","given":"Florian","non-dropping-particle":"","parse-names":false,"suffix":""},{"dropping-particle":"","family":"Popp","given":"Alexander","non-dropping-particle":"","parse-names":false,"suffix":""},{"dropping-particle":"","family":"Rose","given":"Steven K.","non-dropping-particle":"","parse-names":false,"suffix":""},{"dropping-particle":"","family":"Weyant","given":"John","non-dropping-particle":"","parse-names":false,"suffix":""},{"dropping-particle":"","family":"Bauer","given":"Nico","non-dropping-particle":"","parse-names":false,"suffix":""},{"dropping-particle":"","family":"Bertram","given":"Christoph","non-dropping-particle":"","parse-names":false,"suffix":""},{"dropping-particle":"","family":"Bosetti","given":"Valentina","non-dropping-particle":"","parse-names":false,"suffix":""},{"dropping-particle":"","family":"Doelman","given":"Jonathan","non-dropping-particle":"","parse-names":false,"suffix":""},{"dropping-particle":"","family":"Drouet","given":"Laurent","non-dropping-particle":"","parse-names":false,"suffix":""},{"dropping-particle":"","family":"Emmerling","given":"Johannes","non-dropping-particle":"","parse-names":false,"suffix":""},{"dropping-particle":"","family":"Frank","given":"Stefan","non-dropping-particle":"","parse-names":false,"suffix":""},{"dropping-particle":"","family":"Fujimori","given":"Shinichiro","non-dropping-particle":"","parse-names":false,"suffix":""},{"dropping-particle":"","family":"Gernaat","given":"David","non-dropping-particle":"","parse-names":false,"suffix":""},{"dropping-particle":"","family":"Grubler","given":"Arnulf","non-dropping-particle":"","parse-names":false,"suffix":""},{"dropping-particle":"","family":"Guivarch","given":"Celine","non-dropping-particle":"","parse-names":false,"suffix":""},{"dropping-particle":"","family":"Haigh","given":"Martin","non-dropping-particle":"","parse-names":false,"suffix":""},{"dropping-particle":"","family":"Holz","given":"Christian","non-dropping-particle":"","parse-names":false,"suffix":""},{"dropping-particle":"","family":"Iyer","given":"Gokul","non-dropping-particle":"","parse-names":false,"suffix":""},{"dropping-particle":"","family":"Kato","given":"Etsushi","non-dropping-particle":"","parse-names":false,"suffix":""},{"dropping-particle":"","family":"Keramidas","given":"Kimon","non-dropping-particle":"","parse-names":false,"suffix":""},{"dropping-particle":"","family":"Kitous","given":"Alban","non-dropping-particle":"","parse-names":false,"suffix":""},{"dropping-particle":"","family":"Leblanc","given":"Florian","non-dropping-particle":"","parse-names":false,"suffix":""},{"dropping-particle":"","family":"Liu","given":"Jing-Yu","non-dropping-particle":"","parse-names":false,"suffix":""},{"dropping-particle":"","family":"Löffler","given":"Konstantin","non-dropping-particle":"","parse-names":false,"suffix":""},{"dropping-particle":"","family":"Luderer","given":"Gunnar","non-dropping-particle":"","parse-names":false,"suffix":""},{"dropping-particle":"","family":"Marcucci","given":"Adriana","non-dropping-particle":"","parse-names":false,"suffix":""},{"dropping-particle":"","family":"McCollum","given":"David","non-dropping-particle":"","parse-names":false,"suffix":""},{"dropping-particle":"","family":"Mima","given":"Silvana","non-dropping-particle":"","parse-names":false,"suffix":""},{"dropping-particle":"","family":"Sands","given":"Ronald D.","non-dropping-particle":"","parse-names":false,"suffix":""},{"dropping-particle":"","family":"Sano","given":"Fuminori","non-dropping-particle":"","parse-names":false,"suffix":""},{"dropping-particle":"","family":"Strefler","given":"Jessica","non-dropping-particle":"","parse-names":false,"suffix":""},{"dropping-particle":"","family":"Tsutsui","given":"Junichi","non-dropping-particle":"","parse-names":false,"suffix":""},{"dropping-particle":"","family":"Vuuren","given":"Detlef","non-dropping-particle":"Van","parse-names":false,"suffix":""},{"dropping-particle":"","family":"Vrontisi","given":"Zoi","non-dropping-particle":"","parse-names":false,"suffix":""},{"dropping-particle":"","family":"Wise","given":"Marshall","non-dropping-particle":"","parse-names":false,"suffix":""},{"dropping-particle":"","family":"Zhang","given":"Runsen","non-dropping-particle":"","parse-names":false,"suffix":""}],"id":"ITEM-1","issued":{"date-parts":[["2019","8","8"]]},"title":"IAMC 1.5°C Scenario Explorer and Data hosted by IIASA","type":"article-journal"},"uris":["http://www.mendeley.com/documents/?uuid=509c7bab-5ffc-3835-a4bd-d9f694bc7426"]}],"mendeley":{"formattedCitation":"[Huppmann &lt;i&gt;et al.&lt;/i&gt;, 2019a]","manualFormatting":"Huppmann et al., 2019a","plainTextFormattedCitation":"[Huppmann et al., 2019a]","previouslyFormattedCitation":"[Huppmann &lt;i&gt;et al.&lt;/i&gt;, 2019a]"},"properties":{"noteIndex":0},"schema":"https://github.com/citation-style-language/schema/raw/master/csl-citation.json"}</w:instrText>
      </w:r>
      <w:r w:rsidRPr="009776D9">
        <w:rPr>
          <w:rFonts w:ascii="Arial" w:hAnsi="Arial" w:cs="Arial"/>
        </w:rPr>
        <w:fldChar w:fldCharType="separate"/>
      </w:r>
      <w:r w:rsidRPr="009776D9">
        <w:rPr>
          <w:rFonts w:ascii="Arial" w:hAnsi="Arial" w:cs="Arial"/>
          <w:noProof/>
        </w:rPr>
        <w:t>Huppmann et al., 2019a</w:t>
      </w:r>
      <w:r w:rsidRPr="009776D9">
        <w:rPr>
          <w:rFonts w:ascii="Arial" w:hAnsi="Arial" w:cs="Arial"/>
        </w:rPr>
        <w:fldChar w:fldCharType="end"/>
      </w:r>
      <w:r w:rsidRPr="009776D9">
        <w:rPr>
          <w:rFonts w:ascii="Arial" w:hAnsi="Arial" w:cs="Arial"/>
        </w:rPr>
        <w:t xml:space="preserve">, for MESSAGE-GLOBIOM 1.0. Overall, an SSP socioeconomic pathway describes the drivers of how the future might unfold in terms of population growth, governance efficiency, inequality across and within countries, socio-economic developments, institutional factors, technology change, and environmental conditions that are influenced by these factors </w:t>
      </w:r>
      <w:r w:rsidRPr="009776D9">
        <w:rPr>
          <w:rFonts w:ascii="Arial" w:hAnsi="Arial" w:cs="Arial"/>
        </w:rPr>
        <w:fldChar w:fldCharType="begin" w:fldLock="1"/>
      </w:r>
      <w:r w:rsidRPr="009776D9">
        <w:rPr>
          <w:rFonts w:ascii="Arial" w:hAnsi="Arial" w:cs="Arial"/>
        </w:rPr>
        <w:instrText>ADDIN CSL_CITATION {"citationItems":[{"id":"ITEM-1","itemData":{"DOI":"10.1016/J.GLOENVCHA.2016.05.009","ISSN":"0959-3780","abstract":"This paper presents the overview of the Shared Socioeconomic Pathways (SSPs) and their energy, land use, and emissions implications. The SSPs are part of a new scenario framework, established by the climate change research community in order to facilitate the integrated analysis of future climate impacts, vulnerabilities, adaptation, and mitigation. The pathways were developed over the last years as a joint community effort and describe plausible major global developments that together would lead in the future to different challenges for mitigation and adaptation to climate change. The SSPs are based on five narratives describing alternative socio-economic developments, including sustainable development, regional rivalry, inequality, fossil-fueled development, and middle-of-the-road development. The long-term demographic and economic projections of the SSPs depict a wide uncertainty range consistent with the scenario literature. A multi-model approach was used for the elaboration of the energy, land-use and the emissions trajectories of SSP-based scenarios. The baseline scenarios lead to global energy consumption of 400–1200 EJ in 2100, and feature vastly different land-use dynamics, ranging from a possible reduction in cropland area up to a massive expansion by more than 700 million hectares by 2100. The associated annual CO2 emissions of the baseline scenarios range from about 25 GtCO2 to more than 120 GtCO2 per year by 2100. With respect to mitigation, we find that associated costs strongly depend on three factors: (1) the policy assumptions, (2) the socio-economic narrative, and (3) the stringency of the target. The carbon price for reaching the target of 2.6 W/m2 that is consistent with a temperature change limit of 2 °C, differs in our analysis thus by about a factor of three across the SSP marker scenarios. Moreover, many models could not reach this target from the SSPs with high mitigation challenges. While the SSPs were designed to represent different mitigation and adaptation challenges, the resulting narratives and quantifications span a wide range of different futures broadly representative of the current literature. This allows their subsequent use and development in new assessments and research projects. Critical next steps for the community scenario process will, among others, involve regional and sectoral extensions, further elaboration of the adaptation and impacts dimension, as well as employing the SSP scenarios with the new generatio…","author":[{"dropping-particle":"","family":"Riahi","given":"Keywan","non-dropping-particle":"","parse-names":false,"suffix":""},{"dropping-particle":"","family":"Vuuren","given":"Detlef P.","non-dropping-particle":"van","parse-names":false,"suffix":""},{"dropping-particle":"","family":"Kriegler","given":"Elmar","non-dropping-particle":"","parse-names":false,"suffix":""},{"dropping-particle":"","family":"Edmonds","given":"Jae","non-dropping-particle":"","parse-names":false,"suffix":""},{"dropping-particle":"","family":"O'Neill","given":"Brian C.","non-dropping-particle":"","parse-names":false,"suffix":""},{"dropping-particle":"","family":"Fujimori","given":"Shinichiro","non-dropping-particle":"","parse-names":false,"suffix":""},{"dropping-particle":"","family":"Bauer","given":"Nico","non-dropping-particle":"","parse-names":false,"suffix":""},{"dropping-particle":"","family":"Calvin","given":"Katherine","non-dropping-particle":"","parse-names":false,"suffix":""},{"dropping-particle":"","family":"Dellink","given":"Rob","non-dropping-particle":"","parse-names":false,"suffix":""},{"dropping-particle":"","family":"Fricko","given":"Oliver","non-dropping-particle":"","parse-names":false,"suffix":""},{"dropping-particle":"","family":"Lutz","given":"Wolfgang","non-dropping-particle":"","parse-names":false,"suffix":""},{"dropping-particle":"","family":"Popp","given":"Alexander","non-dropping-particle":"","parse-names":false,"suffix":""},{"dropping-particle":"","family":"Cuaresma","given":"Jesus Crespo","non-dropping-particle":"","parse-names":false,"suffix":""},{"dropping-particle":"","family":"KC","given":"Samir","non-dropping-particle":"","parse-names":false,"suffix":""},{"dropping-particle":"","family":"Leimbach","given":"Marian","non-dropping-particle":"","parse-names":false,"suffix":""},{"dropping-particle":"","family":"Jiang","given":"Leiwen","non-dropping-particle":"","parse-names":false,"suffix":""},{"dropping-particle":"","family":"Kram","given":"Tom","non-dropping-particle":"","parse-names":false,"suffix":""},{"dropping-particle":"","family":"Rao","given":"Shilpa","non-dropping-particle":"","parse-names":false,"suffix":""},{"dropping-particle":"","family":"Emmerling","given":"Johannes","non-dropping-particle":"","parse-names":false,"suffix":""},{"dropping-particle":"","family":"Ebi","given":"Kristie","non-dropping-particle":"","parse-names":false,"suffix":""},{"dropping-particle":"","family":"Hasegawa","given":"Tomoko","non-dropping-particle":"","parse-names":false,"suffix":""},{"dropping-particle":"","family":"Havlik","given":"Petr","non-dropping-particle":"","parse-names":false,"suffix":""},{"dropping-particle":"","family":"Humpenöder","given":"Florian","non-dropping-particle":"","parse-names":false,"suffix":""},{"dropping-particle":"","family":"Silva","given":"Lara Aleluia","non-dropping-particle":"Da","parse-names":false,"suffix":""},{"dropping-particle":"","family":"Smith","given":"Steve","non-dropping-particle":"","parse-names":false,"suffix":""},{"dropping-particle":"","family":"Stehfest","given":"Elke","non-dropping-particle":"","parse-names":false,"suffix":""},{"dropping-particle":"","family":"Bosetti","given":"Valentina","non-dropping-particle":"","parse-names":false,"suffix":""},{"dropping-particle":"","family":"Eom","given":"Jiyong","non-dropping-particle":"","parse-names":false,"suffix":""},{"dropping-particle":"","family":"Gernaat","given":"David","non-dropping-particle":"","parse-names":false,"suffix":""},{"dropping-particle":"","family":"Masui","given":"Toshihiko","non-dropping-particle":"","parse-names":false,"suffix":""},{"dropping-particle":"","family":"Rogelj","given":"Joeri","non-dropping-particle":"","parse-names":false,"suffix":""},{"dropping-particle":"","family":"Strefler","given":"Jessica","non-dropping-particle":"","parse-names":false,"suffix":""},{"dropping-particle":"","family":"Drouet","given":"Laurent","non-dropping-particle":"","parse-names":false,"suffix":""},{"dropping-particle":"","family":"Krey","given":"Volker","non-dropping-particle":"","parse-names":false,"suffix":""},{"dropping-particle":"","family":"Luderer","given":"Gunnar","non-dropping-particle":"","parse-names":false,"suffix":""},{"dropping-particle":"","family":"Harmsen","given":"Mathijs","non-dropping-particle":"","parse-names":false,"suffix":""},{"dropping-particle":"","family":"Takahashi","given":"Kiyoshi","non-dropping-particle":"","parse-names":false,"suffix":""},{"dropping-particle":"","family":"Baumstark","given":"Lavinia","non-dropping-particle":"","parse-names":false,"suffix":""},{"dropping-particle":"","family":"Doelman","given":"Jonathan C.","non-dropping-particle":"","parse-names":false,"suffix":""},{"dropping-particle":"","family":"Kainuma","given":"Mikiko","non-dropping-particle":"","parse-names":false,"suffix":""},{"dropping-particle":"","family":"Klimont","given":"Zbigniew","non-dropping-particle":"","parse-names":false,"suffix":""},{"dropping-particle":"","family":"Marangoni","given":"Giacomo","non-dropping-particle":"","parse-names":false,"suffix":""},{"dropping-particle":"","family":"Lotze-Campen","given":"Hermann","non-dropping-particle":"","parse-names":false,"suffix":""},{"dropping-particle":"","family":"Obersteiner","given":"Michael","non-dropping-particle":"","parse-names":false,"suffix":""},{"dropping-particle":"","family":"Tabeau","given":"Andrzej","non-dropping-particle":"","parse-names":false,"suffix":""},{"dropping-particle":"","family":"Tavoni","given":"Massimo","non-dropping-particle":"","parse-names":false,"suffix":""}],"container-title":"Global Environmental Change","id":"ITEM-1","issued":{"date-parts":[["2017","1","1"]]},"page":"153-168","publisher":"Pergamon","title":"The Shared Socioeconomic Pathways and their energy, land use, and greenhouse gas emissions implications: An overview","type":"article-journal","volume":"42"},"uris":["http://www.mendeley.com/documents/?uuid=d2cc7d94-da37-3900-b93a-af1ef7647de4"]}],"mendeley":{"formattedCitation":"[Riahi &lt;i&gt;et al.&lt;/i&gt;, 2017]","plainTextFormattedCitation":"[Riahi et al., 2017]","previouslyFormattedCitation":"[Riahi &lt;i&gt;et al.&lt;/i&gt;, 2017]"},"properties":{"noteIndex":0},"schema":"https://github.com/citation-style-language/schema/raw/master/csl-citation.json"}</w:instrText>
      </w:r>
      <w:r w:rsidRPr="009776D9">
        <w:rPr>
          <w:rFonts w:ascii="Arial" w:hAnsi="Arial" w:cs="Arial"/>
        </w:rPr>
        <w:fldChar w:fldCharType="separate"/>
      </w:r>
      <w:r w:rsidRPr="009776D9">
        <w:rPr>
          <w:rFonts w:ascii="Arial" w:hAnsi="Arial" w:cs="Arial"/>
          <w:noProof/>
        </w:rPr>
        <w:t>[Riahi et al., 2017]</w:t>
      </w:r>
      <w:r w:rsidRPr="009776D9">
        <w:rPr>
          <w:rFonts w:ascii="Arial" w:hAnsi="Arial" w:cs="Arial"/>
        </w:rPr>
        <w:fldChar w:fldCharType="end"/>
      </w:r>
      <w:r w:rsidRPr="009776D9">
        <w:rPr>
          <w:rFonts w:ascii="Arial" w:hAnsi="Arial" w:cs="Arial"/>
        </w:rPr>
        <w:t xml:space="preserve">. And, SSP2 outlines a middle-of-the-road approach to mitigating and adapting to climate change </w:t>
      </w:r>
      <w:r w:rsidRPr="009776D9">
        <w:rPr>
          <w:rFonts w:ascii="Arial" w:hAnsi="Arial" w:cs="Arial"/>
        </w:rPr>
        <w:fldChar w:fldCharType="begin" w:fldLock="1"/>
      </w:r>
      <w:r w:rsidRPr="009776D9">
        <w:rPr>
          <w:rFonts w:ascii="Arial" w:hAnsi="Arial" w:cs="Arial"/>
        </w:rPr>
        <w:instrText>ADDIN CSL_CITATION {"citationItems":[{"id":"ITEM-1","itemData":{"DOI":"10.1016/J.GLOENVCHA.2016.06.004","ISSN":"0959-3780","abstract":"Studies of global environmental change make extensive use of scenarios to explore how the future can evolve under a consistent set of assumptions. The recently developed Shared Socioeconomic Pathways (SSPs) create a framework for the study of climate-related scenario outcomes. Their five narratives span a wide range of worlds that vary in their challenges for climate change mitigation and adaptation. Here we provide background on the quantification that has been selected to serve as the reference, or ‘marker’, implementation for SSP2. The SSP2 narrative describes a middle-of-the-road development in the mitigation and adaptation challenges space. We explain how the narrative has been translated into quantitative assumptions in the IIASA Integrated Assessment Modelling Framework. We show that our SSP2 marker implementation occupies a central position for key metrics along the mitigation and adaptation challenge dimensions. For many dimensions the SSP2 marker implementation also reflects an extension of the historical experience, particularly in terms of carbon and energy intensity improvements in its baseline. This leads to a steady emissions increase over the 21st century, with projected end-of-century warming nearing 4 °C relative to preindustrial levels. On the other hand, SSP2 also shows that global-mean temperature increase can be limited to below 2 °C, pending stringent climate policies throughout the world. The added value of the SSP2 marker implementation for the wider scientific community is that it can serve as a starting point to further explore integrated solutions for achieving multiple societal objectives in light of the climate adaptation and mitigation challenges that society could face over the 21st century.","author":[{"dropping-particle":"","family":"Fricko","given":"Oliver","non-dropping-particle":"","parse-names":false,"suffix":""},{"dropping-particle":"","family":"Havlik","given":"Petr","non-dropping-particle":"","parse-names":false,"suffix":""},{"dropping-particle":"","family":"Rogelj","given":"Joeri","non-dropping-particle":"","parse-names":false,"suffix":""},{"dropping-particle":"","family":"Klimont","given":"Zbigniew","non-dropping-particle":"","parse-names":false,"suffix":""},{"dropping-particle":"","family":"Gusti","given":"Mykola","non-dropping-particle":"","parse-names":false,"suffix":""},{"dropping-particle":"","family":"Johnson","given":"Nils","non-dropping-particle":"","parse-names":false,"suffix":""},{"dropping-particle":"","family":"Kolp","given":"Peter","non-dropping-particle":"","parse-names":false,"suffix":""},{"dropping-particle":"","family":"Strubegger","given":"Manfred","non-dropping-particle":"","parse-names":false,"suffix":""},{"dropping-particle":"","family":"Valin","given":"Hugo","non-dropping-particle":"","parse-names":false,"suffix":""},{"dropping-particle":"","family":"Amann","given":"Markus","non-dropping-particle":"","parse-names":false,"suffix":""},{"dropping-particle":"","family":"Ermolieva","given":"Tatiana","non-dropping-particle":"","parse-names":false,"suffix":""},{"dropping-particle":"","family":"Forsell","given":"Nicklas","non-dropping-particle":"","parse-names":false,"suffix":""},{"dropping-particle":"","family":"Herrero","given":"Mario","non-dropping-particle":"","parse-names":false,"suffix":""},{"dropping-particle":"","family":"Heyes","given":"Chris","non-dropping-particle":"","parse-names":false,"suffix":""},{"dropping-particle":"","family":"Kindermann","given":"Georg","non-dropping-particle":"","parse-names":false,"suffix":""},{"dropping-particle":"","family":"Krey","given":"Volker","non-dropping-particle":"","parse-names":false,"suffix":""},{"dropping-particle":"","family":"McCollum","given":"David L.","non-dropping-particle":"","parse-names":false,"suffix":""},{"dropping-particle":"","family":"Obersteiner","given":"Michael","non-dropping-particle":"","parse-names":false,"suffix":""},{"dropping-particle":"","family":"Pachauri","given":"Shonali","non-dropping-particle":"","parse-names":false,"suffix":""},{"dropping-particle":"","family":"Rao","given":"Shilpa","non-dropping-particle":"","parse-names":false,"suffix":""},{"dropping-particle":"","family":"Schmid","given":"Erwin","non-dropping-particle":"","parse-names":false,"suffix":""},{"dropping-particle":"","family":"Schoepp","given":"Wolfgang","non-dropping-particle":"","parse-names":false,"suffix":""},{"dropping-particle":"","family":"Riahi","given":"Keywan","non-dropping-particle":"","parse-names":false,"suffix":""}],"container-title":"Global Environmental Change","id":"ITEM-1","issued":{"date-parts":[["2017","1","1"]]},"page":"251-267","publisher":"Pergamon","title":"The marker quantification of the Shared Socioeconomic Pathway 2: A middle-of-the-road scenario for the 21st century","type":"article-journal","volume":"42"},"uris":["http://www.mendeley.com/documents/?uuid=645625e7-5095-3b04-b8c6-4bafa8146e4f"]}],"mendeley":{"formattedCitation":"[Fricko &lt;i&gt;et al.&lt;/i&gt;, 2017]","plainTextFormattedCitation":"[Fricko et al., 2017]","previouslyFormattedCitation":"[Fricko &lt;i&gt;et al.&lt;/i&gt;, 2017]"},"properties":{"noteIndex":0},"schema":"https://github.com/citation-style-language/schema/raw/master/csl-citation.json"}</w:instrText>
      </w:r>
      <w:r w:rsidRPr="009776D9">
        <w:rPr>
          <w:rFonts w:ascii="Arial" w:hAnsi="Arial" w:cs="Arial"/>
        </w:rPr>
        <w:fldChar w:fldCharType="separate"/>
      </w:r>
      <w:r w:rsidRPr="009776D9">
        <w:rPr>
          <w:rFonts w:ascii="Arial" w:hAnsi="Arial" w:cs="Arial"/>
          <w:noProof/>
        </w:rPr>
        <w:t>[Fricko et al., 2017]</w:t>
      </w:r>
      <w:r w:rsidRPr="009776D9">
        <w:rPr>
          <w:rFonts w:ascii="Arial" w:hAnsi="Arial" w:cs="Arial"/>
        </w:rPr>
        <w:fldChar w:fldCharType="end"/>
      </w:r>
      <w:r w:rsidRPr="009776D9">
        <w:rPr>
          <w:rFonts w:ascii="Arial" w:hAnsi="Arial" w:cs="Arial"/>
        </w:rPr>
        <w:t xml:space="preserve">. </w:t>
      </w:r>
      <w:r w:rsidRPr="009776D9">
        <w:rPr>
          <w:rFonts w:ascii="Arial" w:hAnsi="Arial" w:cs="Arial"/>
        </w:rPr>
        <w:fldChar w:fldCharType="begin"/>
      </w:r>
      <w:r w:rsidRPr="009776D9">
        <w:rPr>
          <w:rFonts w:ascii="Arial" w:hAnsi="Arial" w:cs="Arial"/>
        </w:rPr>
        <w:instrText xml:space="preserve"> REF _Ref123033608 \h  \* MERGEFORMAT </w:instrText>
      </w:r>
      <w:r w:rsidRPr="009776D9">
        <w:rPr>
          <w:rFonts w:ascii="Arial" w:hAnsi="Arial" w:cs="Arial"/>
        </w:rPr>
      </w:r>
      <w:r w:rsidRPr="009776D9">
        <w:rPr>
          <w:rFonts w:ascii="Arial" w:hAnsi="Arial" w:cs="Arial"/>
        </w:rPr>
        <w:fldChar w:fldCharType="separate"/>
      </w:r>
      <w:r w:rsidRPr="009776D9">
        <w:rPr>
          <w:rFonts w:ascii="Arial" w:hAnsi="Arial" w:cs="Arial"/>
        </w:rPr>
        <w:t xml:space="preserve">Figure </w:t>
      </w:r>
      <w:r w:rsidRPr="00DB5D52">
        <w:rPr>
          <w:rFonts w:ascii="Arial" w:hAnsi="Arial" w:cs="Arial"/>
          <w:noProof/>
        </w:rPr>
        <w:t>B</w:t>
      </w:r>
      <w:r w:rsidRPr="009776D9">
        <w:rPr>
          <w:rFonts w:ascii="Arial" w:hAnsi="Arial" w:cs="Arial"/>
          <w:noProof/>
        </w:rPr>
        <w:noBreakHyphen/>
      </w:r>
      <w:r>
        <w:rPr>
          <w:rFonts w:ascii="Arial" w:hAnsi="Arial" w:cs="Arial"/>
          <w:noProof/>
        </w:rPr>
        <w:t>2</w:t>
      </w:r>
      <w:r w:rsidRPr="009776D9">
        <w:rPr>
          <w:rFonts w:ascii="Arial" w:hAnsi="Arial" w:cs="Arial"/>
        </w:rPr>
        <w:fldChar w:fldCharType="end"/>
      </w:r>
      <w:r w:rsidRPr="009776D9">
        <w:rPr>
          <w:rFonts w:ascii="Arial" w:hAnsi="Arial" w:cs="Arial"/>
        </w:rPr>
        <w:t xml:space="preserve"> shows the projections for each node of the BESMM based on the growth rates of SSP2-45 for Latin America. According to this projection, the energy demand in Brazil in 2100 will be 368 GWa, with almost 60% of that demand coming from the Southeast/ Midwest alone. </w:t>
      </w:r>
    </w:p>
    <w:p w14:paraId="12A39DED" w14:textId="77777777" w:rsidR="000641D4" w:rsidRPr="009776D9" w:rsidRDefault="000641D4" w:rsidP="000641D4">
      <w:pPr>
        <w:keepNext/>
        <w:ind w:firstLine="0"/>
        <w:rPr>
          <w:rFonts w:ascii="Arial" w:hAnsi="Arial" w:cs="Arial"/>
        </w:rPr>
      </w:pPr>
      <w:r w:rsidRPr="009776D9">
        <w:rPr>
          <w:rFonts w:ascii="Arial" w:hAnsi="Arial" w:cs="Arial"/>
          <w:noProof/>
        </w:rPr>
        <w:lastRenderedPageBreak/>
        <w:drawing>
          <wp:inline distT="0" distB="0" distL="0" distR="0" wp14:anchorId="3DCA0227" wp14:editId="09C1723B">
            <wp:extent cx="5367131" cy="3355451"/>
            <wp:effectExtent l="0" t="0" r="5080" b="0"/>
            <wp:docPr id="4" name="Gráfico 4">
              <a:extLst xmlns:a="http://schemas.openxmlformats.org/drawingml/2006/main">
                <a:ext uri="{FF2B5EF4-FFF2-40B4-BE49-F238E27FC236}">
                  <a16:creationId xmlns:a16="http://schemas.microsoft.com/office/drawing/2014/main" id="{0F8C38F1-CED7-C9CD-58DB-08D28C24E3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9EE570E" w14:textId="77777777" w:rsidR="000641D4" w:rsidRPr="009776D9" w:rsidRDefault="000641D4" w:rsidP="000641D4">
      <w:pPr>
        <w:jc w:val="center"/>
        <w:rPr>
          <w:rFonts w:ascii="Arial" w:hAnsi="Arial" w:cs="Arial"/>
        </w:rPr>
      </w:pPr>
      <w:bookmarkStart w:id="4" w:name="_Ref123033608"/>
      <w:bookmarkStart w:id="5" w:name="_Toc137400227"/>
      <w:r w:rsidRPr="009776D9">
        <w:rPr>
          <w:rFonts w:ascii="Arial" w:hAnsi="Arial" w:cs="Arial"/>
        </w:rPr>
        <w:t xml:space="preserve">Figure </w:t>
      </w:r>
      <w:r>
        <w:rPr>
          <w:rFonts w:ascii="Arial" w:hAnsi="Arial" w:cs="Arial"/>
          <w:lang w:val="en-AT"/>
        </w:rPr>
        <w:t>B</w:t>
      </w:r>
      <w:r w:rsidRPr="009776D9">
        <w:rPr>
          <w:rFonts w:ascii="Arial" w:hAnsi="Arial" w:cs="Arial"/>
        </w:rPr>
        <w:noBreakHyphen/>
      </w:r>
      <w:r w:rsidRPr="009776D9">
        <w:rPr>
          <w:rFonts w:ascii="Arial" w:hAnsi="Arial" w:cs="Arial"/>
        </w:rPr>
        <w:fldChar w:fldCharType="begin"/>
      </w:r>
      <w:r w:rsidRPr="009776D9">
        <w:rPr>
          <w:rFonts w:ascii="Arial" w:hAnsi="Arial" w:cs="Arial"/>
        </w:rPr>
        <w:instrText xml:space="preserve"> SEQ Figure \* ARABIC \s 1 </w:instrText>
      </w:r>
      <w:r w:rsidRPr="009776D9">
        <w:rPr>
          <w:rFonts w:ascii="Arial" w:hAnsi="Arial" w:cs="Arial"/>
        </w:rPr>
        <w:fldChar w:fldCharType="separate"/>
      </w:r>
      <w:r>
        <w:rPr>
          <w:rFonts w:ascii="Arial" w:hAnsi="Arial" w:cs="Arial"/>
          <w:noProof/>
        </w:rPr>
        <w:t>2</w:t>
      </w:r>
      <w:r w:rsidRPr="009776D9">
        <w:rPr>
          <w:rFonts w:ascii="Arial" w:hAnsi="Arial" w:cs="Arial"/>
          <w:noProof/>
        </w:rPr>
        <w:fldChar w:fldCharType="end"/>
      </w:r>
      <w:bookmarkEnd w:id="4"/>
      <w:r w:rsidRPr="009776D9">
        <w:rPr>
          <w:rFonts w:ascii="Arial" w:hAnsi="Arial" w:cs="Arial"/>
        </w:rPr>
        <w:t xml:space="preserve"> – Energy demand projections for each node based on SSP2-45 scenario.</w:t>
      </w:r>
      <w:bookmarkEnd w:id="5"/>
    </w:p>
    <w:p w14:paraId="378E7247" w14:textId="77777777" w:rsidR="000641D4" w:rsidRPr="009776D9" w:rsidRDefault="000641D4" w:rsidP="000641D4">
      <w:pPr>
        <w:rPr>
          <w:rFonts w:ascii="Arial" w:hAnsi="Arial" w:cs="Arial"/>
        </w:rPr>
      </w:pPr>
    </w:p>
    <w:p w14:paraId="6EC2DE7D" w14:textId="77777777" w:rsidR="000641D4" w:rsidRPr="009776D9" w:rsidRDefault="000641D4" w:rsidP="000641D4">
      <w:pPr>
        <w:rPr>
          <w:rFonts w:ascii="Arial" w:hAnsi="Arial" w:cs="Arial"/>
        </w:rPr>
      </w:pPr>
      <w:r w:rsidRPr="009776D9">
        <w:rPr>
          <w:rFonts w:ascii="Arial" w:hAnsi="Arial" w:cs="Arial"/>
        </w:rPr>
        <w:t xml:space="preserve">Technology prices were based on the PNE 2050 </w:t>
      </w:r>
      <w:r w:rsidRPr="009776D9">
        <w:rPr>
          <w:rFonts w:ascii="Arial" w:hAnsi="Arial" w:cs="Arial"/>
        </w:rPr>
        <w:fldChar w:fldCharType="begin" w:fldLock="1"/>
      </w:r>
      <w:r w:rsidRPr="009776D9">
        <w:rPr>
          <w:rFonts w:ascii="Arial" w:hAnsi="Arial" w:cs="Arial"/>
        </w:rPr>
        <w:instrText>ADDIN CSL_CITATION {"citationItems":[{"id":"ITEM-1","itemData":{"author":[{"dropping-particle":"","family":"BRASIL","given":"","non-dropping-particle":"","parse-names":false,"suffix":""}],"id":"ITEM-1","issued":{"date-parts":[["2020"]]},"publisher-place":"Brasília","title":"PNE 2050: Plano Nacional de Energia","type":"report"},"uris":["http://www.mendeley.com/documents/?uuid=90554d52-5987-3224-a880-7ea9998689ee"]}],"mendeley":{"formattedCitation":"[BRASIL, 2020]","plainTextFormattedCitation":"[BRASIL, 2020]","previouslyFormattedCitation":"[BRASIL, 2020]"},"properties":{"noteIndex":0},"schema":"https://github.com/citation-style-language/schema/raw/master/csl-citation.json"}</w:instrText>
      </w:r>
      <w:r w:rsidRPr="009776D9">
        <w:rPr>
          <w:rFonts w:ascii="Arial" w:hAnsi="Arial" w:cs="Arial"/>
        </w:rPr>
        <w:fldChar w:fldCharType="separate"/>
      </w:r>
      <w:r w:rsidRPr="009776D9">
        <w:rPr>
          <w:rFonts w:ascii="Arial" w:hAnsi="Arial" w:cs="Arial"/>
          <w:noProof/>
        </w:rPr>
        <w:t>[BRASIL, 2020]</w:t>
      </w:r>
      <w:r w:rsidRPr="009776D9">
        <w:rPr>
          <w:rFonts w:ascii="Arial" w:hAnsi="Arial" w:cs="Arial"/>
        </w:rPr>
        <w:fldChar w:fldCharType="end"/>
      </w:r>
      <w:r w:rsidRPr="009776D9">
        <w:rPr>
          <w:rFonts w:ascii="Arial" w:hAnsi="Arial" w:cs="Arial"/>
        </w:rPr>
        <w:t xml:space="preserve">. According to Brasil (2020) The investment costs and fix costs, for each source, were obtained from the EPE database, constituted from information on energy purchase auctions and national and international references. Investment costs include all direct costs (civil works, equipment, connection and environment) and indirect costs of the development. The variable cost values reflect the sum of the fixed and variable values, except for dispatchable sources (where the variable O&amp;M is contemplated in the unit variable cost). </w:t>
      </w:r>
      <w:r w:rsidRPr="009776D9">
        <w:rPr>
          <w:rFonts w:ascii="Arial" w:hAnsi="Arial" w:cs="Arial"/>
        </w:rPr>
        <w:fldChar w:fldCharType="begin"/>
      </w:r>
      <w:r w:rsidRPr="009776D9">
        <w:rPr>
          <w:rFonts w:ascii="Arial" w:hAnsi="Arial" w:cs="Arial"/>
        </w:rPr>
        <w:instrText xml:space="preserve"> REF _Ref123036512 \h  \* MERGEFORMAT </w:instrText>
      </w:r>
      <w:r w:rsidRPr="009776D9">
        <w:rPr>
          <w:rFonts w:ascii="Arial" w:hAnsi="Arial" w:cs="Arial"/>
        </w:rPr>
      </w:r>
      <w:r w:rsidRPr="009776D9">
        <w:rPr>
          <w:rFonts w:ascii="Arial" w:hAnsi="Arial" w:cs="Arial"/>
        </w:rPr>
        <w:fldChar w:fldCharType="separate"/>
      </w:r>
      <w:r w:rsidRPr="00DB5D52">
        <w:rPr>
          <w:rFonts w:ascii="Arial" w:hAnsi="Arial" w:cs="Arial"/>
        </w:rPr>
        <w:t xml:space="preserve">Table </w:t>
      </w:r>
      <w:r w:rsidRPr="00DB5D52">
        <w:rPr>
          <w:rFonts w:ascii="Arial" w:hAnsi="Arial" w:cs="Arial"/>
          <w:noProof/>
        </w:rPr>
        <w:t>B</w:t>
      </w:r>
      <w:r w:rsidRPr="00DB5D52">
        <w:rPr>
          <w:rFonts w:ascii="Arial" w:hAnsi="Arial" w:cs="Arial"/>
          <w:noProof/>
        </w:rPr>
        <w:noBreakHyphen/>
        <w:t>3</w:t>
      </w:r>
      <w:r w:rsidRPr="009776D9">
        <w:rPr>
          <w:rFonts w:ascii="Arial" w:hAnsi="Arial" w:cs="Arial"/>
        </w:rPr>
        <w:fldChar w:fldCharType="end"/>
      </w:r>
      <w:r w:rsidRPr="009776D9">
        <w:rPr>
          <w:rFonts w:ascii="Arial" w:hAnsi="Arial" w:cs="Arial"/>
        </w:rPr>
        <w:t xml:space="preserve"> present all the values used in the BESMM.</w:t>
      </w:r>
    </w:p>
    <w:p w14:paraId="44DE534D" w14:textId="77777777" w:rsidR="000641D4" w:rsidRPr="009776D9" w:rsidRDefault="000641D4" w:rsidP="000641D4">
      <w:pPr>
        <w:rPr>
          <w:rFonts w:ascii="Arial" w:hAnsi="Arial" w:cs="Arial"/>
        </w:rPr>
      </w:pPr>
    </w:p>
    <w:p w14:paraId="202E8E69" w14:textId="77777777" w:rsidR="000641D4" w:rsidRPr="009776D9" w:rsidRDefault="000641D4" w:rsidP="000641D4">
      <w:pPr>
        <w:pStyle w:val="NoSpacing"/>
      </w:pPr>
      <w:bookmarkStart w:id="6" w:name="_Ref123036512"/>
      <w:r w:rsidRPr="009776D9">
        <w:t xml:space="preserve">Table </w:t>
      </w:r>
      <w:r>
        <w:rPr>
          <w:lang w:val="en-AT"/>
        </w:rPr>
        <w:t>B</w:t>
      </w:r>
      <w:r w:rsidRPr="009776D9">
        <w:noBreakHyphen/>
      </w:r>
      <w:r w:rsidRPr="009776D9">
        <w:fldChar w:fldCharType="begin"/>
      </w:r>
      <w:r w:rsidRPr="009776D9">
        <w:instrText xml:space="preserve"> SEQ Table \* ARABIC \s 1 </w:instrText>
      </w:r>
      <w:r w:rsidRPr="009776D9">
        <w:fldChar w:fldCharType="separate"/>
      </w:r>
      <w:r>
        <w:rPr>
          <w:noProof/>
        </w:rPr>
        <w:t>3</w:t>
      </w:r>
      <w:r w:rsidRPr="009776D9">
        <w:rPr>
          <w:noProof/>
        </w:rPr>
        <w:fldChar w:fldCharType="end"/>
      </w:r>
      <w:bookmarkEnd w:id="6"/>
      <w:r w:rsidRPr="009776D9">
        <w:t xml:space="preserve"> - Technologies costs, including investments costs, fix costs and variable costs [Adapted from BRASIL, 2020].</w:t>
      </w:r>
    </w:p>
    <w:tbl>
      <w:tblPr>
        <w:tblW w:w="9072" w:type="dxa"/>
        <w:tblLayout w:type="fixed"/>
        <w:tblCellMar>
          <w:left w:w="70" w:type="dxa"/>
          <w:right w:w="70" w:type="dxa"/>
        </w:tblCellMar>
        <w:tblLook w:val="04A0" w:firstRow="1" w:lastRow="0" w:firstColumn="1" w:lastColumn="0" w:noHBand="0" w:noVBand="1"/>
      </w:tblPr>
      <w:tblGrid>
        <w:gridCol w:w="2552"/>
        <w:gridCol w:w="2268"/>
        <w:gridCol w:w="1984"/>
        <w:gridCol w:w="2268"/>
      </w:tblGrid>
      <w:tr w:rsidR="000641D4" w:rsidRPr="009776D9" w14:paraId="12EFC314" w14:textId="77777777" w:rsidTr="00A46FBB">
        <w:trPr>
          <w:trHeight w:val="315"/>
        </w:trPr>
        <w:tc>
          <w:tcPr>
            <w:tcW w:w="2552" w:type="dxa"/>
            <w:tcBorders>
              <w:top w:val="single" w:sz="4" w:space="0" w:color="auto"/>
              <w:left w:val="nil"/>
              <w:bottom w:val="single" w:sz="4" w:space="0" w:color="auto"/>
              <w:right w:val="nil"/>
            </w:tcBorders>
            <w:shd w:val="clear" w:color="auto" w:fill="auto"/>
            <w:noWrap/>
            <w:vAlign w:val="bottom"/>
            <w:hideMark/>
          </w:tcPr>
          <w:p w14:paraId="351A1907" w14:textId="77777777" w:rsidR="000641D4" w:rsidRPr="009776D9" w:rsidRDefault="000641D4" w:rsidP="00A46FBB">
            <w:pPr>
              <w:spacing w:line="240" w:lineRule="auto"/>
              <w:ind w:firstLine="0"/>
              <w:jc w:val="left"/>
              <w:rPr>
                <w:rFonts w:ascii="Arial" w:eastAsia="Times New Roman" w:hAnsi="Arial" w:cs="Arial"/>
                <w:szCs w:val="24"/>
                <w:lang w:eastAsia="pt-BR"/>
              </w:rPr>
            </w:pPr>
            <w:r w:rsidRPr="009776D9">
              <w:rPr>
                <w:rFonts w:ascii="Arial" w:eastAsia="Times New Roman" w:hAnsi="Arial" w:cs="Arial"/>
                <w:szCs w:val="24"/>
                <w:lang w:eastAsia="pt-BR"/>
              </w:rPr>
              <w:t>Technology</w:t>
            </w:r>
          </w:p>
        </w:tc>
        <w:tc>
          <w:tcPr>
            <w:tcW w:w="2268" w:type="dxa"/>
            <w:tcBorders>
              <w:top w:val="single" w:sz="4" w:space="0" w:color="auto"/>
              <w:left w:val="nil"/>
              <w:bottom w:val="single" w:sz="4" w:space="0" w:color="auto"/>
              <w:right w:val="nil"/>
            </w:tcBorders>
            <w:shd w:val="clear" w:color="auto" w:fill="auto"/>
            <w:noWrap/>
            <w:vAlign w:val="center"/>
            <w:hideMark/>
          </w:tcPr>
          <w:p w14:paraId="453EF4F0"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Investment costs [106USD</w:t>
            </w:r>
            <w:r w:rsidRPr="009776D9">
              <w:rPr>
                <w:rFonts w:ascii="Arial" w:eastAsia="Times New Roman" w:hAnsi="Arial" w:cs="Arial"/>
                <w:szCs w:val="24"/>
                <w:vertAlign w:val="superscript"/>
                <w:lang w:eastAsia="pt-BR"/>
              </w:rPr>
              <w:t>1</w:t>
            </w:r>
            <w:r w:rsidRPr="009776D9">
              <w:rPr>
                <w:rFonts w:ascii="Arial" w:eastAsia="Times New Roman" w:hAnsi="Arial" w:cs="Arial"/>
                <w:szCs w:val="24"/>
                <w:lang w:eastAsia="pt-BR"/>
              </w:rPr>
              <w:t>/GW]</w:t>
            </w:r>
          </w:p>
        </w:tc>
        <w:tc>
          <w:tcPr>
            <w:tcW w:w="1984" w:type="dxa"/>
            <w:tcBorders>
              <w:top w:val="single" w:sz="4" w:space="0" w:color="auto"/>
              <w:left w:val="nil"/>
              <w:bottom w:val="single" w:sz="4" w:space="0" w:color="auto"/>
              <w:right w:val="nil"/>
            </w:tcBorders>
            <w:shd w:val="clear" w:color="auto" w:fill="auto"/>
            <w:noWrap/>
            <w:vAlign w:val="center"/>
            <w:hideMark/>
          </w:tcPr>
          <w:p w14:paraId="1B477B66"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Fix cost [106USD</w:t>
            </w:r>
            <w:r w:rsidRPr="009776D9">
              <w:rPr>
                <w:rFonts w:ascii="Arial" w:eastAsia="Times New Roman" w:hAnsi="Arial" w:cs="Arial"/>
                <w:szCs w:val="24"/>
                <w:vertAlign w:val="superscript"/>
                <w:lang w:eastAsia="pt-BR"/>
              </w:rPr>
              <w:t>1</w:t>
            </w:r>
            <w:r w:rsidRPr="009776D9">
              <w:rPr>
                <w:rFonts w:ascii="Arial" w:eastAsia="Times New Roman" w:hAnsi="Arial" w:cs="Arial"/>
                <w:szCs w:val="24"/>
                <w:lang w:eastAsia="pt-BR"/>
              </w:rPr>
              <w:t>/GW]</w:t>
            </w:r>
          </w:p>
        </w:tc>
        <w:tc>
          <w:tcPr>
            <w:tcW w:w="2268" w:type="dxa"/>
            <w:tcBorders>
              <w:top w:val="single" w:sz="4" w:space="0" w:color="auto"/>
              <w:left w:val="nil"/>
              <w:bottom w:val="single" w:sz="4" w:space="0" w:color="auto"/>
              <w:right w:val="nil"/>
            </w:tcBorders>
            <w:shd w:val="clear" w:color="auto" w:fill="auto"/>
            <w:noWrap/>
            <w:vAlign w:val="center"/>
            <w:hideMark/>
          </w:tcPr>
          <w:p w14:paraId="2055B439"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Variable cost [106USD</w:t>
            </w:r>
            <w:r w:rsidRPr="009776D9">
              <w:rPr>
                <w:rFonts w:ascii="Arial" w:eastAsia="Times New Roman" w:hAnsi="Arial" w:cs="Arial"/>
                <w:szCs w:val="24"/>
                <w:vertAlign w:val="superscript"/>
                <w:lang w:eastAsia="pt-BR"/>
              </w:rPr>
              <w:t>1</w:t>
            </w:r>
            <w:r w:rsidRPr="009776D9">
              <w:rPr>
                <w:rFonts w:ascii="Arial" w:eastAsia="Times New Roman" w:hAnsi="Arial" w:cs="Arial"/>
                <w:szCs w:val="24"/>
                <w:lang w:eastAsia="pt-BR"/>
              </w:rPr>
              <w:t>/GW]</w:t>
            </w:r>
          </w:p>
        </w:tc>
      </w:tr>
      <w:tr w:rsidR="000641D4" w:rsidRPr="009776D9" w14:paraId="329E5A98" w14:textId="77777777" w:rsidTr="00A46FBB">
        <w:trPr>
          <w:trHeight w:val="315"/>
        </w:trPr>
        <w:tc>
          <w:tcPr>
            <w:tcW w:w="2552" w:type="dxa"/>
            <w:tcBorders>
              <w:top w:val="nil"/>
              <w:left w:val="nil"/>
              <w:bottom w:val="nil"/>
              <w:right w:val="nil"/>
            </w:tcBorders>
            <w:shd w:val="clear" w:color="auto" w:fill="auto"/>
            <w:noWrap/>
            <w:vAlign w:val="bottom"/>
            <w:hideMark/>
          </w:tcPr>
          <w:p w14:paraId="131B9DFA" w14:textId="77777777" w:rsidR="000641D4" w:rsidRPr="009776D9" w:rsidRDefault="000641D4" w:rsidP="00A46FBB">
            <w:pPr>
              <w:spacing w:line="240" w:lineRule="auto"/>
              <w:ind w:firstLine="0"/>
              <w:jc w:val="left"/>
              <w:rPr>
                <w:rFonts w:ascii="Arial" w:eastAsia="Times New Roman" w:hAnsi="Arial" w:cs="Arial"/>
                <w:szCs w:val="24"/>
                <w:lang w:eastAsia="pt-BR"/>
              </w:rPr>
            </w:pPr>
            <w:r w:rsidRPr="009776D9">
              <w:rPr>
                <w:rFonts w:ascii="Arial" w:eastAsia="Times New Roman" w:hAnsi="Arial" w:cs="Arial"/>
                <w:szCs w:val="24"/>
                <w:lang w:eastAsia="pt-BR"/>
              </w:rPr>
              <w:t>Hydropower</w:t>
            </w:r>
          </w:p>
        </w:tc>
        <w:tc>
          <w:tcPr>
            <w:tcW w:w="2268" w:type="dxa"/>
            <w:tcBorders>
              <w:top w:val="nil"/>
              <w:left w:val="nil"/>
              <w:bottom w:val="nil"/>
              <w:right w:val="nil"/>
            </w:tcBorders>
            <w:shd w:val="clear" w:color="auto" w:fill="auto"/>
            <w:noWrap/>
            <w:vAlign w:val="center"/>
            <w:hideMark/>
          </w:tcPr>
          <w:p w14:paraId="25882CC7"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1352</w:t>
            </w:r>
          </w:p>
        </w:tc>
        <w:tc>
          <w:tcPr>
            <w:tcW w:w="1984" w:type="dxa"/>
            <w:tcBorders>
              <w:top w:val="nil"/>
              <w:left w:val="nil"/>
              <w:bottom w:val="nil"/>
              <w:right w:val="nil"/>
            </w:tcBorders>
            <w:shd w:val="clear" w:color="auto" w:fill="auto"/>
            <w:noWrap/>
            <w:vAlign w:val="center"/>
            <w:hideMark/>
          </w:tcPr>
          <w:p w14:paraId="742AA788"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12.8</w:t>
            </w:r>
          </w:p>
        </w:tc>
        <w:tc>
          <w:tcPr>
            <w:tcW w:w="2268" w:type="dxa"/>
            <w:tcBorders>
              <w:top w:val="nil"/>
              <w:left w:val="nil"/>
              <w:bottom w:val="nil"/>
              <w:right w:val="nil"/>
            </w:tcBorders>
            <w:shd w:val="clear" w:color="auto" w:fill="auto"/>
            <w:noWrap/>
            <w:vAlign w:val="center"/>
            <w:hideMark/>
          </w:tcPr>
          <w:p w14:paraId="2369F30F" w14:textId="77777777" w:rsidR="000641D4" w:rsidRPr="009776D9" w:rsidRDefault="000641D4" w:rsidP="00A46FBB">
            <w:pPr>
              <w:spacing w:line="240" w:lineRule="auto"/>
              <w:ind w:firstLine="0"/>
              <w:jc w:val="center"/>
              <w:rPr>
                <w:rFonts w:ascii="Arial" w:eastAsia="Times New Roman" w:hAnsi="Arial" w:cs="Arial"/>
                <w:szCs w:val="24"/>
                <w:lang w:eastAsia="pt-BR"/>
              </w:rPr>
            </w:pPr>
          </w:p>
        </w:tc>
      </w:tr>
      <w:tr w:rsidR="000641D4" w:rsidRPr="009776D9" w14:paraId="48AD7509" w14:textId="77777777" w:rsidTr="00A46FBB">
        <w:trPr>
          <w:trHeight w:val="315"/>
        </w:trPr>
        <w:tc>
          <w:tcPr>
            <w:tcW w:w="2552" w:type="dxa"/>
            <w:tcBorders>
              <w:top w:val="nil"/>
              <w:left w:val="nil"/>
              <w:bottom w:val="nil"/>
              <w:right w:val="nil"/>
            </w:tcBorders>
            <w:shd w:val="clear" w:color="auto" w:fill="auto"/>
            <w:noWrap/>
            <w:vAlign w:val="bottom"/>
            <w:hideMark/>
          </w:tcPr>
          <w:p w14:paraId="00065263" w14:textId="77777777" w:rsidR="000641D4" w:rsidRPr="009776D9" w:rsidRDefault="000641D4" w:rsidP="00A46FBB">
            <w:pPr>
              <w:spacing w:line="240" w:lineRule="auto"/>
              <w:ind w:firstLine="0"/>
              <w:jc w:val="left"/>
              <w:rPr>
                <w:rFonts w:ascii="Arial" w:eastAsia="Times New Roman" w:hAnsi="Arial" w:cs="Arial"/>
                <w:szCs w:val="24"/>
                <w:lang w:eastAsia="pt-BR"/>
              </w:rPr>
            </w:pPr>
            <w:r w:rsidRPr="009776D9">
              <w:rPr>
                <w:rFonts w:ascii="Arial" w:eastAsia="Times New Roman" w:hAnsi="Arial" w:cs="Arial"/>
                <w:szCs w:val="24"/>
                <w:lang w:eastAsia="pt-BR"/>
              </w:rPr>
              <w:t>Biomass power plant</w:t>
            </w:r>
          </w:p>
        </w:tc>
        <w:tc>
          <w:tcPr>
            <w:tcW w:w="2268" w:type="dxa"/>
            <w:tcBorders>
              <w:top w:val="nil"/>
              <w:left w:val="nil"/>
              <w:bottom w:val="nil"/>
              <w:right w:val="nil"/>
            </w:tcBorders>
            <w:shd w:val="clear" w:color="auto" w:fill="auto"/>
            <w:noWrap/>
            <w:vAlign w:val="center"/>
            <w:hideMark/>
          </w:tcPr>
          <w:p w14:paraId="0D93594A"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1200</w:t>
            </w:r>
          </w:p>
        </w:tc>
        <w:tc>
          <w:tcPr>
            <w:tcW w:w="1984" w:type="dxa"/>
            <w:tcBorders>
              <w:top w:val="nil"/>
              <w:left w:val="nil"/>
              <w:bottom w:val="nil"/>
              <w:right w:val="nil"/>
            </w:tcBorders>
            <w:shd w:val="clear" w:color="auto" w:fill="auto"/>
            <w:noWrap/>
            <w:vAlign w:val="center"/>
            <w:hideMark/>
          </w:tcPr>
          <w:p w14:paraId="68D51DA2"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23.1</w:t>
            </w:r>
          </w:p>
        </w:tc>
        <w:tc>
          <w:tcPr>
            <w:tcW w:w="2268" w:type="dxa"/>
            <w:tcBorders>
              <w:top w:val="nil"/>
              <w:left w:val="nil"/>
              <w:bottom w:val="nil"/>
              <w:right w:val="nil"/>
            </w:tcBorders>
            <w:shd w:val="clear" w:color="auto" w:fill="auto"/>
            <w:noWrap/>
            <w:vAlign w:val="center"/>
            <w:hideMark/>
          </w:tcPr>
          <w:p w14:paraId="52DECEB9" w14:textId="77777777" w:rsidR="000641D4" w:rsidRPr="009776D9" w:rsidRDefault="000641D4" w:rsidP="00A46FBB">
            <w:pPr>
              <w:spacing w:line="240" w:lineRule="auto"/>
              <w:ind w:firstLine="0"/>
              <w:jc w:val="center"/>
              <w:rPr>
                <w:rFonts w:ascii="Arial" w:eastAsia="Times New Roman" w:hAnsi="Arial" w:cs="Arial"/>
                <w:szCs w:val="24"/>
                <w:lang w:eastAsia="pt-BR"/>
              </w:rPr>
            </w:pPr>
          </w:p>
        </w:tc>
      </w:tr>
      <w:tr w:rsidR="000641D4" w:rsidRPr="009776D9" w14:paraId="311CD638" w14:textId="77777777" w:rsidTr="00A46FBB">
        <w:trPr>
          <w:trHeight w:val="315"/>
        </w:trPr>
        <w:tc>
          <w:tcPr>
            <w:tcW w:w="2552" w:type="dxa"/>
            <w:tcBorders>
              <w:top w:val="nil"/>
              <w:left w:val="nil"/>
              <w:bottom w:val="nil"/>
              <w:right w:val="nil"/>
            </w:tcBorders>
            <w:shd w:val="clear" w:color="auto" w:fill="auto"/>
            <w:noWrap/>
            <w:vAlign w:val="bottom"/>
            <w:hideMark/>
          </w:tcPr>
          <w:p w14:paraId="416FAE57" w14:textId="77777777" w:rsidR="000641D4" w:rsidRPr="009776D9" w:rsidRDefault="000641D4" w:rsidP="00A46FBB">
            <w:pPr>
              <w:spacing w:line="240" w:lineRule="auto"/>
              <w:ind w:firstLine="0"/>
              <w:jc w:val="left"/>
              <w:rPr>
                <w:rFonts w:ascii="Arial" w:eastAsia="Times New Roman" w:hAnsi="Arial" w:cs="Arial"/>
                <w:szCs w:val="24"/>
                <w:lang w:eastAsia="pt-BR"/>
              </w:rPr>
            </w:pPr>
            <w:r w:rsidRPr="009776D9">
              <w:rPr>
                <w:rFonts w:ascii="Arial" w:eastAsia="Times New Roman" w:hAnsi="Arial" w:cs="Arial"/>
                <w:szCs w:val="24"/>
                <w:lang w:eastAsia="pt-BR"/>
              </w:rPr>
              <w:t>Natural Gas power plant</w:t>
            </w:r>
          </w:p>
        </w:tc>
        <w:tc>
          <w:tcPr>
            <w:tcW w:w="2268" w:type="dxa"/>
            <w:tcBorders>
              <w:top w:val="nil"/>
              <w:left w:val="nil"/>
              <w:bottom w:val="nil"/>
              <w:right w:val="nil"/>
            </w:tcBorders>
            <w:shd w:val="clear" w:color="auto" w:fill="auto"/>
            <w:noWrap/>
            <w:vAlign w:val="center"/>
            <w:hideMark/>
          </w:tcPr>
          <w:p w14:paraId="748011CD"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900</w:t>
            </w:r>
          </w:p>
        </w:tc>
        <w:tc>
          <w:tcPr>
            <w:tcW w:w="1984" w:type="dxa"/>
            <w:tcBorders>
              <w:top w:val="nil"/>
              <w:left w:val="nil"/>
              <w:bottom w:val="nil"/>
              <w:right w:val="nil"/>
            </w:tcBorders>
            <w:shd w:val="clear" w:color="auto" w:fill="auto"/>
            <w:noWrap/>
            <w:vAlign w:val="center"/>
            <w:hideMark/>
          </w:tcPr>
          <w:p w14:paraId="7037C946"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220.0</w:t>
            </w:r>
          </w:p>
        </w:tc>
        <w:tc>
          <w:tcPr>
            <w:tcW w:w="2268" w:type="dxa"/>
            <w:tcBorders>
              <w:top w:val="nil"/>
              <w:left w:val="nil"/>
              <w:bottom w:val="nil"/>
              <w:right w:val="nil"/>
            </w:tcBorders>
            <w:shd w:val="clear" w:color="auto" w:fill="auto"/>
            <w:noWrap/>
            <w:vAlign w:val="center"/>
            <w:hideMark/>
          </w:tcPr>
          <w:p w14:paraId="27318089"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25</w:t>
            </w:r>
          </w:p>
        </w:tc>
      </w:tr>
      <w:tr w:rsidR="000641D4" w:rsidRPr="009776D9" w14:paraId="0217A8A7" w14:textId="77777777" w:rsidTr="00A46FBB">
        <w:trPr>
          <w:trHeight w:val="315"/>
        </w:trPr>
        <w:tc>
          <w:tcPr>
            <w:tcW w:w="2552" w:type="dxa"/>
            <w:tcBorders>
              <w:top w:val="nil"/>
              <w:left w:val="nil"/>
              <w:bottom w:val="nil"/>
              <w:right w:val="nil"/>
            </w:tcBorders>
            <w:shd w:val="clear" w:color="auto" w:fill="auto"/>
            <w:noWrap/>
            <w:vAlign w:val="bottom"/>
            <w:hideMark/>
          </w:tcPr>
          <w:p w14:paraId="3A530300" w14:textId="77777777" w:rsidR="000641D4" w:rsidRPr="009776D9" w:rsidRDefault="000641D4" w:rsidP="00A46FBB">
            <w:pPr>
              <w:spacing w:line="240" w:lineRule="auto"/>
              <w:ind w:firstLine="0"/>
              <w:jc w:val="left"/>
              <w:rPr>
                <w:rFonts w:ascii="Arial" w:eastAsia="Times New Roman" w:hAnsi="Arial" w:cs="Arial"/>
                <w:szCs w:val="24"/>
                <w:lang w:eastAsia="pt-BR"/>
              </w:rPr>
            </w:pPr>
            <w:r w:rsidRPr="009776D9">
              <w:rPr>
                <w:rFonts w:ascii="Arial" w:eastAsia="Times New Roman" w:hAnsi="Arial" w:cs="Arial"/>
                <w:szCs w:val="24"/>
                <w:lang w:eastAsia="pt-BR"/>
              </w:rPr>
              <w:t>Coal power plant</w:t>
            </w:r>
          </w:p>
        </w:tc>
        <w:tc>
          <w:tcPr>
            <w:tcW w:w="2268" w:type="dxa"/>
            <w:tcBorders>
              <w:top w:val="nil"/>
              <w:left w:val="nil"/>
              <w:bottom w:val="nil"/>
              <w:right w:val="nil"/>
            </w:tcBorders>
            <w:shd w:val="clear" w:color="auto" w:fill="auto"/>
            <w:noWrap/>
            <w:vAlign w:val="center"/>
            <w:hideMark/>
          </w:tcPr>
          <w:p w14:paraId="1DA6FCFB"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2500</w:t>
            </w:r>
          </w:p>
        </w:tc>
        <w:tc>
          <w:tcPr>
            <w:tcW w:w="1984" w:type="dxa"/>
            <w:tcBorders>
              <w:top w:val="nil"/>
              <w:left w:val="nil"/>
              <w:bottom w:val="nil"/>
              <w:right w:val="nil"/>
            </w:tcBorders>
            <w:shd w:val="clear" w:color="auto" w:fill="auto"/>
            <w:noWrap/>
            <w:vAlign w:val="center"/>
            <w:hideMark/>
          </w:tcPr>
          <w:p w14:paraId="2A43E4D4"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100.0</w:t>
            </w:r>
          </w:p>
        </w:tc>
        <w:tc>
          <w:tcPr>
            <w:tcW w:w="2268" w:type="dxa"/>
            <w:tcBorders>
              <w:top w:val="nil"/>
              <w:left w:val="nil"/>
              <w:bottom w:val="nil"/>
              <w:right w:val="nil"/>
            </w:tcBorders>
            <w:shd w:val="clear" w:color="auto" w:fill="auto"/>
            <w:noWrap/>
            <w:vAlign w:val="center"/>
            <w:hideMark/>
          </w:tcPr>
          <w:p w14:paraId="09AE62F9"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30</w:t>
            </w:r>
          </w:p>
        </w:tc>
      </w:tr>
      <w:tr w:rsidR="000641D4" w:rsidRPr="009776D9" w14:paraId="5C370B52" w14:textId="77777777" w:rsidTr="00A46FBB">
        <w:trPr>
          <w:trHeight w:val="315"/>
        </w:trPr>
        <w:tc>
          <w:tcPr>
            <w:tcW w:w="2552" w:type="dxa"/>
            <w:tcBorders>
              <w:top w:val="nil"/>
              <w:left w:val="nil"/>
              <w:bottom w:val="nil"/>
              <w:right w:val="nil"/>
            </w:tcBorders>
            <w:shd w:val="clear" w:color="auto" w:fill="auto"/>
            <w:noWrap/>
            <w:vAlign w:val="bottom"/>
            <w:hideMark/>
          </w:tcPr>
          <w:p w14:paraId="60ADB900" w14:textId="77777777" w:rsidR="000641D4" w:rsidRPr="009776D9" w:rsidRDefault="000641D4" w:rsidP="00A46FBB">
            <w:pPr>
              <w:spacing w:line="240" w:lineRule="auto"/>
              <w:ind w:firstLine="0"/>
              <w:jc w:val="left"/>
              <w:rPr>
                <w:rFonts w:ascii="Arial" w:eastAsia="Times New Roman" w:hAnsi="Arial" w:cs="Arial"/>
                <w:szCs w:val="24"/>
                <w:lang w:eastAsia="pt-BR"/>
              </w:rPr>
            </w:pPr>
            <w:r w:rsidRPr="009776D9">
              <w:rPr>
                <w:rFonts w:ascii="Arial" w:eastAsia="Times New Roman" w:hAnsi="Arial" w:cs="Arial"/>
                <w:szCs w:val="24"/>
                <w:lang w:eastAsia="pt-BR"/>
              </w:rPr>
              <w:t>Oil power plant</w:t>
            </w:r>
          </w:p>
        </w:tc>
        <w:tc>
          <w:tcPr>
            <w:tcW w:w="2268" w:type="dxa"/>
            <w:tcBorders>
              <w:top w:val="nil"/>
              <w:left w:val="nil"/>
              <w:bottom w:val="nil"/>
              <w:right w:val="nil"/>
            </w:tcBorders>
            <w:shd w:val="clear" w:color="auto" w:fill="auto"/>
            <w:noWrap/>
            <w:vAlign w:val="center"/>
            <w:hideMark/>
          </w:tcPr>
          <w:p w14:paraId="039F26E6"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1100</w:t>
            </w:r>
          </w:p>
        </w:tc>
        <w:tc>
          <w:tcPr>
            <w:tcW w:w="1984" w:type="dxa"/>
            <w:tcBorders>
              <w:top w:val="nil"/>
              <w:left w:val="nil"/>
              <w:bottom w:val="nil"/>
              <w:right w:val="nil"/>
            </w:tcBorders>
            <w:shd w:val="clear" w:color="auto" w:fill="auto"/>
            <w:noWrap/>
            <w:vAlign w:val="center"/>
            <w:hideMark/>
          </w:tcPr>
          <w:p w14:paraId="0BA3ED45"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220</w:t>
            </w:r>
          </w:p>
        </w:tc>
        <w:tc>
          <w:tcPr>
            <w:tcW w:w="2268" w:type="dxa"/>
            <w:tcBorders>
              <w:top w:val="nil"/>
              <w:left w:val="nil"/>
              <w:bottom w:val="nil"/>
              <w:right w:val="nil"/>
            </w:tcBorders>
            <w:shd w:val="clear" w:color="auto" w:fill="auto"/>
            <w:noWrap/>
            <w:vAlign w:val="center"/>
            <w:hideMark/>
          </w:tcPr>
          <w:p w14:paraId="2AD22DE2"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35</w:t>
            </w:r>
          </w:p>
        </w:tc>
      </w:tr>
      <w:tr w:rsidR="000641D4" w:rsidRPr="009776D9" w14:paraId="2BA2E615" w14:textId="77777777" w:rsidTr="00A46FBB">
        <w:trPr>
          <w:trHeight w:val="315"/>
        </w:trPr>
        <w:tc>
          <w:tcPr>
            <w:tcW w:w="2552" w:type="dxa"/>
            <w:tcBorders>
              <w:top w:val="nil"/>
              <w:left w:val="nil"/>
              <w:bottom w:val="nil"/>
              <w:right w:val="nil"/>
            </w:tcBorders>
            <w:shd w:val="clear" w:color="auto" w:fill="auto"/>
            <w:noWrap/>
            <w:vAlign w:val="bottom"/>
            <w:hideMark/>
          </w:tcPr>
          <w:p w14:paraId="46BA28EC" w14:textId="77777777" w:rsidR="000641D4" w:rsidRPr="009776D9" w:rsidRDefault="000641D4" w:rsidP="00A46FBB">
            <w:pPr>
              <w:spacing w:line="240" w:lineRule="auto"/>
              <w:ind w:firstLine="0"/>
              <w:jc w:val="left"/>
              <w:rPr>
                <w:rFonts w:ascii="Arial" w:eastAsia="Times New Roman" w:hAnsi="Arial" w:cs="Arial"/>
                <w:szCs w:val="24"/>
                <w:lang w:eastAsia="pt-BR"/>
              </w:rPr>
            </w:pPr>
            <w:r w:rsidRPr="009776D9">
              <w:rPr>
                <w:rFonts w:ascii="Arial" w:eastAsia="Times New Roman" w:hAnsi="Arial" w:cs="Arial"/>
                <w:szCs w:val="24"/>
                <w:lang w:eastAsia="pt-BR"/>
              </w:rPr>
              <w:t>Nuclear power plant</w:t>
            </w:r>
          </w:p>
        </w:tc>
        <w:tc>
          <w:tcPr>
            <w:tcW w:w="2268" w:type="dxa"/>
            <w:tcBorders>
              <w:top w:val="nil"/>
              <w:left w:val="nil"/>
              <w:bottom w:val="nil"/>
              <w:right w:val="nil"/>
            </w:tcBorders>
            <w:shd w:val="clear" w:color="auto" w:fill="auto"/>
            <w:noWrap/>
            <w:vAlign w:val="center"/>
            <w:hideMark/>
          </w:tcPr>
          <w:p w14:paraId="6EC0C14B"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5000</w:t>
            </w:r>
          </w:p>
        </w:tc>
        <w:tc>
          <w:tcPr>
            <w:tcW w:w="1984" w:type="dxa"/>
            <w:tcBorders>
              <w:top w:val="nil"/>
              <w:left w:val="nil"/>
              <w:bottom w:val="nil"/>
              <w:right w:val="nil"/>
            </w:tcBorders>
            <w:shd w:val="clear" w:color="auto" w:fill="auto"/>
            <w:noWrap/>
            <w:vAlign w:val="center"/>
            <w:hideMark/>
          </w:tcPr>
          <w:p w14:paraId="73C45919"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110</w:t>
            </w:r>
          </w:p>
        </w:tc>
        <w:tc>
          <w:tcPr>
            <w:tcW w:w="2268" w:type="dxa"/>
            <w:tcBorders>
              <w:top w:val="nil"/>
              <w:left w:val="nil"/>
              <w:bottom w:val="nil"/>
              <w:right w:val="nil"/>
            </w:tcBorders>
            <w:shd w:val="clear" w:color="auto" w:fill="auto"/>
            <w:noWrap/>
            <w:vAlign w:val="center"/>
            <w:hideMark/>
          </w:tcPr>
          <w:p w14:paraId="4E9B01DA" w14:textId="77777777" w:rsidR="000641D4" w:rsidRPr="009776D9" w:rsidRDefault="000641D4" w:rsidP="00A46FBB">
            <w:pPr>
              <w:spacing w:line="240" w:lineRule="auto"/>
              <w:ind w:firstLine="0"/>
              <w:jc w:val="center"/>
              <w:rPr>
                <w:rFonts w:ascii="Arial" w:eastAsia="Times New Roman" w:hAnsi="Arial" w:cs="Arial"/>
                <w:szCs w:val="24"/>
                <w:lang w:eastAsia="pt-BR"/>
              </w:rPr>
            </w:pPr>
          </w:p>
        </w:tc>
      </w:tr>
      <w:tr w:rsidR="000641D4" w:rsidRPr="009776D9" w14:paraId="11DBB007" w14:textId="77777777" w:rsidTr="00A46FBB">
        <w:trPr>
          <w:trHeight w:val="315"/>
        </w:trPr>
        <w:tc>
          <w:tcPr>
            <w:tcW w:w="2552" w:type="dxa"/>
            <w:tcBorders>
              <w:top w:val="nil"/>
              <w:left w:val="nil"/>
              <w:bottom w:val="nil"/>
              <w:right w:val="nil"/>
            </w:tcBorders>
            <w:shd w:val="clear" w:color="auto" w:fill="auto"/>
            <w:noWrap/>
            <w:vAlign w:val="bottom"/>
            <w:hideMark/>
          </w:tcPr>
          <w:p w14:paraId="23617DF6" w14:textId="77777777" w:rsidR="000641D4" w:rsidRPr="009776D9" w:rsidRDefault="000641D4" w:rsidP="00A46FBB">
            <w:pPr>
              <w:spacing w:line="240" w:lineRule="auto"/>
              <w:ind w:firstLine="0"/>
              <w:jc w:val="left"/>
              <w:rPr>
                <w:rFonts w:ascii="Arial" w:eastAsia="Times New Roman" w:hAnsi="Arial" w:cs="Arial"/>
                <w:szCs w:val="24"/>
                <w:lang w:eastAsia="pt-BR"/>
              </w:rPr>
            </w:pPr>
            <w:r w:rsidRPr="009776D9">
              <w:rPr>
                <w:rFonts w:ascii="Arial" w:eastAsia="Times New Roman" w:hAnsi="Arial" w:cs="Arial"/>
                <w:szCs w:val="24"/>
                <w:lang w:eastAsia="pt-BR"/>
              </w:rPr>
              <w:t>Wind power</w:t>
            </w:r>
          </w:p>
        </w:tc>
        <w:tc>
          <w:tcPr>
            <w:tcW w:w="2268" w:type="dxa"/>
            <w:tcBorders>
              <w:top w:val="nil"/>
              <w:left w:val="nil"/>
              <w:bottom w:val="nil"/>
              <w:right w:val="nil"/>
            </w:tcBorders>
            <w:shd w:val="clear" w:color="auto" w:fill="auto"/>
            <w:noWrap/>
            <w:vAlign w:val="center"/>
            <w:hideMark/>
          </w:tcPr>
          <w:p w14:paraId="6E2A0109"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1400</w:t>
            </w:r>
          </w:p>
        </w:tc>
        <w:tc>
          <w:tcPr>
            <w:tcW w:w="1984" w:type="dxa"/>
            <w:tcBorders>
              <w:top w:val="nil"/>
              <w:left w:val="nil"/>
              <w:bottom w:val="nil"/>
              <w:right w:val="nil"/>
            </w:tcBorders>
            <w:shd w:val="clear" w:color="auto" w:fill="auto"/>
            <w:noWrap/>
            <w:vAlign w:val="center"/>
            <w:hideMark/>
          </w:tcPr>
          <w:p w14:paraId="5C7698B9"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25.6</w:t>
            </w:r>
          </w:p>
        </w:tc>
        <w:tc>
          <w:tcPr>
            <w:tcW w:w="2268" w:type="dxa"/>
            <w:tcBorders>
              <w:top w:val="nil"/>
              <w:left w:val="nil"/>
              <w:bottom w:val="nil"/>
              <w:right w:val="nil"/>
            </w:tcBorders>
            <w:shd w:val="clear" w:color="auto" w:fill="auto"/>
            <w:noWrap/>
            <w:vAlign w:val="center"/>
            <w:hideMark/>
          </w:tcPr>
          <w:p w14:paraId="4CCDE51F" w14:textId="77777777" w:rsidR="000641D4" w:rsidRPr="009776D9" w:rsidRDefault="000641D4" w:rsidP="00A46FBB">
            <w:pPr>
              <w:spacing w:line="240" w:lineRule="auto"/>
              <w:ind w:firstLine="0"/>
              <w:jc w:val="center"/>
              <w:rPr>
                <w:rFonts w:ascii="Arial" w:eastAsia="Times New Roman" w:hAnsi="Arial" w:cs="Arial"/>
                <w:szCs w:val="24"/>
                <w:lang w:eastAsia="pt-BR"/>
              </w:rPr>
            </w:pPr>
          </w:p>
        </w:tc>
      </w:tr>
      <w:tr w:rsidR="000641D4" w:rsidRPr="009776D9" w14:paraId="3E56D22B" w14:textId="77777777" w:rsidTr="00A46FBB">
        <w:trPr>
          <w:trHeight w:val="315"/>
        </w:trPr>
        <w:tc>
          <w:tcPr>
            <w:tcW w:w="2552" w:type="dxa"/>
            <w:tcBorders>
              <w:top w:val="nil"/>
              <w:left w:val="nil"/>
              <w:bottom w:val="nil"/>
              <w:right w:val="nil"/>
            </w:tcBorders>
            <w:shd w:val="clear" w:color="auto" w:fill="auto"/>
            <w:noWrap/>
            <w:vAlign w:val="bottom"/>
            <w:hideMark/>
          </w:tcPr>
          <w:p w14:paraId="33FCC73F" w14:textId="77777777" w:rsidR="000641D4" w:rsidRPr="009776D9" w:rsidRDefault="000641D4" w:rsidP="00A46FBB">
            <w:pPr>
              <w:spacing w:line="240" w:lineRule="auto"/>
              <w:ind w:firstLine="0"/>
              <w:jc w:val="left"/>
              <w:rPr>
                <w:rFonts w:ascii="Arial" w:eastAsia="Times New Roman" w:hAnsi="Arial" w:cs="Arial"/>
                <w:szCs w:val="24"/>
                <w:lang w:eastAsia="pt-BR"/>
              </w:rPr>
            </w:pPr>
            <w:r w:rsidRPr="009776D9">
              <w:rPr>
                <w:rFonts w:ascii="Arial" w:eastAsia="Times New Roman" w:hAnsi="Arial" w:cs="Arial"/>
                <w:szCs w:val="24"/>
                <w:lang w:eastAsia="pt-BR"/>
              </w:rPr>
              <w:t>Solar power plant</w:t>
            </w:r>
          </w:p>
        </w:tc>
        <w:tc>
          <w:tcPr>
            <w:tcW w:w="2268" w:type="dxa"/>
            <w:tcBorders>
              <w:top w:val="nil"/>
              <w:left w:val="nil"/>
              <w:bottom w:val="nil"/>
              <w:right w:val="nil"/>
            </w:tcBorders>
            <w:shd w:val="clear" w:color="auto" w:fill="auto"/>
            <w:noWrap/>
            <w:vAlign w:val="center"/>
            <w:hideMark/>
          </w:tcPr>
          <w:p w14:paraId="03749967"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1100</w:t>
            </w:r>
          </w:p>
        </w:tc>
        <w:tc>
          <w:tcPr>
            <w:tcW w:w="1984" w:type="dxa"/>
            <w:tcBorders>
              <w:top w:val="nil"/>
              <w:left w:val="nil"/>
              <w:bottom w:val="nil"/>
              <w:right w:val="nil"/>
            </w:tcBorders>
            <w:shd w:val="clear" w:color="auto" w:fill="auto"/>
            <w:noWrap/>
            <w:vAlign w:val="center"/>
            <w:hideMark/>
          </w:tcPr>
          <w:p w14:paraId="2B2DABE8"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5.1</w:t>
            </w:r>
          </w:p>
        </w:tc>
        <w:tc>
          <w:tcPr>
            <w:tcW w:w="2268" w:type="dxa"/>
            <w:tcBorders>
              <w:top w:val="nil"/>
              <w:left w:val="nil"/>
              <w:bottom w:val="nil"/>
              <w:right w:val="nil"/>
            </w:tcBorders>
            <w:shd w:val="clear" w:color="auto" w:fill="auto"/>
            <w:noWrap/>
            <w:vAlign w:val="center"/>
            <w:hideMark/>
          </w:tcPr>
          <w:p w14:paraId="1228B28F" w14:textId="77777777" w:rsidR="000641D4" w:rsidRPr="009776D9" w:rsidRDefault="000641D4" w:rsidP="00A46FBB">
            <w:pPr>
              <w:spacing w:line="240" w:lineRule="auto"/>
              <w:ind w:firstLine="0"/>
              <w:jc w:val="center"/>
              <w:rPr>
                <w:rFonts w:ascii="Arial" w:eastAsia="Times New Roman" w:hAnsi="Arial" w:cs="Arial"/>
                <w:szCs w:val="24"/>
                <w:lang w:eastAsia="pt-BR"/>
              </w:rPr>
            </w:pPr>
          </w:p>
        </w:tc>
      </w:tr>
      <w:tr w:rsidR="000641D4" w:rsidRPr="009776D9" w14:paraId="3623DA7F" w14:textId="77777777" w:rsidTr="00A46FBB">
        <w:trPr>
          <w:trHeight w:val="315"/>
        </w:trPr>
        <w:tc>
          <w:tcPr>
            <w:tcW w:w="2552" w:type="dxa"/>
            <w:tcBorders>
              <w:top w:val="nil"/>
              <w:left w:val="nil"/>
              <w:bottom w:val="nil"/>
              <w:right w:val="nil"/>
            </w:tcBorders>
            <w:shd w:val="clear" w:color="auto" w:fill="auto"/>
            <w:noWrap/>
            <w:vAlign w:val="bottom"/>
            <w:hideMark/>
          </w:tcPr>
          <w:p w14:paraId="23C99AA2" w14:textId="77777777" w:rsidR="000641D4" w:rsidRPr="009776D9" w:rsidRDefault="000641D4" w:rsidP="00A46FBB">
            <w:pPr>
              <w:spacing w:line="240" w:lineRule="auto"/>
              <w:ind w:firstLine="0"/>
              <w:jc w:val="left"/>
              <w:rPr>
                <w:rFonts w:ascii="Arial" w:eastAsia="Times New Roman" w:hAnsi="Arial" w:cs="Arial"/>
                <w:szCs w:val="24"/>
                <w:lang w:eastAsia="pt-BR"/>
              </w:rPr>
            </w:pPr>
            <w:r w:rsidRPr="009776D9">
              <w:rPr>
                <w:rFonts w:ascii="Arial" w:eastAsia="Times New Roman" w:hAnsi="Arial" w:cs="Arial"/>
                <w:szCs w:val="24"/>
                <w:lang w:eastAsia="pt-BR"/>
              </w:rPr>
              <w:lastRenderedPageBreak/>
              <w:t>SPHS tunnel and plant</w:t>
            </w:r>
          </w:p>
        </w:tc>
        <w:tc>
          <w:tcPr>
            <w:tcW w:w="2268" w:type="dxa"/>
            <w:tcBorders>
              <w:top w:val="nil"/>
              <w:left w:val="nil"/>
              <w:bottom w:val="nil"/>
              <w:right w:val="nil"/>
            </w:tcBorders>
            <w:shd w:val="clear" w:color="auto" w:fill="auto"/>
            <w:noWrap/>
            <w:vAlign w:val="center"/>
            <w:hideMark/>
          </w:tcPr>
          <w:p w14:paraId="083DF89F"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600</w:t>
            </w:r>
          </w:p>
        </w:tc>
        <w:tc>
          <w:tcPr>
            <w:tcW w:w="1984" w:type="dxa"/>
            <w:tcBorders>
              <w:top w:val="nil"/>
              <w:left w:val="nil"/>
              <w:bottom w:val="nil"/>
              <w:right w:val="nil"/>
            </w:tcBorders>
            <w:shd w:val="clear" w:color="auto" w:fill="auto"/>
            <w:noWrap/>
            <w:vAlign w:val="center"/>
            <w:hideMark/>
          </w:tcPr>
          <w:p w14:paraId="4C778EFA"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6.4</w:t>
            </w:r>
          </w:p>
        </w:tc>
        <w:tc>
          <w:tcPr>
            <w:tcW w:w="2268" w:type="dxa"/>
            <w:tcBorders>
              <w:top w:val="nil"/>
              <w:left w:val="nil"/>
              <w:bottom w:val="nil"/>
              <w:right w:val="nil"/>
            </w:tcBorders>
            <w:shd w:val="clear" w:color="auto" w:fill="auto"/>
            <w:noWrap/>
            <w:vAlign w:val="center"/>
            <w:hideMark/>
          </w:tcPr>
          <w:p w14:paraId="21B4F4E6" w14:textId="77777777" w:rsidR="000641D4" w:rsidRPr="009776D9" w:rsidRDefault="000641D4" w:rsidP="00A46FBB">
            <w:pPr>
              <w:spacing w:line="240" w:lineRule="auto"/>
              <w:ind w:firstLine="0"/>
              <w:jc w:val="center"/>
              <w:rPr>
                <w:rFonts w:ascii="Arial" w:eastAsia="Times New Roman" w:hAnsi="Arial" w:cs="Arial"/>
                <w:szCs w:val="24"/>
                <w:lang w:eastAsia="pt-BR"/>
              </w:rPr>
            </w:pPr>
          </w:p>
        </w:tc>
      </w:tr>
      <w:tr w:rsidR="000641D4" w:rsidRPr="009776D9" w14:paraId="4D1A7C19" w14:textId="77777777" w:rsidTr="00A46FBB">
        <w:trPr>
          <w:trHeight w:val="315"/>
        </w:trPr>
        <w:tc>
          <w:tcPr>
            <w:tcW w:w="2552" w:type="dxa"/>
            <w:tcBorders>
              <w:top w:val="nil"/>
              <w:left w:val="nil"/>
              <w:bottom w:val="nil"/>
              <w:right w:val="nil"/>
            </w:tcBorders>
            <w:shd w:val="clear" w:color="auto" w:fill="auto"/>
            <w:noWrap/>
            <w:vAlign w:val="bottom"/>
          </w:tcPr>
          <w:p w14:paraId="188203CB" w14:textId="77777777" w:rsidR="000641D4" w:rsidRPr="009776D9" w:rsidRDefault="000641D4" w:rsidP="00A46FBB">
            <w:pPr>
              <w:spacing w:line="240" w:lineRule="auto"/>
              <w:ind w:firstLine="0"/>
              <w:jc w:val="left"/>
              <w:rPr>
                <w:rFonts w:ascii="Arial" w:eastAsia="Times New Roman" w:hAnsi="Arial" w:cs="Arial"/>
                <w:szCs w:val="24"/>
                <w:lang w:eastAsia="pt-BR"/>
              </w:rPr>
            </w:pPr>
            <w:r w:rsidRPr="009776D9">
              <w:rPr>
                <w:rFonts w:ascii="Arial" w:eastAsia="Times New Roman" w:hAnsi="Arial" w:cs="Arial"/>
                <w:szCs w:val="24"/>
                <w:lang w:eastAsia="pt-BR"/>
              </w:rPr>
              <w:t>SPHS dam and land</w:t>
            </w:r>
          </w:p>
        </w:tc>
        <w:tc>
          <w:tcPr>
            <w:tcW w:w="2268" w:type="dxa"/>
            <w:tcBorders>
              <w:top w:val="nil"/>
              <w:left w:val="nil"/>
              <w:bottom w:val="nil"/>
              <w:right w:val="nil"/>
            </w:tcBorders>
            <w:shd w:val="clear" w:color="auto" w:fill="auto"/>
            <w:noWrap/>
            <w:vAlign w:val="center"/>
          </w:tcPr>
          <w:p w14:paraId="4ED84B6D"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 xml:space="preserve">* </w:t>
            </w:r>
          </w:p>
        </w:tc>
        <w:tc>
          <w:tcPr>
            <w:tcW w:w="1984" w:type="dxa"/>
            <w:tcBorders>
              <w:top w:val="nil"/>
              <w:left w:val="nil"/>
              <w:bottom w:val="nil"/>
              <w:right w:val="nil"/>
            </w:tcBorders>
            <w:shd w:val="clear" w:color="auto" w:fill="auto"/>
            <w:noWrap/>
            <w:vAlign w:val="center"/>
          </w:tcPr>
          <w:p w14:paraId="5AD275C7"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w:t>
            </w:r>
          </w:p>
        </w:tc>
        <w:tc>
          <w:tcPr>
            <w:tcW w:w="2268" w:type="dxa"/>
            <w:tcBorders>
              <w:top w:val="nil"/>
              <w:left w:val="nil"/>
              <w:bottom w:val="nil"/>
              <w:right w:val="nil"/>
            </w:tcBorders>
            <w:shd w:val="clear" w:color="auto" w:fill="auto"/>
            <w:noWrap/>
            <w:vAlign w:val="center"/>
          </w:tcPr>
          <w:p w14:paraId="56FD43AF" w14:textId="77777777" w:rsidR="000641D4" w:rsidRPr="009776D9" w:rsidRDefault="000641D4" w:rsidP="00A46FBB">
            <w:pPr>
              <w:spacing w:line="240" w:lineRule="auto"/>
              <w:ind w:firstLine="0"/>
              <w:jc w:val="center"/>
              <w:rPr>
                <w:rFonts w:ascii="Arial" w:eastAsia="Times New Roman" w:hAnsi="Arial" w:cs="Arial"/>
                <w:szCs w:val="24"/>
                <w:lang w:eastAsia="pt-BR"/>
              </w:rPr>
            </w:pPr>
          </w:p>
        </w:tc>
      </w:tr>
      <w:tr w:rsidR="000641D4" w:rsidRPr="009776D9" w14:paraId="21480D72" w14:textId="77777777" w:rsidTr="00A46FBB">
        <w:trPr>
          <w:trHeight w:val="315"/>
        </w:trPr>
        <w:tc>
          <w:tcPr>
            <w:tcW w:w="2552" w:type="dxa"/>
            <w:tcBorders>
              <w:top w:val="nil"/>
              <w:left w:val="nil"/>
              <w:bottom w:val="single" w:sz="4" w:space="0" w:color="auto"/>
              <w:right w:val="nil"/>
            </w:tcBorders>
            <w:shd w:val="clear" w:color="auto" w:fill="auto"/>
            <w:noWrap/>
            <w:vAlign w:val="bottom"/>
            <w:hideMark/>
          </w:tcPr>
          <w:p w14:paraId="0C1797AA" w14:textId="77777777" w:rsidR="000641D4" w:rsidRPr="009776D9" w:rsidRDefault="000641D4" w:rsidP="00A46FBB">
            <w:pPr>
              <w:spacing w:line="240" w:lineRule="auto"/>
              <w:ind w:firstLine="0"/>
              <w:jc w:val="left"/>
              <w:rPr>
                <w:rFonts w:ascii="Arial" w:eastAsia="Times New Roman" w:hAnsi="Arial" w:cs="Arial"/>
                <w:szCs w:val="24"/>
                <w:lang w:eastAsia="pt-BR"/>
              </w:rPr>
            </w:pPr>
            <w:r w:rsidRPr="009776D9">
              <w:rPr>
                <w:rFonts w:ascii="Arial" w:eastAsia="Times New Roman" w:hAnsi="Arial" w:cs="Arial"/>
                <w:szCs w:val="24"/>
                <w:lang w:eastAsia="pt-BR"/>
              </w:rPr>
              <w:t>Grid (transmission lines)</w:t>
            </w:r>
          </w:p>
        </w:tc>
        <w:tc>
          <w:tcPr>
            <w:tcW w:w="2268" w:type="dxa"/>
            <w:tcBorders>
              <w:top w:val="nil"/>
              <w:left w:val="nil"/>
              <w:bottom w:val="single" w:sz="4" w:space="0" w:color="auto"/>
              <w:right w:val="nil"/>
            </w:tcBorders>
            <w:shd w:val="clear" w:color="auto" w:fill="auto"/>
            <w:noWrap/>
            <w:vAlign w:val="center"/>
            <w:hideMark/>
          </w:tcPr>
          <w:p w14:paraId="0021FA4D"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1000</w:t>
            </w:r>
          </w:p>
        </w:tc>
        <w:tc>
          <w:tcPr>
            <w:tcW w:w="1984" w:type="dxa"/>
            <w:tcBorders>
              <w:top w:val="nil"/>
              <w:left w:val="nil"/>
              <w:bottom w:val="single" w:sz="4" w:space="0" w:color="auto"/>
              <w:right w:val="nil"/>
            </w:tcBorders>
            <w:shd w:val="clear" w:color="auto" w:fill="auto"/>
            <w:noWrap/>
            <w:vAlign w:val="center"/>
            <w:hideMark/>
          </w:tcPr>
          <w:p w14:paraId="328C0F86" w14:textId="77777777" w:rsidR="000641D4" w:rsidRPr="009776D9" w:rsidRDefault="000641D4" w:rsidP="00A46FBB">
            <w:pPr>
              <w:spacing w:line="240" w:lineRule="auto"/>
              <w:ind w:firstLine="0"/>
              <w:jc w:val="center"/>
              <w:rPr>
                <w:rFonts w:ascii="Arial" w:eastAsia="Times New Roman" w:hAnsi="Arial" w:cs="Arial"/>
                <w:szCs w:val="24"/>
                <w:lang w:eastAsia="pt-BR"/>
              </w:rPr>
            </w:pPr>
            <w:r w:rsidRPr="009776D9">
              <w:rPr>
                <w:rFonts w:ascii="Arial" w:eastAsia="Times New Roman" w:hAnsi="Arial" w:cs="Arial"/>
                <w:szCs w:val="24"/>
                <w:lang w:eastAsia="pt-BR"/>
              </w:rPr>
              <w:t>36.0</w:t>
            </w:r>
          </w:p>
        </w:tc>
        <w:tc>
          <w:tcPr>
            <w:tcW w:w="2268" w:type="dxa"/>
            <w:tcBorders>
              <w:top w:val="nil"/>
              <w:left w:val="nil"/>
              <w:bottom w:val="single" w:sz="4" w:space="0" w:color="auto"/>
              <w:right w:val="nil"/>
            </w:tcBorders>
            <w:shd w:val="clear" w:color="auto" w:fill="auto"/>
            <w:noWrap/>
            <w:vAlign w:val="center"/>
            <w:hideMark/>
          </w:tcPr>
          <w:p w14:paraId="423C6052" w14:textId="77777777" w:rsidR="000641D4" w:rsidRPr="009776D9" w:rsidRDefault="000641D4" w:rsidP="00A46FBB">
            <w:pPr>
              <w:spacing w:line="240" w:lineRule="auto"/>
              <w:ind w:firstLine="0"/>
              <w:jc w:val="center"/>
              <w:rPr>
                <w:rFonts w:ascii="Arial" w:eastAsia="Times New Roman" w:hAnsi="Arial" w:cs="Arial"/>
                <w:szCs w:val="24"/>
                <w:lang w:eastAsia="pt-BR"/>
              </w:rPr>
            </w:pPr>
          </w:p>
        </w:tc>
      </w:tr>
    </w:tbl>
    <w:p w14:paraId="64389837" w14:textId="77777777" w:rsidR="000641D4" w:rsidRPr="009776D9" w:rsidRDefault="000641D4" w:rsidP="000641D4">
      <w:pPr>
        <w:spacing w:line="240" w:lineRule="auto"/>
        <w:rPr>
          <w:rFonts w:ascii="Arial" w:hAnsi="Arial" w:cs="Arial"/>
          <w:vertAlign w:val="superscript"/>
        </w:rPr>
      </w:pPr>
      <w:r w:rsidRPr="009776D9">
        <w:rPr>
          <w:rFonts w:ascii="Arial" w:hAnsi="Arial" w:cs="Arial"/>
          <w:vertAlign w:val="superscript"/>
        </w:rPr>
        <w:t>1 Note: Exchange Rate: R$3.90/US$ (monthly average of December 2015).</w:t>
      </w:r>
    </w:p>
    <w:p w14:paraId="6A3472F5" w14:textId="77777777" w:rsidR="000641D4" w:rsidRPr="009776D9" w:rsidRDefault="000641D4" w:rsidP="000641D4">
      <w:pPr>
        <w:rPr>
          <w:rFonts w:ascii="Arial" w:hAnsi="Arial" w:cs="Arial"/>
          <w:vertAlign w:val="superscript"/>
        </w:rPr>
      </w:pPr>
      <w:r w:rsidRPr="009776D9">
        <w:rPr>
          <w:rFonts w:ascii="Arial" w:hAnsi="Arial" w:cs="Arial"/>
          <w:vertAlign w:val="superscript"/>
        </w:rPr>
        <w:t xml:space="preserve">* The unit in this case is 106USD/m³ based on the costs provided by </w:t>
      </w:r>
      <w:r w:rsidRPr="009776D9">
        <w:rPr>
          <w:rFonts w:ascii="Arial" w:hAnsi="Arial" w:cs="Arial"/>
          <w:vertAlign w:val="superscript"/>
        </w:rPr>
        <w:fldChar w:fldCharType="begin" w:fldLock="1"/>
      </w:r>
      <w:r w:rsidRPr="009776D9">
        <w:rPr>
          <w:rFonts w:ascii="Arial" w:hAnsi="Arial" w:cs="Arial"/>
          <w:vertAlign w:val="superscript"/>
        </w:rPr>
        <w:instrText>ADDIN CSL_CITATION {"citationItems":[{"id":"ITEM-1","itemData":{"DOI":"10.1038/s41467-020-14555-y","ISSN":"2041-1723","PMID":"32075965","abstract":"Seasonal mismatches between electricity supply and demand is increasing due to expanded use of wind, solar and hydropower resources, which in turn raises the interest on low-cost seasonal energy storage options. Seasonal pumped hydropower storage (SPHS) can provide long-term energy storage at a relatively low-cost and co-benefits in the form of freshwater storage capacity. We present the first estimate of the global assessment of SPHS potential, using a novel plant-siting methodology based on high-resolution topographical and hydrological data. Here we show that SPHS costs vary from 0.007 to 0.2 US$ m−1 of water stored, 1.8 to 50 US$ MWh−1 of energy stored and 370 to 600 US$ kW−1 of installed power generation. This potential is unevenly distributed with mountainous regions demonstrating significantly more potential. The estimated world energy storage capacity below a cost of 50 US$ MWh−1 is 17.3 PWh, approximately 79% of the world electricity consumption in 2017. The potential of seasonal pumped&amp;nbsp;hydropower&amp;nbsp;storage (SPHS) plant to fulfil future energy storage requirements is vast in mountainous regions. Here the authors show that SPHS costs vary from 0.007 to 0.2 US$&amp;nbsp;m−3 of water stored, 1.8 to 50 US$&amp;nbsp;MWh−1 of energy stored and 0.37 to 0.6 US$&amp;nbsp;GW−1 of installed power generation capacity.","author":[{"dropping-particle":"","family":"Hunt","given":"Julian D.","non-dropping-particle":"","parse-names":false,"suffix":""},{"dropping-particle":"","family":"Byers","given":"Edward","non-dropping-particle":"","parse-names":false,"suffix":""},{"dropping-particle":"","family":"Wada","given":"Yoshihide","non-dropping-particle":"","parse-names":false,"suffix":""},{"dropping-particle":"","family":"Parkinson","given":"Simon","non-dropping-particle":"","parse-names":false,"suffix":""},{"dropping-particle":"","family":"Gernaat","given":"David E.H.J.","non-dropping-particle":"","parse-names":false,"suffix":""},{"dropping-particle":"","family":"Langan","given":"Simon","non-dropping-particle":"","parse-names":false,"suffix":""},{"dropping-particle":"","family":"Vuuren","given":"Detlef P.","non-dropping-particle":"van","parse-names":false,"suffix":""},{"dropping-particle":"","family":"Riahi","given":"Keywan","non-dropping-particle":"","parse-names":false,"suffix":""}],"container-title":"Nature Communications 2020 11:1","id":"ITEM-1","issue":"1","issued":{"date-parts":[["2020","2","19"]]},"page":"1-8","publisher":"Nature Publishing Group","title":"Global resource potential of seasonal pumped hydropower storage for energy and water storage","type":"article-journal","volume":"11"},"uris":["http://www.mendeley.com/documents/?uuid=ceda6867-3a64-3c49-a293-c7a944182470"]}],"mendeley":{"formattedCitation":"[Hunt, Julian D. &lt;i&gt;et al.&lt;/i&gt;, 2020]","plainTextFormattedCitation":"[Hunt, Julian D. et al., 2020]","previouslyFormattedCitation":"[Hunt, Julian D. &lt;i&gt;et al.&lt;/i&gt;, 2020]"},"properties":{"noteIndex":0},"schema":"https://github.com/citation-style-language/schema/raw/master/csl-citation.json"}</w:instrText>
      </w:r>
      <w:r w:rsidRPr="009776D9">
        <w:rPr>
          <w:rFonts w:ascii="Arial" w:hAnsi="Arial" w:cs="Arial"/>
          <w:vertAlign w:val="superscript"/>
        </w:rPr>
        <w:fldChar w:fldCharType="separate"/>
      </w:r>
      <w:r w:rsidRPr="009776D9">
        <w:rPr>
          <w:rFonts w:ascii="Arial" w:hAnsi="Arial" w:cs="Arial"/>
          <w:noProof/>
          <w:vertAlign w:val="superscript"/>
        </w:rPr>
        <w:t>[Hunt, Julian D. et al., 2020]</w:t>
      </w:r>
      <w:r w:rsidRPr="009776D9">
        <w:rPr>
          <w:rFonts w:ascii="Arial" w:hAnsi="Arial" w:cs="Arial"/>
          <w:vertAlign w:val="superscript"/>
        </w:rPr>
        <w:fldChar w:fldCharType="end"/>
      </w:r>
      <w:r w:rsidRPr="009776D9">
        <w:rPr>
          <w:rFonts w:ascii="Arial" w:hAnsi="Arial" w:cs="Arial"/>
          <w:vertAlign w:val="superscript"/>
        </w:rPr>
        <w:t>.</w:t>
      </w:r>
    </w:p>
    <w:p w14:paraId="792B204E" w14:textId="77777777" w:rsidR="000641D4" w:rsidRPr="009776D9" w:rsidRDefault="000641D4" w:rsidP="000641D4">
      <w:pPr>
        <w:rPr>
          <w:rFonts w:ascii="Arial" w:hAnsi="Arial" w:cs="Arial"/>
          <w:vertAlign w:val="superscript"/>
        </w:rPr>
      </w:pPr>
    </w:p>
    <w:p w14:paraId="0683417B" w14:textId="77777777" w:rsidR="000641D4" w:rsidRPr="009776D9" w:rsidRDefault="000641D4" w:rsidP="000641D4">
      <w:pPr>
        <w:rPr>
          <w:rFonts w:ascii="Arial" w:hAnsi="Arial" w:cs="Arial"/>
        </w:rPr>
      </w:pPr>
      <w:r w:rsidRPr="009776D9">
        <w:rPr>
          <w:rFonts w:ascii="Arial" w:hAnsi="Arial" w:cs="Arial"/>
        </w:rPr>
        <w:t xml:space="preserve">With regard to wind and solar power, the investment costs have been adapted to take into account future technological developments. Hence, a linear regression was used to calculate the prices up to 2090 based on the future price trends up to 2050. </w:t>
      </w:r>
      <w:r w:rsidRPr="009776D9">
        <w:rPr>
          <w:rFonts w:ascii="Arial" w:hAnsi="Arial" w:cs="Arial"/>
        </w:rPr>
        <w:fldChar w:fldCharType="begin"/>
      </w:r>
      <w:r w:rsidRPr="009776D9">
        <w:rPr>
          <w:rFonts w:ascii="Arial" w:hAnsi="Arial" w:cs="Arial"/>
        </w:rPr>
        <w:instrText xml:space="preserve"> REF _Ref123043258 \h  \* MERGEFORMAT </w:instrText>
      </w:r>
      <w:r w:rsidRPr="009776D9">
        <w:rPr>
          <w:rFonts w:ascii="Arial" w:hAnsi="Arial" w:cs="Arial"/>
        </w:rPr>
      </w:r>
      <w:r w:rsidRPr="009776D9">
        <w:rPr>
          <w:rFonts w:ascii="Arial" w:hAnsi="Arial" w:cs="Arial"/>
        </w:rPr>
        <w:fldChar w:fldCharType="separate"/>
      </w:r>
      <w:r w:rsidRPr="009776D9">
        <w:rPr>
          <w:rFonts w:ascii="Arial" w:hAnsi="Arial" w:cs="Arial"/>
        </w:rPr>
        <w:t xml:space="preserve">Figure </w:t>
      </w:r>
      <w:r w:rsidRPr="00DB5D52">
        <w:rPr>
          <w:rFonts w:ascii="Arial" w:hAnsi="Arial" w:cs="Arial"/>
          <w:noProof/>
        </w:rPr>
        <w:t>B</w:t>
      </w:r>
      <w:r w:rsidRPr="009776D9">
        <w:rPr>
          <w:rFonts w:ascii="Arial" w:hAnsi="Arial" w:cs="Arial"/>
          <w:noProof/>
        </w:rPr>
        <w:noBreakHyphen/>
      </w:r>
      <w:r>
        <w:rPr>
          <w:rFonts w:ascii="Arial" w:hAnsi="Arial" w:cs="Arial"/>
          <w:noProof/>
        </w:rPr>
        <w:t>3</w:t>
      </w:r>
      <w:r w:rsidRPr="009776D9">
        <w:rPr>
          <w:rFonts w:ascii="Arial" w:hAnsi="Arial" w:cs="Arial"/>
        </w:rPr>
        <w:fldChar w:fldCharType="end"/>
      </w:r>
      <w:r w:rsidRPr="009776D9">
        <w:rPr>
          <w:rFonts w:ascii="Arial" w:hAnsi="Arial" w:cs="Arial"/>
        </w:rPr>
        <w:t xml:space="preserve"> shows the future prices defined for wind onshore, wind offshore and solar power based on PNE 2050 </w:t>
      </w:r>
      <w:r w:rsidRPr="009776D9">
        <w:rPr>
          <w:rFonts w:ascii="Arial" w:hAnsi="Arial" w:cs="Arial"/>
        </w:rPr>
        <w:fldChar w:fldCharType="begin" w:fldLock="1"/>
      </w:r>
      <w:r w:rsidRPr="009776D9">
        <w:rPr>
          <w:rFonts w:ascii="Arial" w:hAnsi="Arial" w:cs="Arial"/>
        </w:rPr>
        <w:instrText>ADDIN CSL_CITATION {"citationItems":[{"id":"ITEM-1","itemData":{"author":[{"dropping-particle":"","family":"BRASIL","given":"","non-dropping-particle":"","parse-names":false,"suffix":""}],"id":"ITEM-1","issued":{"date-parts":[["2020"]]},"publisher-place":"Brasília","title":"PNE 2050: Plano Nacional de Energia","type":"report"},"uris":["http://www.mendeley.com/documents/?uuid=90554d52-5987-3224-a880-7ea9998689ee"]}],"mendeley":{"formattedCitation":"[BRASIL, 2020]","plainTextFormattedCitation":"[BRASIL, 2020]","previouslyFormattedCitation":"[BRASIL, 2020]"},"properties":{"noteIndex":0},"schema":"https://github.com/citation-style-language/schema/raw/master/csl-citation.json"}</w:instrText>
      </w:r>
      <w:r w:rsidRPr="009776D9">
        <w:rPr>
          <w:rFonts w:ascii="Arial" w:hAnsi="Arial" w:cs="Arial"/>
        </w:rPr>
        <w:fldChar w:fldCharType="separate"/>
      </w:r>
      <w:r w:rsidRPr="009776D9">
        <w:rPr>
          <w:rFonts w:ascii="Arial" w:hAnsi="Arial" w:cs="Arial"/>
          <w:noProof/>
        </w:rPr>
        <w:t>[BRASIL, 2020]</w:t>
      </w:r>
      <w:r w:rsidRPr="009776D9">
        <w:rPr>
          <w:rFonts w:ascii="Arial" w:hAnsi="Arial" w:cs="Arial"/>
        </w:rPr>
        <w:fldChar w:fldCharType="end"/>
      </w:r>
      <w:r w:rsidRPr="009776D9">
        <w:rPr>
          <w:rFonts w:ascii="Arial" w:hAnsi="Arial" w:cs="Arial"/>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
      <w:tblGrid>
        <w:gridCol w:w="4716"/>
        <w:gridCol w:w="4345"/>
      </w:tblGrid>
      <w:tr w:rsidR="000641D4" w:rsidRPr="009776D9" w14:paraId="2D097979" w14:textId="77777777" w:rsidTr="00A46FBB">
        <w:tc>
          <w:tcPr>
            <w:tcW w:w="4716" w:type="dxa"/>
          </w:tcPr>
          <w:p w14:paraId="7473C9F2" w14:textId="77777777" w:rsidR="000641D4" w:rsidRPr="009776D9" w:rsidRDefault="000641D4" w:rsidP="00A46FBB">
            <w:pPr>
              <w:ind w:firstLine="0"/>
              <w:rPr>
                <w:rFonts w:ascii="Arial" w:hAnsi="Arial" w:cs="Arial"/>
              </w:rPr>
            </w:pPr>
            <w:r w:rsidRPr="009776D9">
              <w:rPr>
                <w:rFonts w:ascii="Arial" w:hAnsi="Arial" w:cs="Arial"/>
                <w:noProof/>
              </w:rPr>
              <w:drawing>
                <wp:inline distT="0" distB="0" distL="0" distR="0" wp14:anchorId="5D47EFAA" wp14:editId="2BC2295F">
                  <wp:extent cx="2703195" cy="1701580"/>
                  <wp:effectExtent l="0" t="0" r="1905" b="0"/>
                  <wp:docPr id="5" name="Gráfico 5">
                    <a:extLst xmlns:a="http://schemas.openxmlformats.org/drawingml/2006/main">
                      <a:ext uri="{FF2B5EF4-FFF2-40B4-BE49-F238E27FC236}">
                        <a16:creationId xmlns:a16="http://schemas.microsoft.com/office/drawing/2014/main" id="{B866EB22-07B9-1774-CAC2-537B17A1DC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4345" w:type="dxa"/>
          </w:tcPr>
          <w:p w14:paraId="191746F2" w14:textId="77777777" w:rsidR="000641D4" w:rsidRPr="009776D9" w:rsidRDefault="000641D4" w:rsidP="00A46FBB">
            <w:pPr>
              <w:ind w:firstLine="0"/>
              <w:rPr>
                <w:rFonts w:ascii="Arial" w:hAnsi="Arial" w:cs="Arial"/>
              </w:rPr>
            </w:pPr>
            <w:r w:rsidRPr="009776D9">
              <w:rPr>
                <w:rFonts w:ascii="Arial" w:hAnsi="Arial" w:cs="Arial"/>
                <w:noProof/>
              </w:rPr>
              <w:drawing>
                <wp:inline distT="0" distB="0" distL="0" distR="0" wp14:anchorId="52B9E878" wp14:editId="41181DF5">
                  <wp:extent cx="2647674" cy="1693545"/>
                  <wp:effectExtent l="0" t="0" r="635" b="1905"/>
                  <wp:docPr id="13" name="Gráfico 13">
                    <a:extLst xmlns:a="http://schemas.openxmlformats.org/drawingml/2006/main">
                      <a:ext uri="{FF2B5EF4-FFF2-40B4-BE49-F238E27FC236}">
                        <a16:creationId xmlns:a16="http://schemas.microsoft.com/office/drawing/2014/main" id="{FA5E52A1-BEA0-4784-82BA-1BBFC7CDA5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0641D4" w:rsidRPr="009776D9" w14:paraId="2D62D717" w14:textId="77777777" w:rsidTr="00A46FBB">
        <w:tc>
          <w:tcPr>
            <w:tcW w:w="9061" w:type="dxa"/>
            <w:gridSpan w:val="2"/>
          </w:tcPr>
          <w:p w14:paraId="5F85DC57" w14:textId="77777777" w:rsidR="000641D4" w:rsidRPr="009776D9" w:rsidRDefault="000641D4" w:rsidP="00A46FBB">
            <w:pPr>
              <w:ind w:firstLine="0"/>
              <w:jc w:val="center"/>
              <w:rPr>
                <w:rFonts w:ascii="Arial" w:hAnsi="Arial" w:cs="Arial"/>
                <w:noProof/>
              </w:rPr>
            </w:pPr>
            <w:r w:rsidRPr="009776D9">
              <w:rPr>
                <w:rFonts w:ascii="Arial" w:hAnsi="Arial" w:cs="Arial"/>
                <w:noProof/>
              </w:rPr>
              <w:drawing>
                <wp:inline distT="0" distB="0" distL="0" distR="0" wp14:anchorId="55421C17" wp14:editId="643C8142">
                  <wp:extent cx="2917825" cy="1606163"/>
                  <wp:effectExtent l="0" t="0" r="0" b="0"/>
                  <wp:docPr id="14" name="Gráfico 14">
                    <a:extLst xmlns:a="http://schemas.openxmlformats.org/drawingml/2006/main">
                      <a:ext uri="{FF2B5EF4-FFF2-40B4-BE49-F238E27FC236}">
                        <a16:creationId xmlns:a16="http://schemas.microsoft.com/office/drawing/2014/main" id="{8423CD89-338C-45BC-9EB4-4CFF25EBAE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14:paraId="43E24CE5" w14:textId="77777777" w:rsidR="000641D4" w:rsidRPr="009776D9" w:rsidRDefault="000641D4" w:rsidP="000641D4">
      <w:pPr>
        <w:pStyle w:val="Caption"/>
        <w:rPr>
          <w:rFonts w:ascii="Arial" w:hAnsi="Arial" w:cs="Arial"/>
          <w:i w:val="0"/>
          <w:iCs w:val="0"/>
          <w:color w:val="auto"/>
        </w:rPr>
      </w:pPr>
    </w:p>
    <w:p w14:paraId="5BACC83A" w14:textId="77777777" w:rsidR="000641D4" w:rsidRPr="009776D9" w:rsidRDefault="000641D4" w:rsidP="000641D4">
      <w:pPr>
        <w:spacing w:line="240" w:lineRule="auto"/>
        <w:jc w:val="center"/>
        <w:rPr>
          <w:rFonts w:ascii="Arial" w:hAnsi="Arial" w:cs="Arial"/>
        </w:rPr>
      </w:pPr>
      <w:bookmarkStart w:id="7" w:name="_Ref123043258"/>
      <w:bookmarkStart w:id="8" w:name="_Toc137400228"/>
      <w:r w:rsidRPr="009776D9">
        <w:rPr>
          <w:rFonts w:ascii="Arial" w:hAnsi="Arial" w:cs="Arial"/>
        </w:rPr>
        <w:t xml:space="preserve">Figure </w:t>
      </w:r>
      <w:r>
        <w:rPr>
          <w:rFonts w:ascii="Arial" w:hAnsi="Arial" w:cs="Arial"/>
          <w:lang w:val="en-AT"/>
        </w:rPr>
        <w:t>B</w:t>
      </w:r>
      <w:r w:rsidRPr="009776D9">
        <w:rPr>
          <w:rFonts w:ascii="Arial" w:hAnsi="Arial" w:cs="Arial"/>
        </w:rPr>
        <w:noBreakHyphen/>
      </w:r>
      <w:r w:rsidRPr="009776D9">
        <w:rPr>
          <w:rFonts w:ascii="Arial" w:hAnsi="Arial" w:cs="Arial"/>
        </w:rPr>
        <w:fldChar w:fldCharType="begin"/>
      </w:r>
      <w:r w:rsidRPr="009776D9">
        <w:rPr>
          <w:rFonts w:ascii="Arial" w:hAnsi="Arial" w:cs="Arial"/>
        </w:rPr>
        <w:instrText xml:space="preserve"> SEQ Figure \* ARABIC \s 1 </w:instrText>
      </w:r>
      <w:r w:rsidRPr="009776D9">
        <w:rPr>
          <w:rFonts w:ascii="Arial" w:hAnsi="Arial" w:cs="Arial"/>
        </w:rPr>
        <w:fldChar w:fldCharType="separate"/>
      </w:r>
      <w:r>
        <w:rPr>
          <w:rFonts w:ascii="Arial" w:hAnsi="Arial" w:cs="Arial"/>
          <w:noProof/>
        </w:rPr>
        <w:t>3</w:t>
      </w:r>
      <w:r w:rsidRPr="009776D9">
        <w:rPr>
          <w:rFonts w:ascii="Arial" w:hAnsi="Arial" w:cs="Arial"/>
          <w:noProof/>
        </w:rPr>
        <w:fldChar w:fldCharType="end"/>
      </w:r>
      <w:bookmarkEnd w:id="7"/>
      <w:r w:rsidRPr="009776D9">
        <w:rPr>
          <w:rFonts w:ascii="Arial" w:hAnsi="Arial" w:cs="Arial"/>
        </w:rPr>
        <w:t xml:space="preserve"> – Wind power onshore and offshore and solar power defined future prices up to 2099 for the BESMM.</w:t>
      </w:r>
      <w:bookmarkEnd w:id="8"/>
    </w:p>
    <w:p w14:paraId="0E8A4D83" w14:textId="77777777" w:rsidR="000641D4" w:rsidRPr="009776D9" w:rsidRDefault="000641D4" w:rsidP="000641D4">
      <w:pPr>
        <w:jc w:val="center"/>
        <w:rPr>
          <w:rFonts w:ascii="Arial" w:hAnsi="Arial" w:cs="Arial"/>
        </w:rPr>
      </w:pPr>
    </w:p>
    <w:p w14:paraId="6ACC5867" w14:textId="77777777" w:rsidR="000641D4" w:rsidRPr="009776D9" w:rsidRDefault="000641D4" w:rsidP="000641D4">
      <w:pPr>
        <w:rPr>
          <w:rFonts w:ascii="Arial" w:hAnsi="Arial" w:cs="Arial"/>
        </w:rPr>
      </w:pPr>
      <w:r w:rsidRPr="009776D9">
        <w:rPr>
          <w:rFonts w:ascii="Arial" w:hAnsi="Arial" w:cs="Arial"/>
        </w:rPr>
        <w:t xml:space="preserve">Boundaries and constraints were applied to the BESMM to better incorporate the Brazilian electrical system characteristics. For wind and solar power it was applied boundaries on the total installed capacity based on the energy potential of each node  </w:t>
      </w:r>
      <w:r w:rsidRPr="009776D9">
        <w:rPr>
          <w:rFonts w:ascii="Arial" w:hAnsi="Arial" w:cs="Arial"/>
        </w:rPr>
        <w:fldChar w:fldCharType="begin" w:fldLock="1"/>
      </w:r>
      <w:r w:rsidRPr="009776D9">
        <w:rPr>
          <w:rFonts w:ascii="Arial" w:hAnsi="Arial" w:cs="Arial"/>
        </w:rPr>
        <w:instrText>ADDIN CSL_CITATION {"citationItems":[{"id":"ITEM-1","itemData":{"author":[{"dropping-particle":"","family":"BRASIL","given":"","non-dropping-particle":"","parse-names":false,"suffix":""}],"id":"ITEM-1","issued":{"date-parts":[["2020"]]},"publisher-place":"Brasília","title":"PNE 2050: Plano Nacional de Energia","type":"report"},"uris":["http://www.mendeley.com/documents/?uuid=90554d52-5987-3224-a880-7ea9998689ee"]}],"mendeley":{"formattedCitation":"[BRASIL, 2020]","plainTextFormattedCitation":"[BRASIL, 2020]","previouslyFormattedCitation":"[BRASIL, 2020]"},"properties":{"noteIndex":0},"schema":"https://github.com/citation-style-language/schema/raw/master/csl-citation.json"}</w:instrText>
      </w:r>
      <w:r w:rsidRPr="009776D9">
        <w:rPr>
          <w:rFonts w:ascii="Arial" w:hAnsi="Arial" w:cs="Arial"/>
        </w:rPr>
        <w:fldChar w:fldCharType="separate"/>
      </w:r>
      <w:r w:rsidRPr="009776D9">
        <w:rPr>
          <w:rFonts w:ascii="Arial" w:hAnsi="Arial" w:cs="Arial"/>
          <w:noProof/>
        </w:rPr>
        <w:t>[BRASIL, 2020]</w:t>
      </w:r>
      <w:r w:rsidRPr="009776D9">
        <w:rPr>
          <w:rFonts w:ascii="Arial" w:hAnsi="Arial" w:cs="Arial"/>
        </w:rPr>
        <w:fldChar w:fldCharType="end"/>
      </w:r>
      <w:r w:rsidRPr="009776D9">
        <w:rPr>
          <w:rFonts w:ascii="Arial" w:hAnsi="Arial" w:cs="Arial"/>
        </w:rPr>
        <w:t xml:space="preserve">. For hydropower it was considered no change in the capacities. By keeping the hydropower capacity constant, it will be possible to assess the SPHS's contribution to the BESMM. Based on the difference between the quantity of hydropower generated with and without SPHS, this evaluation will be conducted. The </w:t>
      </w:r>
      <w:r w:rsidRPr="009776D9">
        <w:rPr>
          <w:rFonts w:ascii="Arial" w:hAnsi="Arial" w:cs="Arial"/>
        </w:rPr>
        <w:lastRenderedPageBreak/>
        <w:t>SPHS simulate scenarios will also demonstrate how the BESMM can increase its hydroelectric capacity without having to build additional plants.</w:t>
      </w:r>
    </w:p>
    <w:p w14:paraId="3C686200" w14:textId="77777777" w:rsidR="000641D4" w:rsidRPr="009776D9" w:rsidRDefault="000641D4" w:rsidP="000641D4">
      <w:pPr>
        <w:rPr>
          <w:rFonts w:ascii="Arial" w:hAnsi="Arial" w:cs="Arial"/>
        </w:rPr>
      </w:pPr>
      <w:r w:rsidRPr="009776D9">
        <w:rPr>
          <w:rFonts w:ascii="Arial" w:hAnsi="Arial" w:cs="Arial"/>
        </w:rPr>
        <w:t>The units used in the BESMM model are as follows:</w:t>
      </w:r>
    </w:p>
    <w:p w14:paraId="0B847A23" w14:textId="77777777" w:rsidR="000641D4" w:rsidRPr="009776D9" w:rsidRDefault="000641D4" w:rsidP="000641D4">
      <w:pPr>
        <w:pStyle w:val="ListParagraph"/>
        <w:numPr>
          <w:ilvl w:val="0"/>
          <w:numId w:val="1"/>
        </w:numPr>
        <w:rPr>
          <w:rFonts w:ascii="Arial" w:hAnsi="Arial" w:cs="Arial"/>
        </w:rPr>
      </w:pPr>
      <w:r w:rsidRPr="009776D9">
        <w:rPr>
          <w:rFonts w:ascii="Arial" w:hAnsi="Arial" w:cs="Arial"/>
        </w:rPr>
        <w:t>activities: GWa</w:t>
      </w:r>
    </w:p>
    <w:p w14:paraId="744E45E9" w14:textId="77777777" w:rsidR="000641D4" w:rsidRPr="009776D9" w:rsidRDefault="000641D4" w:rsidP="000641D4">
      <w:pPr>
        <w:pStyle w:val="ListParagraph"/>
        <w:numPr>
          <w:ilvl w:val="0"/>
          <w:numId w:val="1"/>
        </w:numPr>
        <w:rPr>
          <w:rFonts w:ascii="Arial" w:hAnsi="Arial" w:cs="Arial"/>
        </w:rPr>
      </w:pPr>
      <w:r w:rsidRPr="009776D9">
        <w:rPr>
          <w:rFonts w:ascii="Arial" w:hAnsi="Arial" w:cs="Arial"/>
        </w:rPr>
        <w:t>capacity: GW</w:t>
      </w:r>
    </w:p>
    <w:p w14:paraId="79DCFA7F" w14:textId="77777777" w:rsidR="000641D4" w:rsidRPr="009776D9" w:rsidRDefault="000641D4" w:rsidP="000641D4">
      <w:pPr>
        <w:pStyle w:val="ListParagraph"/>
        <w:numPr>
          <w:ilvl w:val="0"/>
          <w:numId w:val="1"/>
        </w:numPr>
        <w:rPr>
          <w:rFonts w:ascii="Arial" w:hAnsi="Arial" w:cs="Arial"/>
        </w:rPr>
      </w:pPr>
      <w:r w:rsidRPr="009776D9">
        <w:rPr>
          <w:rFonts w:ascii="Arial" w:hAnsi="Arial" w:cs="Arial"/>
        </w:rPr>
        <w:t>cost related to activity, e.g., var_cost: USD2019/GWa = $2019/GWa</w:t>
      </w:r>
    </w:p>
    <w:p w14:paraId="2D82C7E8" w14:textId="77777777" w:rsidR="000641D4" w:rsidRPr="009776D9" w:rsidRDefault="000641D4" w:rsidP="000641D4">
      <w:pPr>
        <w:pStyle w:val="ListParagraph"/>
        <w:numPr>
          <w:ilvl w:val="0"/>
          <w:numId w:val="1"/>
        </w:numPr>
        <w:rPr>
          <w:rFonts w:ascii="Arial" w:hAnsi="Arial" w:cs="Arial"/>
        </w:rPr>
      </w:pPr>
      <w:r w:rsidRPr="009776D9">
        <w:rPr>
          <w:rFonts w:ascii="Arial" w:hAnsi="Arial" w:cs="Arial"/>
        </w:rPr>
        <w:t>cost related to capacity, e.g., inv_cost: USD2019/GW = $2019/GW</w:t>
      </w:r>
    </w:p>
    <w:p w14:paraId="0D3BED2B" w14:textId="77777777" w:rsidR="000641D4" w:rsidRPr="009776D9" w:rsidRDefault="000641D4" w:rsidP="000641D4">
      <w:pPr>
        <w:pStyle w:val="ListParagraph"/>
        <w:numPr>
          <w:ilvl w:val="0"/>
          <w:numId w:val="1"/>
        </w:numPr>
        <w:rPr>
          <w:rFonts w:ascii="Arial" w:hAnsi="Arial" w:cs="Arial"/>
        </w:rPr>
      </w:pPr>
      <w:r w:rsidRPr="009776D9">
        <w:rPr>
          <w:rFonts w:ascii="Arial" w:hAnsi="Arial" w:cs="Arial"/>
        </w:rPr>
        <w:t>water inflow: m³s</w:t>
      </w:r>
      <w:r w:rsidRPr="009776D9">
        <w:rPr>
          <w:rFonts w:ascii="Arial" w:hAnsi="Arial" w:cs="Arial"/>
          <w:vertAlign w:val="superscript"/>
        </w:rPr>
        <w:t>-1</w:t>
      </w:r>
    </w:p>
    <w:p w14:paraId="4F0654F3" w14:textId="77777777" w:rsidR="000641D4" w:rsidRPr="009776D9" w:rsidRDefault="000641D4" w:rsidP="000641D4">
      <w:pPr>
        <w:ind w:firstLine="0"/>
        <w:jc w:val="left"/>
        <w:rPr>
          <w:rFonts w:ascii="Arial" w:hAnsi="Arial" w:cs="Arial"/>
        </w:rPr>
      </w:pPr>
    </w:p>
    <w:p w14:paraId="311EEC28" w14:textId="77777777" w:rsidR="000641D4" w:rsidRDefault="000641D4" w:rsidP="000641D4">
      <w:pPr>
        <w:rPr>
          <w:rFonts w:ascii="Arial" w:hAnsi="Arial" w:cs="Arial"/>
        </w:rPr>
      </w:pPr>
    </w:p>
    <w:p w14:paraId="0A5687F0" w14:textId="77777777" w:rsidR="000641D4" w:rsidRDefault="000641D4" w:rsidP="000641D4">
      <w:pPr>
        <w:rPr>
          <w:rFonts w:ascii="Arial" w:hAnsi="Arial" w:cs="Arial"/>
        </w:rPr>
      </w:pPr>
    </w:p>
    <w:p w14:paraId="34A9A7A7" w14:textId="77777777" w:rsidR="000641D4" w:rsidRDefault="000641D4" w:rsidP="000641D4">
      <w:pPr>
        <w:rPr>
          <w:rFonts w:ascii="Arial" w:hAnsi="Arial" w:cs="Arial"/>
        </w:rPr>
      </w:pPr>
    </w:p>
    <w:p w14:paraId="31C6281A" w14:textId="77777777" w:rsidR="00BE02BF" w:rsidRDefault="00BE02BF"/>
    <w:sectPr w:rsidR="00BE02B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2D3B77"/>
    <w:multiLevelType w:val="hybridMultilevel"/>
    <w:tmpl w:val="240C4B2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num w:numId="1" w16cid:durableId="1742213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1D4"/>
    <w:rsid w:val="000323DC"/>
    <w:rsid w:val="000641D4"/>
    <w:rsid w:val="00076396"/>
    <w:rsid w:val="002B501A"/>
    <w:rsid w:val="004A5861"/>
    <w:rsid w:val="0065489E"/>
    <w:rsid w:val="009B559A"/>
    <w:rsid w:val="00BE02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766AD"/>
  <w15:chartTrackingRefBased/>
  <w15:docId w15:val="{92843FB5-F752-49EC-923D-DBB07B05D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1D4"/>
    <w:pPr>
      <w:spacing w:after="0" w:line="360" w:lineRule="auto"/>
      <w:ind w:firstLine="567"/>
      <w:jc w:val="both"/>
    </w:pPr>
    <w:rPr>
      <w:rFonts w:ascii="Times New Roman" w:hAnsi="Times New Roman"/>
      <w:kern w:val="0"/>
      <w:sz w:val="24"/>
      <w:lang w:val="en-US"/>
      <w14:ligatures w14:val="none"/>
    </w:rPr>
  </w:style>
  <w:style w:type="paragraph" w:styleId="Heading1">
    <w:name w:val="heading 1"/>
    <w:basedOn w:val="Normal"/>
    <w:next w:val="Normal"/>
    <w:link w:val="Heading1Char"/>
    <w:uiPriority w:val="9"/>
    <w:qFormat/>
    <w:rsid w:val="000641D4"/>
    <w:pPr>
      <w:keepNext/>
      <w:keepLines/>
      <w:ind w:firstLine="0"/>
      <w:jc w:val="left"/>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1D4"/>
    <w:rPr>
      <w:rFonts w:ascii="Times New Roman" w:eastAsiaTheme="majorEastAsia" w:hAnsi="Times New Roman" w:cstheme="majorBidi"/>
      <w:b/>
      <w:kern w:val="0"/>
      <w:sz w:val="24"/>
      <w:szCs w:val="32"/>
      <w:lang w:val="en-US"/>
      <w14:ligatures w14:val="none"/>
    </w:rPr>
  </w:style>
  <w:style w:type="paragraph" w:styleId="Caption">
    <w:name w:val="caption"/>
    <w:basedOn w:val="Normal"/>
    <w:next w:val="Normal"/>
    <w:uiPriority w:val="35"/>
    <w:unhideWhenUsed/>
    <w:qFormat/>
    <w:rsid w:val="000641D4"/>
    <w:pPr>
      <w:spacing w:after="200" w:line="240" w:lineRule="auto"/>
    </w:pPr>
    <w:rPr>
      <w:i/>
      <w:iCs/>
      <w:color w:val="44546A" w:themeColor="text2"/>
      <w:sz w:val="18"/>
      <w:szCs w:val="18"/>
    </w:rPr>
  </w:style>
  <w:style w:type="paragraph" w:styleId="ListParagraph">
    <w:name w:val="List Paragraph"/>
    <w:basedOn w:val="Normal"/>
    <w:uiPriority w:val="34"/>
    <w:qFormat/>
    <w:rsid w:val="000641D4"/>
    <w:pPr>
      <w:ind w:left="720"/>
      <w:contextualSpacing/>
    </w:pPr>
  </w:style>
  <w:style w:type="table" w:styleId="TableGrid">
    <w:name w:val="Table Grid"/>
    <w:basedOn w:val="TableNormal"/>
    <w:uiPriority w:val="39"/>
    <w:rsid w:val="000641D4"/>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641D4"/>
    <w:pPr>
      <w:spacing w:after="0" w:line="240" w:lineRule="auto"/>
      <w:ind w:firstLine="567"/>
      <w:jc w:val="center"/>
    </w:pPr>
    <w:rPr>
      <w:rFonts w:ascii="Arial" w:hAnsi="Arial"/>
      <w:kern w:val="0"/>
      <w:sz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D:\Users\Natalia\Desktop\Doutorado\@_Tese\1st%20article\Data_Inputs_B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sers\Natalia\Desktop\Doutorado\@_Tese\1st%20article\Data_Inputs_B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sers\Natalia\Desktop\Doutorado\@_Tese\1st%20article\Data_Inputs_B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sers\Natalia\Desktop\Doutorado\@_Tese\1st%20article\Data_Inputs_BE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Demand_projections!$E$26</c:f>
              <c:strCache>
                <c:ptCount val="1"/>
                <c:pt idx="0">
                  <c:v>North</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Demand_projections!$F$25:$N$25</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Demand_projections!$F$26:$N$26</c:f>
              <c:numCache>
                <c:formatCode>_-* #,##0_-;\-* #,##0_-;_-* "-"??_-;_-@_-</c:formatCode>
                <c:ptCount val="9"/>
                <c:pt idx="0">
                  <c:v>5.5734018264840186</c:v>
                </c:pt>
                <c:pt idx="1">
                  <c:v>7.4701693324314036</c:v>
                </c:pt>
                <c:pt idx="2">
                  <c:v>9.8379356722538791</c:v>
                </c:pt>
                <c:pt idx="3">
                  <c:v>12.870487683105397</c:v>
                </c:pt>
                <c:pt idx="4">
                  <c:v>17.654440705047822</c:v>
                </c:pt>
                <c:pt idx="5">
                  <c:v>20.704521491525217</c:v>
                </c:pt>
                <c:pt idx="6">
                  <c:v>23.716486155793273</c:v>
                </c:pt>
                <c:pt idx="7">
                  <c:v>26.740273778831845</c:v>
                </c:pt>
                <c:pt idx="8">
                  <c:v>30.231801275656231</c:v>
                </c:pt>
              </c:numCache>
            </c:numRef>
          </c:val>
          <c:smooth val="0"/>
          <c:extLst>
            <c:ext xmlns:c16="http://schemas.microsoft.com/office/drawing/2014/chart" uri="{C3380CC4-5D6E-409C-BE32-E72D297353CC}">
              <c16:uniqueId val="{00000000-B88E-4295-B254-1A6D15627B6B}"/>
            </c:ext>
          </c:extLst>
        </c:ser>
        <c:ser>
          <c:idx val="1"/>
          <c:order val="1"/>
          <c:tx>
            <c:strRef>
              <c:f>Demand_projections!$E$27</c:f>
              <c:strCache>
                <c:ptCount val="1"/>
                <c:pt idx="0">
                  <c:v>Northeast</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Demand_projections!$F$25:$N$25</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Demand_projections!$F$27:$N$27</c:f>
              <c:numCache>
                <c:formatCode>_-* #,##0_-;\-* #,##0_-;_-* "-"??_-;_-@_-</c:formatCode>
                <c:ptCount val="9"/>
                <c:pt idx="0">
                  <c:v>11.043721461187214</c:v>
                </c:pt>
                <c:pt idx="1">
                  <c:v>14.802175034869041</c:v>
                </c:pt>
                <c:pt idx="2">
                  <c:v>19.493914973288348</c:v>
                </c:pt>
                <c:pt idx="3">
                  <c:v>25.502930789313751</c:v>
                </c:pt>
                <c:pt idx="4">
                  <c:v>34.982355798055039</c:v>
                </c:pt>
                <c:pt idx="5">
                  <c:v>41.026104963943709</c:v>
                </c:pt>
                <c:pt idx="6">
                  <c:v>46.994326857626696</c:v>
                </c:pt>
                <c:pt idx="7">
                  <c:v>52.985975998720463</c:v>
                </c:pt>
                <c:pt idx="8">
                  <c:v>59.904453860082555</c:v>
                </c:pt>
              </c:numCache>
            </c:numRef>
          </c:val>
          <c:smooth val="0"/>
          <c:extLst>
            <c:ext xmlns:c16="http://schemas.microsoft.com/office/drawing/2014/chart" uri="{C3380CC4-5D6E-409C-BE32-E72D297353CC}">
              <c16:uniqueId val="{00000001-B88E-4295-B254-1A6D15627B6B}"/>
            </c:ext>
          </c:extLst>
        </c:ser>
        <c:ser>
          <c:idx val="2"/>
          <c:order val="2"/>
          <c:tx>
            <c:strRef>
              <c:f>Demand_projections!$E$28</c:f>
              <c:strCache>
                <c:ptCount val="1"/>
                <c:pt idx="0">
                  <c:v>Southeast/ Midwest</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Demand_projections!$F$25:$N$25</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Demand_projections!$F$28:$N$28</c:f>
              <c:numCache>
                <c:formatCode>_-* #,##0_-;\-* #,##0_-;_-* "-"??_-;_-@_-</c:formatCode>
                <c:ptCount val="9"/>
                <c:pt idx="0">
                  <c:v>39.544063926940638</c:v>
                </c:pt>
                <c:pt idx="1">
                  <c:v>53.001894143543666</c:v>
                </c:pt>
                <c:pt idx="2">
                  <c:v>69.801526831263487</c:v>
                </c:pt>
                <c:pt idx="3">
                  <c:v>91.31790664960792</c:v>
                </c:pt>
                <c:pt idx="4">
                  <c:v>125.26072111244279</c:v>
                </c:pt>
                <c:pt idx="5">
                  <c:v>146.90147004062189</c:v>
                </c:pt>
                <c:pt idx="6">
                  <c:v>168.27177976125441</c:v>
                </c:pt>
                <c:pt idx="7">
                  <c:v>189.72597502468147</c:v>
                </c:pt>
                <c:pt idx="8">
                  <c:v>214.49884998248717</c:v>
                </c:pt>
              </c:numCache>
            </c:numRef>
          </c:val>
          <c:smooth val="0"/>
          <c:extLst>
            <c:ext xmlns:c16="http://schemas.microsoft.com/office/drawing/2014/chart" uri="{C3380CC4-5D6E-409C-BE32-E72D297353CC}">
              <c16:uniqueId val="{00000002-B88E-4295-B254-1A6D15627B6B}"/>
            </c:ext>
          </c:extLst>
        </c:ser>
        <c:ser>
          <c:idx val="3"/>
          <c:order val="3"/>
          <c:tx>
            <c:strRef>
              <c:f>Demand_projections!$E$29</c:f>
              <c:strCache>
                <c:ptCount val="1"/>
                <c:pt idx="0">
                  <c:v>South</c:v>
                </c:pt>
              </c:strCache>
            </c:strRef>
          </c:tx>
          <c:spPr>
            <a:ln w="22225" cap="rnd">
              <a:solidFill>
                <a:schemeClr val="accent4"/>
              </a:solidFill>
              <a:round/>
            </a:ln>
            <a:effectLst/>
          </c:spPr>
          <c:marker>
            <c:symbol val="x"/>
            <c:size val="6"/>
            <c:spPr>
              <a:noFill/>
              <a:ln w="9525">
                <a:solidFill>
                  <a:schemeClr val="accent4"/>
                </a:solidFill>
                <a:round/>
              </a:ln>
              <a:effectLst/>
            </c:spPr>
          </c:marker>
          <c:cat>
            <c:numRef>
              <c:f>Demand_projections!$F$25:$N$25</c:f>
              <c:numCache>
                <c:formatCode>General</c:formatCode>
                <c:ptCount val="9"/>
                <c:pt idx="0">
                  <c:v>2020</c:v>
                </c:pt>
                <c:pt idx="1">
                  <c:v>2030</c:v>
                </c:pt>
                <c:pt idx="2">
                  <c:v>2040</c:v>
                </c:pt>
                <c:pt idx="3">
                  <c:v>2050</c:v>
                </c:pt>
                <c:pt idx="4">
                  <c:v>2060</c:v>
                </c:pt>
                <c:pt idx="5">
                  <c:v>2070</c:v>
                </c:pt>
                <c:pt idx="6">
                  <c:v>2080</c:v>
                </c:pt>
                <c:pt idx="7">
                  <c:v>2090</c:v>
                </c:pt>
                <c:pt idx="8">
                  <c:v>2100</c:v>
                </c:pt>
              </c:numCache>
            </c:numRef>
          </c:cat>
          <c:val>
            <c:numRef>
              <c:f>Demand_projections!$F$29:$N$29</c:f>
              <c:numCache>
                <c:formatCode>_-* #,##0_-;\-* #,##0_-;_-* "-"??_-;_-@_-</c:formatCode>
                <c:ptCount val="9"/>
                <c:pt idx="0">
                  <c:v>11.674200913242009</c:v>
                </c:pt>
                <c:pt idx="1">
                  <c:v>15.647222353202995</c:v>
                </c:pt>
                <c:pt idx="2">
                  <c:v>20.606810918188458</c:v>
                </c:pt>
                <c:pt idx="3">
                  <c:v>26.958877852660763</c:v>
                </c:pt>
                <c:pt idx="4">
                  <c:v>36.979477564721961</c:v>
                </c:pt>
                <c:pt idx="5">
                  <c:v>43.368260755224334</c:v>
                </c:pt>
                <c:pt idx="6">
                  <c:v>49.677204866729916</c:v>
                </c:pt>
                <c:pt idx="7">
                  <c:v>56.010913673187176</c:v>
                </c:pt>
                <c:pt idx="8">
                  <c:v>63.324363297139875</c:v>
                </c:pt>
              </c:numCache>
            </c:numRef>
          </c:val>
          <c:smooth val="0"/>
          <c:extLst>
            <c:ext xmlns:c16="http://schemas.microsoft.com/office/drawing/2014/chart" uri="{C3380CC4-5D6E-409C-BE32-E72D297353CC}">
              <c16:uniqueId val="{00000003-B88E-4295-B254-1A6D15627B6B}"/>
            </c:ext>
          </c:extLst>
        </c:ser>
        <c:dLbls>
          <c:showLegendKey val="0"/>
          <c:showVal val="0"/>
          <c:showCatName val="0"/>
          <c:showSerName val="0"/>
          <c:showPercent val="0"/>
          <c:showBubbleSize val="0"/>
        </c:dLbls>
        <c:marker val="1"/>
        <c:smooth val="0"/>
        <c:axId val="779039807"/>
        <c:axId val="779041471"/>
      </c:lineChart>
      <c:catAx>
        <c:axId val="77903980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cap="all" spc="120" normalizeH="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779041471"/>
        <c:crosses val="autoZero"/>
        <c:auto val="1"/>
        <c:lblAlgn val="ctr"/>
        <c:lblOffset val="100"/>
        <c:noMultiLvlLbl val="0"/>
      </c:catAx>
      <c:valAx>
        <c:axId val="779041471"/>
        <c:scaling>
          <c:orientation val="minMax"/>
        </c:scaling>
        <c:delete val="0"/>
        <c:axPos val="l"/>
        <c:title>
          <c:tx>
            <c:rich>
              <a:bodyPr rot="-5400000" spcFirstLastPara="1" vertOverflow="ellipsis" vert="horz" wrap="square" anchor="ctr" anchorCtr="1"/>
              <a:lstStyle/>
              <a:p>
                <a:pPr>
                  <a:defRPr sz="1100" b="0" i="0" u="none" strike="noStrike" kern="1200" cap="all" baseline="0">
                    <a:solidFill>
                      <a:sysClr val="windowText" lastClr="000000"/>
                    </a:solidFill>
                    <a:latin typeface="Arial" panose="020B0604020202020204" pitchFamily="34" charset="0"/>
                    <a:ea typeface="+mn-ea"/>
                    <a:cs typeface="Arial" panose="020B0604020202020204" pitchFamily="34" charset="0"/>
                  </a:defRPr>
                </a:pPr>
                <a:r>
                  <a:rPr lang="pt-BR"/>
                  <a:t>energy demand projections (GW</a:t>
                </a:r>
                <a:r>
                  <a:rPr lang="pt-BR" cap="none"/>
                  <a:t>a</a:t>
                </a:r>
                <a:r>
                  <a:rPr lang="pt-BR"/>
                  <a:t>)</a:t>
                </a:r>
              </a:p>
            </c:rich>
          </c:tx>
          <c:overlay val="0"/>
          <c:spPr>
            <a:noFill/>
            <a:ln>
              <a:noFill/>
            </a:ln>
            <a:effectLst/>
          </c:spPr>
          <c:txPr>
            <a:bodyPr rot="-5400000" spcFirstLastPara="1" vertOverflow="ellipsis" vert="horz" wrap="square" anchor="ctr" anchorCtr="1"/>
            <a:lstStyle/>
            <a:p>
              <a:pPr>
                <a:defRPr sz="1100" b="0" i="0" u="none" strike="noStrike" kern="1200" cap="all"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0"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779039807"/>
        <c:crosses val="autoZero"/>
        <c:crossBetween val="between"/>
      </c:valAx>
      <c:spPr>
        <a:noFill/>
        <a:ln>
          <a:solidFill>
            <a:schemeClr val="bg1">
              <a:lumMod val="85000"/>
            </a:schemeClr>
          </a:solidFill>
        </a:ln>
        <a:effectLst/>
      </c:spPr>
    </c:plotArea>
    <c:legend>
      <c:legendPos val="t"/>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sz="1100">
          <a:solidFill>
            <a:sysClr val="windowText" lastClr="000000"/>
          </a:solidFill>
          <a:latin typeface="Arial" panose="020B0604020202020204" pitchFamily="34" charset="0"/>
          <a:cs typeface="Arial" panose="020B0604020202020204" pitchFamily="34" charset="0"/>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pt-BR"/>
              <a:t>Wind onshore</a:t>
            </a:r>
          </a:p>
        </c:rich>
      </c:tx>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de-DE"/>
        </a:p>
      </c:txPr>
    </c:title>
    <c:autoTitleDeleted val="0"/>
    <c:plotArea>
      <c:layout/>
      <c:lineChart>
        <c:grouping val="standard"/>
        <c:varyColors val="0"/>
        <c:ser>
          <c:idx val="0"/>
          <c:order val="0"/>
          <c:spPr>
            <a:ln w="28575" cap="rnd">
              <a:solidFill>
                <a:schemeClr val="accent1"/>
              </a:solidFill>
              <a:round/>
            </a:ln>
            <a:effectLst/>
          </c:spPr>
          <c:marker>
            <c:symbol val="none"/>
          </c:marker>
          <c:cat>
            <c:numRef>
              <c:f>'CAPEX prices'!$C$5:$C$12</c:f>
              <c:numCache>
                <c:formatCode>General</c:formatCode>
                <c:ptCount val="8"/>
                <c:pt idx="0">
                  <c:v>2020</c:v>
                </c:pt>
                <c:pt idx="1">
                  <c:v>2030</c:v>
                </c:pt>
                <c:pt idx="2">
                  <c:v>2040</c:v>
                </c:pt>
                <c:pt idx="3">
                  <c:v>2050</c:v>
                </c:pt>
                <c:pt idx="4">
                  <c:v>2060</c:v>
                </c:pt>
                <c:pt idx="5">
                  <c:v>2070</c:v>
                </c:pt>
                <c:pt idx="6">
                  <c:v>2080</c:v>
                </c:pt>
                <c:pt idx="7">
                  <c:v>2090</c:v>
                </c:pt>
              </c:numCache>
            </c:numRef>
          </c:cat>
          <c:val>
            <c:numRef>
              <c:f>'CAPEX prices'!$D$5:$D$12</c:f>
              <c:numCache>
                <c:formatCode>General</c:formatCode>
                <c:ptCount val="8"/>
                <c:pt idx="0">
                  <c:v>1200</c:v>
                </c:pt>
                <c:pt idx="1">
                  <c:v>1200</c:v>
                </c:pt>
                <c:pt idx="2">
                  <c:v>950</c:v>
                </c:pt>
                <c:pt idx="3">
                  <c:v>872</c:v>
                </c:pt>
                <c:pt idx="4">
                  <c:v>747</c:v>
                </c:pt>
                <c:pt idx="5">
                  <c:v>623.59999999999991</c:v>
                </c:pt>
                <c:pt idx="6">
                  <c:v>500.19999999999993</c:v>
                </c:pt>
                <c:pt idx="7">
                  <c:v>376.79999999999995</c:v>
                </c:pt>
              </c:numCache>
            </c:numRef>
          </c:val>
          <c:smooth val="0"/>
          <c:extLst>
            <c:ext xmlns:c16="http://schemas.microsoft.com/office/drawing/2014/chart" uri="{C3380CC4-5D6E-409C-BE32-E72D297353CC}">
              <c16:uniqueId val="{00000000-9BE8-459A-837F-F66EC842E776}"/>
            </c:ext>
          </c:extLst>
        </c:ser>
        <c:dLbls>
          <c:showLegendKey val="0"/>
          <c:showVal val="0"/>
          <c:showCatName val="0"/>
          <c:showSerName val="0"/>
          <c:showPercent val="0"/>
          <c:showBubbleSize val="0"/>
        </c:dLbls>
        <c:smooth val="0"/>
        <c:axId val="563636479"/>
        <c:axId val="563634399"/>
      </c:lineChart>
      <c:catAx>
        <c:axId val="5636364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3000000" spcFirstLastPara="1" vertOverflow="ellipsis"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563634399"/>
        <c:crosses val="autoZero"/>
        <c:auto val="1"/>
        <c:lblAlgn val="ctr"/>
        <c:lblOffset val="100"/>
        <c:noMultiLvlLbl val="0"/>
      </c:catAx>
      <c:valAx>
        <c:axId val="5636343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106USD/GW</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563636479"/>
        <c:crosses val="autoZero"/>
        <c:crossBetween val="between"/>
      </c:valAx>
      <c:spPr>
        <a:noFill/>
        <a:ln>
          <a:solidFill>
            <a:schemeClr val="bg1">
              <a:lumMod val="85000"/>
            </a:schemeClr>
          </a:solidFill>
        </a:ln>
        <a:effectLst/>
      </c:spPr>
    </c:plotArea>
    <c:plotVisOnly val="1"/>
    <c:dispBlanksAs val="gap"/>
    <c:showDLblsOverMax val="0"/>
  </c:chart>
  <c:spPr>
    <a:solidFill>
      <a:schemeClr val="bg1"/>
    </a:solidFill>
    <a:ln w="9525" cap="flat" cmpd="sng" algn="ctr">
      <a:noFill/>
      <a:round/>
    </a:ln>
    <a:effectLst/>
  </c:spPr>
  <c:txPr>
    <a:bodyPr/>
    <a:lstStyle/>
    <a:p>
      <a:pPr>
        <a:defRPr sz="900">
          <a:solidFill>
            <a:sysClr val="windowText" lastClr="000000"/>
          </a:solidFill>
          <a:latin typeface="Arial" panose="020B0604020202020204" pitchFamily="34" charset="0"/>
          <a:cs typeface="Arial" panose="020B0604020202020204" pitchFamily="34" charset="0"/>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pt-BR"/>
              <a:t>Wind offshore</a:t>
            </a:r>
          </a:p>
        </c:rich>
      </c:tx>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de-DE"/>
        </a:p>
      </c:txPr>
    </c:title>
    <c:autoTitleDeleted val="0"/>
    <c:plotArea>
      <c:layout/>
      <c:lineChart>
        <c:grouping val="standard"/>
        <c:varyColors val="0"/>
        <c:ser>
          <c:idx val="1"/>
          <c:order val="0"/>
          <c:spPr>
            <a:ln w="28575" cap="rnd">
              <a:solidFill>
                <a:schemeClr val="accent1">
                  <a:lumMod val="50000"/>
                </a:schemeClr>
              </a:solidFill>
              <a:round/>
            </a:ln>
            <a:effectLst/>
          </c:spPr>
          <c:marker>
            <c:symbol val="none"/>
          </c:marker>
          <c:cat>
            <c:numRef>
              <c:f>'CAPEX prices'!$C$5:$C$12</c:f>
              <c:numCache>
                <c:formatCode>General</c:formatCode>
                <c:ptCount val="8"/>
                <c:pt idx="0">
                  <c:v>2020</c:v>
                </c:pt>
                <c:pt idx="1">
                  <c:v>2030</c:v>
                </c:pt>
                <c:pt idx="2">
                  <c:v>2040</c:v>
                </c:pt>
                <c:pt idx="3">
                  <c:v>2050</c:v>
                </c:pt>
                <c:pt idx="4">
                  <c:v>2060</c:v>
                </c:pt>
                <c:pt idx="5">
                  <c:v>2070</c:v>
                </c:pt>
                <c:pt idx="6">
                  <c:v>2080</c:v>
                </c:pt>
                <c:pt idx="7">
                  <c:v>2090</c:v>
                </c:pt>
              </c:numCache>
            </c:numRef>
          </c:cat>
          <c:val>
            <c:numRef>
              <c:f>'CAPEX prices'!$E$5:$E$12</c:f>
              <c:numCache>
                <c:formatCode>General</c:formatCode>
                <c:ptCount val="8"/>
                <c:pt idx="0">
                  <c:v>3500</c:v>
                </c:pt>
                <c:pt idx="1">
                  <c:v>3100</c:v>
                </c:pt>
                <c:pt idx="2">
                  <c:v>2500</c:v>
                </c:pt>
                <c:pt idx="3">
                  <c:v>1900</c:v>
                </c:pt>
                <c:pt idx="4">
                  <c:v>1783.3000000000002</c:v>
                </c:pt>
                <c:pt idx="5">
                  <c:v>1633.3000000000002</c:v>
                </c:pt>
                <c:pt idx="6">
                  <c:v>1233.3000000000002</c:v>
                </c:pt>
                <c:pt idx="7">
                  <c:v>833.30000000000018</c:v>
                </c:pt>
              </c:numCache>
            </c:numRef>
          </c:val>
          <c:smooth val="0"/>
          <c:extLst>
            <c:ext xmlns:c16="http://schemas.microsoft.com/office/drawing/2014/chart" uri="{C3380CC4-5D6E-409C-BE32-E72D297353CC}">
              <c16:uniqueId val="{00000000-A437-43D2-BD11-B8F35FAA4D58}"/>
            </c:ext>
          </c:extLst>
        </c:ser>
        <c:dLbls>
          <c:showLegendKey val="0"/>
          <c:showVal val="0"/>
          <c:showCatName val="0"/>
          <c:showSerName val="0"/>
          <c:showPercent val="0"/>
          <c:showBubbleSize val="0"/>
        </c:dLbls>
        <c:smooth val="0"/>
        <c:axId val="563636479"/>
        <c:axId val="563634399"/>
        <c:extLst>
          <c:ext xmlns:c15="http://schemas.microsoft.com/office/drawing/2012/chart" uri="{02D57815-91ED-43cb-92C2-25804820EDAC}">
            <c15:filteredLineSeries>
              <c15:ser>
                <c:idx val="0"/>
                <c:order val="1"/>
                <c:spPr>
                  <a:ln w="28575" cap="rnd">
                    <a:solidFill>
                      <a:schemeClr val="accent1"/>
                    </a:solidFill>
                    <a:round/>
                  </a:ln>
                  <a:effectLst/>
                </c:spPr>
                <c:marker>
                  <c:symbol val="none"/>
                </c:marker>
                <c:cat>
                  <c:numRef>
                    <c:extLst>
                      <c:ext uri="{02D57815-91ED-43cb-92C2-25804820EDAC}">
                        <c15:formulaRef>
                          <c15:sqref>'CAPEX prices'!$C$5:$C$12</c15:sqref>
                        </c15:formulaRef>
                      </c:ext>
                    </c:extLst>
                    <c:numCache>
                      <c:formatCode>General</c:formatCode>
                      <c:ptCount val="8"/>
                      <c:pt idx="0">
                        <c:v>2020</c:v>
                      </c:pt>
                      <c:pt idx="1">
                        <c:v>2030</c:v>
                      </c:pt>
                      <c:pt idx="2">
                        <c:v>2040</c:v>
                      </c:pt>
                      <c:pt idx="3">
                        <c:v>2050</c:v>
                      </c:pt>
                      <c:pt idx="4">
                        <c:v>2060</c:v>
                      </c:pt>
                      <c:pt idx="5">
                        <c:v>2070</c:v>
                      </c:pt>
                      <c:pt idx="6">
                        <c:v>2080</c:v>
                      </c:pt>
                      <c:pt idx="7">
                        <c:v>2090</c:v>
                      </c:pt>
                    </c:numCache>
                  </c:numRef>
                </c:cat>
                <c:val>
                  <c:numRef>
                    <c:extLst>
                      <c:ext uri="{02D57815-91ED-43cb-92C2-25804820EDAC}">
                        <c15:formulaRef>
                          <c15:sqref>'CAPEX prices'!$D$5:$D$12</c15:sqref>
                        </c15:formulaRef>
                      </c:ext>
                    </c:extLst>
                    <c:numCache>
                      <c:formatCode>General</c:formatCode>
                      <c:ptCount val="8"/>
                      <c:pt idx="0">
                        <c:v>1200</c:v>
                      </c:pt>
                      <c:pt idx="1">
                        <c:v>1200</c:v>
                      </c:pt>
                      <c:pt idx="2">
                        <c:v>950</c:v>
                      </c:pt>
                      <c:pt idx="3">
                        <c:v>872</c:v>
                      </c:pt>
                      <c:pt idx="4">
                        <c:v>747</c:v>
                      </c:pt>
                      <c:pt idx="5">
                        <c:v>623.59999999999991</c:v>
                      </c:pt>
                      <c:pt idx="6">
                        <c:v>500.19999999999993</c:v>
                      </c:pt>
                      <c:pt idx="7">
                        <c:v>376.79999999999995</c:v>
                      </c:pt>
                    </c:numCache>
                  </c:numRef>
                </c:val>
                <c:smooth val="0"/>
                <c:extLst>
                  <c:ext xmlns:c16="http://schemas.microsoft.com/office/drawing/2014/chart" uri="{C3380CC4-5D6E-409C-BE32-E72D297353CC}">
                    <c16:uniqueId val="{00000001-A437-43D2-BD11-B8F35FAA4D58}"/>
                  </c:ext>
                </c:extLst>
              </c15:ser>
            </c15:filteredLineSeries>
          </c:ext>
        </c:extLst>
      </c:lineChart>
      <c:catAx>
        <c:axId val="5636364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3000000" spcFirstLastPara="1" vertOverflow="ellipsis"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563634399"/>
        <c:crosses val="autoZero"/>
        <c:auto val="1"/>
        <c:lblAlgn val="ctr"/>
        <c:lblOffset val="100"/>
        <c:noMultiLvlLbl val="0"/>
      </c:catAx>
      <c:valAx>
        <c:axId val="5636343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106USD/GW</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563636479"/>
        <c:crosses val="autoZero"/>
        <c:crossBetween val="between"/>
      </c:valAx>
      <c:spPr>
        <a:noFill/>
        <a:ln>
          <a:solidFill>
            <a:schemeClr val="bg1">
              <a:lumMod val="85000"/>
            </a:schemeClr>
          </a:solidFill>
        </a:ln>
        <a:effectLst/>
      </c:spPr>
    </c:plotArea>
    <c:plotVisOnly val="1"/>
    <c:dispBlanksAs val="gap"/>
    <c:showDLblsOverMax val="0"/>
  </c:chart>
  <c:spPr>
    <a:solidFill>
      <a:schemeClr val="bg1"/>
    </a:solidFill>
    <a:ln w="9525" cap="flat" cmpd="sng" algn="ctr">
      <a:noFill/>
      <a:round/>
    </a:ln>
    <a:effectLst/>
  </c:spPr>
  <c:txPr>
    <a:bodyPr/>
    <a:lstStyle/>
    <a:p>
      <a:pPr>
        <a:defRPr sz="900">
          <a:solidFill>
            <a:sysClr val="windowText" lastClr="000000"/>
          </a:solidFill>
          <a:latin typeface="Arial" panose="020B0604020202020204" pitchFamily="34" charset="0"/>
          <a:cs typeface="Arial" panose="020B0604020202020204" pitchFamily="34" charset="0"/>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pt-BR"/>
              <a:t>Solar power</a:t>
            </a:r>
          </a:p>
        </c:rich>
      </c:tx>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de-DE"/>
        </a:p>
      </c:txPr>
    </c:title>
    <c:autoTitleDeleted val="0"/>
    <c:plotArea>
      <c:layout/>
      <c:lineChart>
        <c:grouping val="standard"/>
        <c:varyColors val="0"/>
        <c:ser>
          <c:idx val="1"/>
          <c:order val="0"/>
          <c:spPr>
            <a:ln w="28575" cap="rnd">
              <a:solidFill>
                <a:schemeClr val="accent2"/>
              </a:solidFill>
              <a:round/>
            </a:ln>
            <a:effectLst/>
          </c:spPr>
          <c:marker>
            <c:symbol val="none"/>
          </c:marker>
          <c:cat>
            <c:numRef>
              <c:f>'CAPEX prices'!$C$5:$C$12</c:f>
              <c:numCache>
                <c:formatCode>General</c:formatCode>
                <c:ptCount val="8"/>
                <c:pt idx="0">
                  <c:v>2020</c:v>
                </c:pt>
                <c:pt idx="1">
                  <c:v>2030</c:v>
                </c:pt>
                <c:pt idx="2">
                  <c:v>2040</c:v>
                </c:pt>
                <c:pt idx="3">
                  <c:v>2050</c:v>
                </c:pt>
                <c:pt idx="4">
                  <c:v>2060</c:v>
                </c:pt>
                <c:pt idx="5">
                  <c:v>2070</c:v>
                </c:pt>
                <c:pt idx="6">
                  <c:v>2080</c:v>
                </c:pt>
                <c:pt idx="7">
                  <c:v>2090</c:v>
                </c:pt>
              </c:numCache>
            </c:numRef>
          </c:cat>
          <c:val>
            <c:numRef>
              <c:f>'CAPEX prices'!$I$5:$I$11</c:f>
              <c:numCache>
                <c:formatCode>General</c:formatCode>
                <c:ptCount val="7"/>
                <c:pt idx="0">
                  <c:v>1050</c:v>
                </c:pt>
                <c:pt idx="1">
                  <c:v>850</c:v>
                </c:pt>
                <c:pt idx="2">
                  <c:v>641</c:v>
                </c:pt>
                <c:pt idx="3">
                  <c:v>436</c:v>
                </c:pt>
                <c:pt idx="4">
                  <c:v>231</c:v>
                </c:pt>
                <c:pt idx="5">
                  <c:v>126</c:v>
                </c:pt>
                <c:pt idx="6">
                  <c:v>21</c:v>
                </c:pt>
              </c:numCache>
            </c:numRef>
          </c:val>
          <c:smooth val="0"/>
          <c:extLst>
            <c:ext xmlns:c16="http://schemas.microsoft.com/office/drawing/2014/chart" uri="{C3380CC4-5D6E-409C-BE32-E72D297353CC}">
              <c16:uniqueId val="{00000000-2D3F-4716-B314-5BEC3FE2BE7C}"/>
            </c:ext>
          </c:extLst>
        </c:ser>
        <c:dLbls>
          <c:showLegendKey val="0"/>
          <c:showVal val="0"/>
          <c:showCatName val="0"/>
          <c:showSerName val="0"/>
          <c:showPercent val="0"/>
          <c:showBubbleSize val="0"/>
        </c:dLbls>
        <c:smooth val="0"/>
        <c:axId val="563636479"/>
        <c:axId val="563634399"/>
        <c:extLst>
          <c:ext xmlns:c15="http://schemas.microsoft.com/office/drawing/2012/chart" uri="{02D57815-91ED-43cb-92C2-25804820EDAC}">
            <c15:filteredLineSeries>
              <c15:ser>
                <c:idx val="0"/>
                <c:order val="1"/>
                <c:spPr>
                  <a:ln w="28575" cap="rnd">
                    <a:solidFill>
                      <a:schemeClr val="accent1"/>
                    </a:solidFill>
                    <a:round/>
                  </a:ln>
                  <a:effectLst/>
                </c:spPr>
                <c:marker>
                  <c:symbol val="none"/>
                </c:marker>
                <c:cat>
                  <c:numRef>
                    <c:extLst>
                      <c:ext uri="{02D57815-91ED-43cb-92C2-25804820EDAC}">
                        <c15:formulaRef>
                          <c15:sqref>'CAPEX prices'!$C$5:$C$12</c15:sqref>
                        </c15:formulaRef>
                      </c:ext>
                    </c:extLst>
                    <c:numCache>
                      <c:formatCode>General</c:formatCode>
                      <c:ptCount val="8"/>
                      <c:pt idx="0">
                        <c:v>2020</c:v>
                      </c:pt>
                      <c:pt idx="1">
                        <c:v>2030</c:v>
                      </c:pt>
                      <c:pt idx="2">
                        <c:v>2040</c:v>
                      </c:pt>
                      <c:pt idx="3">
                        <c:v>2050</c:v>
                      </c:pt>
                      <c:pt idx="4">
                        <c:v>2060</c:v>
                      </c:pt>
                      <c:pt idx="5">
                        <c:v>2070</c:v>
                      </c:pt>
                      <c:pt idx="6">
                        <c:v>2080</c:v>
                      </c:pt>
                      <c:pt idx="7">
                        <c:v>2090</c:v>
                      </c:pt>
                    </c:numCache>
                  </c:numRef>
                </c:cat>
                <c:val>
                  <c:numRef>
                    <c:extLst>
                      <c:ext uri="{02D57815-91ED-43cb-92C2-25804820EDAC}">
                        <c15:formulaRef>
                          <c15:sqref>'CAPEX prices'!$D$5:$D$12</c15:sqref>
                        </c15:formulaRef>
                      </c:ext>
                    </c:extLst>
                    <c:numCache>
                      <c:formatCode>General</c:formatCode>
                      <c:ptCount val="8"/>
                      <c:pt idx="0">
                        <c:v>1200</c:v>
                      </c:pt>
                      <c:pt idx="1">
                        <c:v>1200</c:v>
                      </c:pt>
                      <c:pt idx="2">
                        <c:v>950</c:v>
                      </c:pt>
                      <c:pt idx="3">
                        <c:v>872</c:v>
                      </c:pt>
                      <c:pt idx="4">
                        <c:v>747</c:v>
                      </c:pt>
                      <c:pt idx="5">
                        <c:v>623.59999999999991</c:v>
                      </c:pt>
                      <c:pt idx="6">
                        <c:v>500.19999999999993</c:v>
                      </c:pt>
                      <c:pt idx="7">
                        <c:v>376.79999999999995</c:v>
                      </c:pt>
                    </c:numCache>
                  </c:numRef>
                </c:val>
                <c:smooth val="0"/>
                <c:extLst>
                  <c:ext xmlns:c16="http://schemas.microsoft.com/office/drawing/2014/chart" uri="{C3380CC4-5D6E-409C-BE32-E72D297353CC}">
                    <c16:uniqueId val="{00000001-2D3F-4716-B314-5BEC3FE2BE7C}"/>
                  </c:ext>
                </c:extLst>
              </c15:ser>
            </c15:filteredLineSeries>
          </c:ext>
        </c:extLst>
      </c:lineChart>
      <c:catAx>
        <c:axId val="5636364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3000000" spcFirstLastPara="1" vertOverflow="ellipsis"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563634399"/>
        <c:crosses val="autoZero"/>
        <c:auto val="1"/>
        <c:lblAlgn val="ctr"/>
        <c:lblOffset val="100"/>
        <c:noMultiLvlLbl val="0"/>
      </c:catAx>
      <c:valAx>
        <c:axId val="5636343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106USD/GW</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563636479"/>
        <c:crosses val="autoZero"/>
        <c:crossBetween val="between"/>
      </c:valAx>
      <c:spPr>
        <a:noFill/>
        <a:ln>
          <a:solidFill>
            <a:schemeClr val="bg1">
              <a:lumMod val="85000"/>
            </a:schemeClr>
          </a:solidFill>
        </a:ln>
        <a:effectLst/>
      </c:spPr>
    </c:plotArea>
    <c:plotVisOnly val="1"/>
    <c:dispBlanksAs val="gap"/>
    <c:showDLblsOverMax val="0"/>
  </c:chart>
  <c:spPr>
    <a:solidFill>
      <a:schemeClr val="bg1"/>
    </a:solidFill>
    <a:ln w="9525" cap="flat" cmpd="sng" algn="ctr">
      <a:noFill/>
      <a:round/>
    </a:ln>
    <a:effectLst/>
  </c:spPr>
  <c:txPr>
    <a:bodyPr/>
    <a:lstStyle/>
    <a:p>
      <a:pPr>
        <a:defRPr sz="900">
          <a:solidFill>
            <a:sysClr val="windowText" lastClr="000000"/>
          </a:solidFill>
          <a:latin typeface="Arial" panose="020B0604020202020204" pitchFamily="34" charset="0"/>
          <a:cs typeface="Arial" panose="020B0604020202020204" pitchFamily="34" charset="0"/>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59DCC-9281-44E9-B314-D44A6F3BB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4588</Words>
  <Characters>28908</Characters>
  <Application>Microsoft Office Word</Application>
  <DocSecurity>0</DocSecurity>
  <Lines>240</Lines>
  <Paragraphs>66</Paragraphs>
  <ScaleCrop>false</ScaleCrop>
  <Company/>
  <LinksUpToDate>false</LinksUpToDate>
  <CharactersWithSpaces>33430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Weber</dc:creator>
  <cp:keywords/>
  <dc:description/>
  <cp:lastModifiedBy>Natalia Weber</cp:lastModifiedBy>
  <cp:revision>4</cp:revision>
  <dcterms:created xsi:type="dcterms:W3CDTF">2024-02-23T15:40:00Z</dcterms:created>
  <dcterms:modified xsi:type="dcterms:W3CDTF">2024-02-23T15:43:00Z</dcterms:modified>
</cp:coreProperties>
</file>