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1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выполнения работы Вам необходимо: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Перейти по ссылке и ознакомиться с описанием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Подключиться к базе данных</w:t>
      </w:r>
      <w:r w:rsidDel="00000000" w:rsidR="00000000" w:rsidRPr="00000000">
        <w:rPr>
          <w:b w:val="1"/>
          <w:rtl w:val="0"/>
        </w:rPr>
        <w:t xml:space="preserve"> avia</w:t>
      </w:r>
      <w:r w:rsidDel="00000000" w:rsidR="00000000" w:rsidRPr="00000000">
        <w:rPr>
          <w:rtl w:val="0"/>
        </w:rPr>
        <w:t xml:space="preserve"> по одному из следующих вариантов: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облачное подключение, те же настройки, что и у dvd-rental, только название базы </w:t>
      </w:r>
      <w:r w:rsidDel="00000000" w:rsidR="00000000" w:rsidRPr="00000000">
        <w:rPr>
          <w:b w:val="1"/>
          <w:rtl w:val="0"/>
        </w:rPr>
        <w:t xml:space="preserve">demo</w:t>
      </w:r>
      <w:r w:rsidDel="00000000" w:rsidR="00000000" w:rsidRPr="00000000">
        <w:rPr>
          <w:rtl w:val="0"/>
        </w:rPr>
        <w:t xml:space="preserve">, схема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импорт sql запроса из sql файла, представленных на 2 странице описания базы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3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восстановить базу из *.backup файла по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Оформить работу согласно “Приложения №1” в формате *.pdf или *.doc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Создать запросы, позволяющие ответить на вопросы из “Приложения №2”, решения должны быть приложены в формате *.sql одним файлом.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Отправить работу на проверку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№1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Итоговая работа </w:t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В работе использовался _______ тип подключения.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если база была развернута из *.sql или *.backup файла, необходимо приложить скриншот успешного импорта или восстановления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Скриншот ER-диаграммы из DBeaver`a согласно Вашего подключения.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Краткое описание БД - из каких таблиц и представлений состоит.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Список SQL запросов из приложения №2 с описанием логики их выполнения.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Перелет = flight_id</w:t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Баллы за оформление: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0 - облачная база, 10 - локальная база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60 баллов.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30 баллов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Приложение №2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445"/>
        <w:gridCol w:w="3060"/>
        <w:tblGridChange w:id="0">
          <w:tblGrid>
            <w:gridCol w:w="510"/>
            <w:gridCol w:w="544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решении обязательно должно быть использовано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каких городах больше одного аэропорта?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 каких аэропортах есть рейсы, выполняемые самолетом с максимальной дальностью перелета?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Вывести 10 рейсов с максимальным временем задержки вылета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Оператор LIMIT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Были ли брони, по которым не были получены посадочные талоны?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Верный тип JOIN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1d1c1d"/>
                <w:sz w:val="23"/>
                <w:szCs w:val="23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Найдите свободные места для каждого рейса, их % отношение к общему количеству мест в самолете.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за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Оконная функция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Подзапросы или cte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Найдите процентное соотношение перелетов по типам самолетов от общего количества.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Были ли города, в которые можно  добраться бизнес - классом дешевле, чем эконом-классом в рамках перелета?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Между какими городами нет прямых рейсов?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Декартово произведение в предложении FROM</w:t>
              <w:br w:type="textWrapping"/>
              <w:t xml:space="preserve">- Самостоятельно созданные представления (если облачное подключение, то без представления)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EXCEPT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RADIANS или использование sind/cosd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CASE 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* - В облачной базе координаты находятся в столбце airports_data.coordinates - работаете, как с массивом. В локальной базе координаты находятся в столбцах airports.longitude и airports.latitude.</w:t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Кратчайшее расстояние между двумя точками A и B на земной поверхности (если принять ее за сферу) определяется зависимостью:</w:t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 = arccos {sin(latitude_a)·sin(latitude_b) + cos(latitude_a)·cos(latitude_b)·cos(longitude_a - longitude_b)}, где latitude_a и latitude_b — широты, longitude_a, longitude_b — долготы данных пунктов, d — расстояние между пунктами измеряется в радианах длиной дуги большого круга земного шара.</w:t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Расстояние между пунктами, измеряемое в километрах, определяется по формуле:</w:t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 = d·R, где R = 6371 км — средний радиус земного шара.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Баллы за запросы: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A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200 баллов.</w:t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130 баллов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hyperlink" Target="https://drive.google.com/file/d/1U15gYuu_ZFE2sQMN32GXK3phBLcUl6O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