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6CB2" w14:textId="0A9D12C3" w:rsidR="00C60581" w:rsidRPr="000F42A9" w:rsidRDefault="00B94018">
      <w:pPr>
        <w:rPr>
          <w:b/>
          <w:bCs/>
          <w:color w:val="EE0000"/>
        </w:rPr>
      </w:pPr>
      <w:r w:rsidRPr="000F42A9">
        <w:rPr>
          <w:b/>
          <w:bCs/>
          <w:color w:val="EE0000"/>
        </w:rPr>
        <w:t>Section heading</w:t>
      </w:r>
    </w:p>
    <w:p w14:paraId="5DAC3E0D" w14:textId="221D50CC" w:rsidR="00B94018" w:rsidRPr="000F42A9" w:rsidRDefault="006E2C45" w:rsidP="00B94018">
      <w:pPr>
        <w:pStyle w:val="ListParagraph"/>
        <w:numPr>
          <w:ilvl w:val="0"/>
          <w:numId w:val="1"/>
        </w:numPr>
        <w:rPr>
          <w:color w:val="00B050"/>
        </w:rPr>
      </w:pPr>
      <w:r w:rsidRPr="000F42A9">
        <w:rPr>
          <w:color w:val="EE0000"/>
        </w:rPr>
        <w:t>“S</w:t>
      </w:r>
      <w:r w:rsidR="0091770A" w:rsidRPr="000F42A9">
        <w:rPr>
          <w:color w:val="EE0000"/>
        </w:rPr>
        <w:t>ub</w:t>
      </w:r>
      <w:r w:rsidRPr="000F42A9">
        <w:rPr>
          <w:color w:val="EE0000"/>
        </w:rPr>
        <w:t>heading</w:t>
      </w:r>
      <w:r w:rsidR="00924D7F" w:rsidRPr="000F42A9">
        <w:rPr>
          <w:color w:val="EE0000"/>
        </w:rPr>
        <w:t xml:space="preserve"> or target text</w:t>
      </w:r>
      <w:r w:rsidR="0091770A" w:rsidRPr="000F42A9">
        <w:rPr>
          <w:color w:val="EE0000"/>
        </w:rPr>
        <w:t xml:space="preserve"> if applicable</w:t>
      </w:r>
      <w:r w:rsidRPr="000F42A9">
        <w:rPr>
          <w:color w:val="EE0000"/>
        </w:rPr>
        <w:t xml:space="preserve">,” </w:t>
      </w:r>
      <w:r w:rsidRPr="000F42A9">
        <w:rPr>
          <w:color w:val="00B050"/>
        </w:rPr>
        <w:t>c</w:t>
      </w:r>
      <w:r w:rsidR="00B94018" w:rsidRPr="000F42A9">
        <w:rPr>
          <w:color w:val="00B050"/>
        </w:rPr>
        <w:t>omment</w:t>
      </w:r>
    </w:p>
    <w:p w14:paraId="1BA35597" w14:textId="2FBE767B" w:rsidR="0091770A" w:rsidRPr="000F42A9" w:rsidRDefault="0091770A" w:rsidP="00B94018">
      <w:pPr>
        <w:pStyle w:val="ListParagraph"/>
        <w:numPr>
          <w:ilvl w:val="0"/>
          <w:numId w:val="1"/>
        </w:numPr>
        <w:rPr>
          <w:color w:val="00B050"/>
        </w:rPr>
      </w:pPr>
      <w:r w:rsidRPr="000F42A9">
        <w:rPr>
          <w:color w:val="00B050"/>
        </w:rPr>
        <w:t>Otherwise, general comment on section</w:t>
      </w:r>
    </w:p>
    <w:p w14:paraId="228E0782" w14:textId="73E7AE36" w:rsidR="00B94018" w:rsidRDefault="00B94018" w:rsidP="00B94018">
      <w:pPr>
        <w:pStyle w:val="ListParagraph"/>
      </w:pPr>
    </w:p>
    <w:p w14:paraId="75A58393" w14:textId="6A52461B" w:rsidR="00B94018" w:rsidRPr="000F42A9" w:rsidRDefault="00B94018" w:rsidP="00B94018">
      <w:pPr>
        <w:pStyle w:val="ListParagraph"/>
        <w:ind w:left="0"/>
        <w:rPr>
          <w:b/>
          <w:bCs/>
          <w:color w:val="EE0000"/>
        </w:rPr>
      </w:pPr>
      <w:r w:rsidRPr="000F42A9">
        <w:rPr>
          <w:b/>
          <w:bCs/>
          <w:color w:val="EE0000"/>
        </w:rPr>
        <w:t>Install &amp; launch GIFT toolbox</w:t>
      </w:r>
    </w:p>
    <w:p w14:paraId="6974BA3E" w14:textId="2D7EA9FC" w:rsidR="00B94018" w:rsidRPr="000F42A9" w:rsidRDefault="009177F9" w:rsidP="00B94018">
      <w:pPr>
        <w:pStyle w:val="ListParagraph"/>
        <w:numPr>
          <w:ilvl w:val="0"/>
          <w:numId w:val="1"/>
        </w:numPr>
        <w:rPr>
          <w:b/>
          <w:bCs/>
          <w:color w:val="00B050"/>
        </w:rPr>
      </w:pPr>
      <w:r w:rsidRPr="000F42A9">
        <w:rPr>
          <w:color w:val="00B050"/>
        </w:rPr>
        <w:t>Hands-on expertise</w:t>
      </w:r>
      <w:r w:rsidR="00F61D21" w:rsidRPr="000F42A9">
        <w:rPr>
          <w:color w:val="00B050"/>
        </w:rPr>
        <w:t xml:space="preserve"> is</w:t>
      </w:r>
      <w:r w:rsidRPr="000F42A9">
        <w:rPr>
          <w:color w:val="00B050"/>
        </w:rPr>
        <w:t xml:space="preserve"> needed for component and network sorting. Process is not entirely automated and needs attention to detail – especially for blind</w:t>
      </w:r>
      <w:r w:rsidR="00F61D21" w:rsidRPr="000F42A9">
        <w:rPr>
          <w:color w:val="00B050"/>
        </w:rPr>
        <w:t xml:space="preserve"> and non-NeuroMark</w:t>
      </w:r>
      <w:r w:rsidRPr="000F42A9">
        <w:rPr>
          <w:color w:val="00B050"/>
        </w:rPr>
        <w:t xml:space="preserve"> analyses</w:t>
      </w:r>
      <w:r w:rsidR="00F61D21" w:rsidRPr="000F42A9">
        <w:rPr>
          <w:color w:val="00B050"/>
        </w:rPr>
        <w:t>.</w:t>
      </w:r>
    </w:p>
    <w:p w14:paraId="51242BB9" w14:textId="3A2D4A65" w:rsidR="00F61D21" w:rsidRPr="000F42A9" w:rsidRDefault="009E13EB" w:rsidP="00F61D21">
      <w:pPr>
        <w:rPr>
          <w:b/>
          <w:bCs/>
          <w:color w:val="EE0000"/>
        </w:rPr>
      </w:pPr>
      <w:r w:rsidRPr="000F42A9">
        <w:rPr>
          <w:b/>
          <w:bCs/>
          <w:color w:val="EE0000"/>
        </w:rPr>
        <w:t>Run your first group ICA analysis</w:t>
      </w:r>
    </w:p>
    <w:p w14:paraId="44615EA2" w14:textId="6BD054FC" w:rsidR="001B7367" w:rsidRPr="001B7367" w:rsidRDefault="006E2C45" w:rsidP="001B7367">
      <w:pPr>
        <w:pStyle w:val="ListParagraph"/>
        <w:numPr>
          <w:ilvl w:val="0"/>
          <w:numId w:val="1"/>
        </w:numPr>
        <w:rPr>
          <w:b/>
          <w:bCs/>
        </w:rPr>
      </w:pPr>
      <w:r w:rsidRPr="000F42A9">
        <w:rPr>
          <w:color w:val="EE0000"/>
        </w:rPr>
        <w:t xml:space="preserve">“Subject-level PCA,” </w:t>
      </w:r>
      <w:r w:rsidRPr="000F42A9">
        <w:rPr>
          <w:color w:val="00B050"/>
        </w:rPr>
        <w:t>p</w:t>
      </w:r>
      <w:r w:rsidR="001B7367" w:rsidRPr="000F42A9">
        <w:rPr>
          <w:color w:val="00B050"/>
        </w:rPr>
        <w:t xml:space="preserve">otentially wrong # of PCs </w:t>
      </w:r>
      <w:r w:rsidRPr="000F42A9">
        <w:rPr>
          <w:color w:val="00B050"/>
        </w:rPr>
        <w:t>listed</w:t>
      </w:r>
      <w:r w:rsidR="001B7367" w:rsidRPr="000F42A9">
        <w:rPr>
          <w:color w:val="00B050"/>
        </w:rPr>
        <w:t>?</w:t>
      </w:r>
    </w:p>
    <w:p w14:paraId="298C2D6F" w14:textId="35E3D68D" w:rsidR="001B7367" w:rsidRPr="000F42A9" w:rsidRDefault="001B7367" w:rsidP="001B7367">
      <w:pPr>
        <w:rPr>
          <w:b/>
          <w:bCs/>
          <w:color w:val="EE0000"/>
        </w:rPr>
      </w:pPr>
      <w:r w:rsidRPr="000F42A9">
        <w:rPr>
          <w:b/>
          <w:bCs/>
          <w:color w:val="EE0000"/>
        </w:rPr>
        <w:t>Visualize and sort ICA compon</w:t>
      </w:r>
      <w:r w:rsidR="006E2C45" w:rsidRPr="000F42A9">
        <w:rPr>
          <w:b/>
          <w:bCs/>
          <w:color w:val="EE0000"/>
        </w:rPr>
        <w:t>ents</w:t>
      </w:r>
    </w:p>
    <w:p w14:paraId="316D8245" w14:textId="4D35B33C" w:rsidR="006E2C45" w:rsidRDefault="006E2C45" w:rsidP="006E2C45">
      <w:pPr>
        <w:pStyle w:val="ListParagraph"/>
        <w:numPr>
          <w:ilvl w:val="0"/>
          <w:numId w:val="1"/>
        </w:numPr>
      </w:pPr>
      <w:r w:rsidRPr="000F42A9">
        <w:rPr>
          <w:color w:val="EE0000"/>
        </w:rPr>
        <w:t>“</w:t>
      </w:r>
      <w:r w:rsidR="00201C6F" w:rsidRPr="000F42A9">
        <w:rPr>
          <w:color w:val="EE0000"/>
        </w:rPr>
        <w:t xml:space="preserve">How to identify brain networks,” </w:t>
      </w:r>
      <w:r w:rsidR="00201C6F" w:rsidRPr="000F42A9">
        <w:rPr>
          <w:color w:val="00B050"/>
        </w:rPr>
        <w:t>image not helpful</w:t>
      </w:r>
    </w:p>
    <w:p w14:paraId="02DBAA0C" w14:textId="563E8131" w:rsidR="00201C6F" w:rsidRPr="000F42A9" w:rsidRDefault="00201C6F" w:rsidP="00201C6F">
      <w:pPr>
        <w:rPr>
          <w:b/>
          <w:bCs/>
          <w:color w:val="EE0000"/>
        </w:rPr>
      </w:pPr>
      <w:r w:rsidRPr="000F42A9">
        <w:rPr>
          <w:b/>
          <w:bCs/>
          <w:color w:val="EE0000"/>
        </w:rPr>
        <w:t>Debug and troubleshoot</w:t>
      </w:r>
    </w:p>
    <w:p w14:paraId="0CCC52D9" w14:textId="246E48F8" w:rsidR="00201C6F" w:rsidRDefault="00677830" w:rsidP="00201C6F">
      <w:pPr>
        <w:pStyle w:val="ListParagraph"/>
        <w:numPr>
          <w:ilvl w:val="0"/>
          <w:numId w:val="1"/>
        </w:numPr>
      </w:pPr>
      <w:r w:rsidRPr="000F42A9">
        <w:rPr>
          <w:color w:val="EE0000"/>
        </w:rPr>
        <w:t xml:space="preserve">“Problem: group differences in FNC are not significant,” </w:t>
      </w:r>
      <w:r w:rsidRPr="000F42A9">
        <w:rPr>
          <w:color w:val="00B050"/>
        </w:rPr>
        <w:t>another (not discussed) possibility is that there is no ground truth difference!</w:t>
      </w:r>
      <w:r w:rsidR="000F42A9">
        <w:rPr>
          <w:color w:val="00B050"/>
        </w:rPr>
        <w:t xml:space="preserve"> It is extremely misleading to suggest that if your method doesn’t detect a group difference, something has necessarily gone wrong.</w:t>
      </w:r>
    </w:p>
    <w:p w14:paraId="671759D6" w14:textId="25B4AB33" w:rsidR="00924D7F" w:rsidRDefault="00924D7F" w:rsidP="00201C6F">
      <w:pPr>
        <w:pStyle w:val="ListParagraph"/>
        <w:numPr>
          <w:ilvl w:val="0"/>
          <w:numId w:val="1"/>
        </w:numPr>
      </w:pPr>
      <w:r w:rsidRPr="000F42A9">
        <w:rPr>
          <w:color w:val="EE0000"/>
        </w:rPr>
        <w:t xml:space="preserve">“Even real effects won’t survive correction,” </w:t>
      </w:r>
      <w:r w:rsidR="00D539FF" w:rsidRPr="000F42A9">
        <w:rPr>
          <w:color w:val="00B050"/>
        </w:rPr>
        <w:t>far too strong of a statement, especially depending on which method you use.</w:t>
      </w:r>
    </w:p>
    <w:p w14:paraId="2E5BDBF4" w14:textId="0CB28918" w:rsidR="00F33B22" w:rsidRPr="000F42A9" w:rsidRDefault="00F33B22" w:rsidP="00D539FF">
      <w:pPr>
        <w:rPr>
          <w:b/>
          <w:bCs/>
          <w:color w:val="EE0000"/>
        </w:rPr>
      </w:pPr>
      <w:r w:rsidRPr="000F42A9">
        <w:rPr>
          <w:b/>
          <w:bCs/>
          <w:color w:val="EE0000"/>
        </w:rPr>
        <w:t>The BOLD signal</w:t>
      </w:r>
    </w:p>
    <w:p w14:paraId="58F3C456" w14:textId="77F00BBA" w:rsidR="00F33B22" w:rsidRDefault="00F33B22" w:rsidP="00F33B22">
      <w:pPr>
        <w:pStyle w:val="ListParagraph"/>
        <w:numPr>
          <w:ilvl w:val="0"/>
          <w:numId w:val="1"/>
        </w:numPr>
      </w:pPr>
      <w:r w:rsidRPr="000F42A9">
        <w:rPr>
          <w:color w:val="EE0000"/>
        </w:rPr>
        <w:t>“A population of neurons in some brain region becomes active</w:t>
      </w:r>
      <w:r w:rsidR="00597780" w:rsidRPr="000F42A9">
        <w:rPr>
          <w:color w:val="EE0000"/>
        </w:rPr>
        <w:t xml:space="preserve">,” </w:t>
      </w:r>
      <w:r w:rsidR="00597780" w:rsidRPr="000F42A9">
        <w:rPr>
          <w:color w:val="00B050"/>
        </w:rPr>
        <w:t>this is</w:t>
      </w:r>
      <w:r w:rsidR="00663175" w:rsidRPr="000F42A9">
        <w:rPr>
          <w:color w:val="00B050"/>
        </w:rPr>
        <w:t>, strictly speaking, an incorrect framing of BOLD activity</w:t>
      </w:r>
      <w:r w:rsidR="00597780" w:rsidRPr="000F42A9">
        <w:rPr>
          <w:color w:val="00B050"/>
        </w:rPr>
        <w:t xml:space="preserve"> – BOLD activity can</w:t>
      </w:r>
      <w:r w:rsidR="00663175" w:rsidRPr="000F42A9">
        <w:rPr>
          <w:color w:val="00B050"/>
        </w:rPr>
        <w:t xml:space="preserve"> also</w:t>
      </w:r>
      <w:r w:rsidR="00597780" w:rsidRPr="000F42A9">
        <w:rPr>
          <w:color w:val="00B050"/>
        </w:rPr>
        <w:t xml:space="preserve"> increase </w:t>
      </w:r>
      <w:r w:rsidR="00E51671" w:rsidRPr="000F42A9">
        <w:rPr>
          <w:color w:val="00B050"/>
        </w:rPr>
        <w:t>because of</w:t>
      </w:r>
      <w:r w:rsidR="00597780" w:rsidRPr="000F42A9">
        <w:rPr>
          <w:color w:val="00B050"/>
        </w:rPr>
        <w:t xml:space="preserve"> </w:t>
      </w:r>
      <w:r w:rsidR="00597780" w:rsidRPr="000F42A9">
        <w:rPr>
          <w:i/>
          <w:iCs/>
          <w:color w:val="00B050"/>
        </w:rPr>
        <w:t>local suppression</w:t>
      </w:r>
      <w:r w:rsidR="00E51671">
        <w:rPr>
          <w:i/>
          <w:iCs/>
          <w:color w:val="00B050"/>
        </w:rPr>
        <w:t xml:space="preserve"> of activity</w:t>
      </w:r>
      <w:r w:rsidR="00663175" w:rsidRPr="000F42A9">
        <w:rPr>
          <w:i/>
          <w:iCs/>
          <w:color w:val="00B050"/>
        </w:rPr>
        <w:t xml:space="preserve"> </w:t>
      </w:r>
      <w:r w:rsidR="00663175" w:rsidRPr="000F42A9">
        <w:rPr>
          <w:color w:val="00B050"/>
        </w:rPr>
        <w:t xml:space="preserve">and is </w:t>
      </w:r>
      <w:r w:rsidR="00201C9F" w:rsidRPr="000F42A9">
        <w:rPr>
          <w:color w:val="00B050"/>
        </w:rPr>
        <w:t>more correlated with local presynaptic neurotransmission than local neural firing</w:t>
      </w:r>
    </w:p>
    <w:p w14:paraId="18EAE89C" w14:textId="568E561D" w:rsidR="00201C9F" w:rsidRPr="000F42A9" w:rsidRDefault="00BC4706" w:rsidP="00201C9F">
      <w:pPr>
        <w:rPr>
          <w:b/>
          <w:bCs/>
          <w:color w:val="EE0000"/>
        </w:rPr>
      </w:pPr>
      <w:r w:rsidRPr="000F42A9">
        <w:rPr>
          <w:b/>
          <w:bCs/>
          <w:color w:val="EE0000"/>
        </w:rPr>
        <w:t>Understanding statistics for neuroimaging</w:t>
      </w:r>
    </w:p>
    <w:p w14:paraId="342DF73A" w14:textId="2810E44F" w:rsidR="00BC4706" w:rsidRPr="000F42A9" w:rsidRDefault="0091770A" w:rsidP="00BC4706">
      <w:pPr>
        <w:pStyle w:val="ListParagraph"/>
        <w:numPr>
          <w:ilvl w:val="0"/>
          <w:numId w:val="1"/>
        </w:numPr>
        <w:rPr>
          <w:color w:val="00B050"/>
        </w:rPr>
      </w:pPr>
      <w:r w:rsidRPr="000F42A9">
        <w:rPr>
          <w:color w:val="00B050"/>
        </w:rPr>
        <w:t xml:space="preserve">The Bonferroni method should not just be </w:t>
      </w:r>
      <w:r w:rsidRPr="000F42A9">
        <w:rPr>
          <w:i/>
          <w:iCs/>
          <w:color w:val="00B050"/>
        </w:rPr>
        <w:t xml:space="preserve">a priori </w:t>
      </w:r>
      <w:r w:rsidRPr="000F42A9">
        <w:rPr>
          <w:color w:val="00B050"/>
        </w:rPr>
        <w:t>avoided, as seemingly suggested by this section, as it can be highly appropriate depending on the (number of) results that you’re correcting</w:t>
      </w:r>
    </w:p>
    <w:p w14:paraId="729CEED4" w14:textId="1236196E" w:rsidR="00C373BB" w:rsidRPr="000F42A9" w:rsidRDefault="00C373BB" w:rsidP="00BC4706">
      <w:pPr>
        <w:pStyle w:val="ListParagraph"/>
        <w:numPr>
          <w:ilvl w:val="0"/>
          <w:numId w:val="1"/>
        </w:numPr>
        <w:rPr>
          <w:color w:val="00B050"/>
        </w:rPr>
      </w:pPr>
      <w:r w:rsidRPr="000F42A9">
        <w:rPr>
          <w:color w:val="EE0000"/>
        </w:rPr>
        <w:t xml:space="preserve">“As a CS person,” </w:t>
      </w:r>
      <w:r w:rsidRPr="000F42A9">
        <w:rPr>
          <w:color w:val="00B050"/>
        </w:rPr>
        <w:t>not all students in the lab are CS students!</w:t>
      </w:r>
    </w:p>
    <w:p w14:paraId="47B8A2B9" w14:textId="5E6DF87E" w:rsidR="00855B7B" w:rsidRPr="000F42A9" w:rsidRDefault="00855B7B" w:rsidP="00855B7B">
      <w:pPr>
        <w:rPr>
          <w:b/>
          <w:bCs/>
          <w:color w:val="EE0000"/>
        </w:rPr>
      </w:pPr>
      <w:r w:rsidRPr="000F42A9">
        <w:rPr>
          <w:b/>
          <w:bCs/>
          <w:color w:val="EE0000"/>
        </w:rPr>
        <w:t>Understand what fMRI measures</w:t>
      </w:r>
    </w:p>
    <w:p w14:paraId="075BA588" w14:textId="4E135065" w:rsidR="00855B7B" w:rsidRDefault="009E2068" w:rsidP="00855B7B">
      <w:pPr>
        <w:pStyle w:val="ListParagraph"/>
        <w:numPr>
          <w:ilvl w:val="0"/>
          <w:numId w:val="1"/>
        </w:numPr>
      </w:pPr>
      <w:r w:rsidRPr="000F42A9">
        <w:rPr>
          <w:color w:val="EE0000"/>
        </w:rPr>
        <w:t xml:space="preserve">“What raw fMRI data looks like,” </w:t>
      </w:r>
      <w:r w:rsidRPr="000F42A9">
        <w:rPr>
          <w:color w:val="00B050"/>
        </w:rPr>
        <w:t>image couldn’t be loaded</w:t>
      </w:r>
    </w:p>
    <w:p w14:paraId="4EADBB9E" w14:textId="600ABBFC" w:rsidR="009E2068" w:rsidRPr="000F42A9" w:rsidRDefault="009E2068" w:rsidP="009E2068">
      <w:pPr>
        <w:rPr>
          <w:b/>
          <w:bCs/>
          <w:color w:val="EE0000"/>
        </w:rPr>
      </w:pPr>
      <w:r w:rsidRPr="000F42A9">
        <w:rPr>
          <w:b/>
          <w:bCs/>
          <w:color w:val="EE0000"/>
        </w:rPr>
        <w:lastRenderedPageBreak/>
        <w:t xml:space="preserve">Learn </w:t>
      </w:r>
      <w:r w:rsidR="000F42A9" w:rsidRPr="000F42A9">
        <w:rPr>
          <w:b/>
          <w:bCs/>
          <w:color w:val="EE0000"/>
        </w:rPr>
        <w:t>what ICA is and why it matters</w:t>
      </w:r>
    </w:p>
    <w:p w14:paraId="5D089871" w14:textId="1736718D" w:rsidR="000F42A9" w:rsidRPr="000F42A9" w:rsidRDefault="000F42A9" w:rsidP="000F42A9">
      <w:pPr>
        <w:pStyle w:val="ListParagraph"/>
        <w:numPr>
          <w:ilvl w:val="0"/>
          <w:numId w:val="1"/>
        </w:numPr>
      </w:pPr>
      <w:r w:rsidRPr="000F42A9">
        <w:rPr>
          <w:color w:val="EE0000"/>
        </w:rPr>
        <w:t xml:space="preserve">“The three ICA algorithms,” </w:t>
      </w:r>
      <w:r w:rsidRPr="000F42A9">
        <w:rPr>
          <w:color w:val="00B050"/>
        </w:rPr>
        <w:t>there are more than three ICA algorithms!</w:t>
      </w:r>
    </w:p>
    <w:p w14:paraId="2A180608" w14:textId="2AB4E8A5" w:rsidR="000F42A9" w:rsidRPr="00C9725D" w:rsidRDefault="00C9725D" w:rsidP="00C9725D">
      <w:pPr>
        <w:pStyle w:val="ListParagraph"/>
        <w:numPr>
          <w:ilvl w:val="0"/>
          <w:numId w:val="1"/>
        </w:numPr>
      </w:pPr>
      <w:r>
        <w:rPr>
          <w:color w:val="00B050"/>
        </w:rPr>
        <w:t>Image in this section is not the most helpful</w:t>
      </w:r>
    </w:p>
    <w:p w14:paraId="3A8AFE1D" w14:textId="46413A77" w:rsidR="00C9725D" w:rsidRPr="004B7FB7" w:rsidRDefault="00C9725D" w:rsidP="00C9725D">
      <w:pPr>
        <w:pStyle w:val="ListParagraph"/>
        <w:numPr>
          <w:ilvl w:val="0"/>
          <w:numId w:val="1"/>
        </w:numPr>
      </w:pPr>
      <w:r>
        <w:rPr>
          <w:color w:val="EE0000"/>
        </w:rPr>
        <w:t>“Why ICA changed neuroimaging</w:t>
      </w:r>
      <w:r w:rsidR="00584F73">
        <w:rPr>
          <w:color w:val="EE0000"/>
        </w:rPr>
        <w:t xml:space="preserve">,” </w:t>
      </w:r>
      <w:r w:rsidR="00584F73">
        <w:rPr>
          <w:color w:val="00B050"/>
        </w:rPr>
        <w:t>this section is highly misleading as brain networks have been studied using a variety of methods (of which ICA is only one)</w:t>
      </w:r>
      <w:r w:rsidR="00207057">
        <w:rPr>
          <w:color w:val="00B050"/>
        </w:rPr>
        <w:t>; ICA is also not entirely data-driven (assumes a model X = AS)</w:t>
      </w:r>
      <w:r w:rsidR="004B7FB7">
        <w:rPr>
          <w:color w:val="00B050"/>
        </w:rPr>
        <w:t>; ICA not the only way that you can study subject-level brain networks</w:t>
      </w:r>
    </w:p>
    <w:p w14:paraId="18465796" w14:textId="74EA92D0" w:rsidR="004B7FB7" w:rsidRDefault="0092348B" w:rsidP="004B7FB7">
      <w:pPr>
        <w:rPr>
          <w:b/>
          <w:bCs/>
          <w:color w:val="EE0000"/>
        </w:rPr>
      </w:pPr>
      <w:r>
        <w:rPr>
          <w:b/>
          <w:bCs/>
          <w:color w:val="EE0000"/>
        </w:rPr>
        <w:t>Learn brain networks</w:t>
      </w:r>
    </w:p>
    <w:p w14:paraId="6C332420" w14:textId="792C0A9A" w:rsidR="0092348B" w:rsidRPr="003471F8" w:rsidRDefault="00797032" w:rsidP="0079703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color w:val="EE0000"/>
        </w:rPr>
        <w:t xml:space="preserve">“The 12 large-scale networks,” </w:t>
      </w:r>
      <w:r>
        <w:rPr>
          <w:color w:val="00B050"/>
        </w:rPr>
        <w:t xml:space="preserve">this statement is misleading </w:t>
      </w:r>
      <w:r w:rsidR="00C616B6">
        <w:rPr>
          <w:color w:val="00B050"/>
        </w:rPr>
        <w:t>–</w:t>
      </w:r>
      <w:r>
        <w:rPr>
          <w:color w:val="00B050"/>
        </w:rPr>
        <w:t xml:space="preserve"> </w:t>
      </w:r>
      <w:r w:rsidR="00C616B6">
        <w:rPr>
          <w:color w:val="00B050"/>
        </w:rPr>
        <w:t>there are many ways to parcel brain networks and typical methods commonly result in anywhere from 7-15 large-scale networks.</w:t>
      </w:r>
    </w:p>
    <w:p w14:paraId="60E1D39A" w14:textId="4B9ADA03" w:rsidR="003471F8" w:rsidRDefault="003471F8" w:rsidP="003471F8">
      <w:pPr>
        <w:rPr>
          <w:b/>
          <w:bCs/>
          <w:color w:val="EE0000"/>
        </w:rPr>
      </w:pPr>
      <w:r>
        <w:rPr>
          <w:b/>
          <w:bCs/>
          <w:color w:val="EE0000"/>
        </w:rPr>
        <w:t>Read key lab papers</w:t>
      </w:r>
    </w:p>
    <w:p w14:paraId="3E63FBAB" w14:textId="6D8A2CBE" w:rsidR="003471F8" w:rsidRPr="003471F8" w:rsidRDefault="003471F8" w:rsidP="003471F8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00B050"/>
        </w:rPr>
        <w:t>The description of the Allen et al. 2012 paper is incorrect.</w:t>
      </w:r>
    </w:p>
    <w:p w14:paraId="749CF749" w14:textId="51364D71" w:rsidR="003471F8" w:rsidRDefault="00887FE3" w:rsidP="003471F8">
      <w:pPr>
        <w:rPr>
          <w:b/>
          <w:bCs/>
          <w:color w:val="EE0000"/>
        </w:rPr>
      </w:pPr>
      <w:r>
        <w:rPr>
          <w:b/>
          <w:bCs/>
          <w:color w:val="EE0000"/>
        </w:rPr>
        <w:t>Learn common analysis patterns in the lab</w:t>
      </w:r>
    </w:p>
    <w:p w14:paraId="2FD8663B" w14:textId="57E5D73A" w:rsidR="00887FE3" w:rsidRDefault="00887FE3" w:rsidP="00887FE3">
      <w:pPr>
        <w:pStyle w:val="ListParagraph"/>
        <w:numPr>
          <w:ilvl w:val="0"/>
          <w:numId w:val="1"/>
        </w:numPr>
        <w:rPr>
          <w:color w:val="00B050"/>
        </w:rPr>
      </w:pPr>
      <w:r>
        <w:rPr>
          <w:color w:val="00B050"/>
        </w:rPr>
        <w:t>Missing subsection on analysis of spatial maps</w:t>
      </w:r>
    </w:p>
    <w:p w14:paraId="37934676" w14:textId="1ABFEB5E" w:rsidR="00491989" w:rsidRDefault="00887FE3" w:rsidP="00887FE3">
      <w:pPr>
        <w:rPr>
          <w:b/>
          <w:bCs/>
          <w:color w:val="EE0000"/>
        </w:rPr>
      </w:pPr>
      <w:r>
        <w:rPr>
          <w:b/>
          <w:bCs/>
          <w:color w:val="EE0000"/>
        </w:rPr>
        <w:t>Int</w:t>
      </w:r>
      <w:r w:rsidR="00491989">
        <w:rPr>
          <w:b/>
          <w:bCs/>
          <w:color w:val="EE0000"/>
        </w:rPr>
        <w:t>erpret functional connectivity measures</w:t>
      </w:r>
    </w:p>
    <w:p w14:paraId="77036FD7" w14:textId="64C48F4A" w:rsidR="00491989" w:rsidRPr="001B267C" w:rsidRDefault="00491989" w:rsidP="00491989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color w:val="00B050"/>
        </w:rPr>
        <w:t xml:space="preserve">Misnomer, as this section is about functional </w:t>
      </w:r>
      <w:r>
        <w:rPr>
          <w:i/>
          <w:iCs/>
          <w:color w:val="00B050"/>
        </w:rPr>
        <w:t xml:space="preserve">network </w:t>
      </w:r>
      <w:r>
        <w:rPr>
          <w:color w:val="00B050"/>
        </w:rPr>
        <w:t>connectivity</w:t>
      </w:r>
    </w:p>
    <w:p w14:paraId="1A00E68C" w14:textId="5E791B1D" w:rsidR="001B267C" w:rsidRDefault="001B267C" w:rsidP="001B267C">
      <w:pPr>
        <w:rPr>
          <w:b/>
          <w:bCs/>
          <w:color w:val="EE0000"/>
        </w:rPr>
      </w:pPr>
      <w:r>
        <w:rPr>
          <w:b/>
          <w:bCs/>
          <w:color w:val="EE0000"/>
        </w:rPr>
        <w:t>Understanding the GLM</w:t>
      </w:r>
    </w:p>
    <w:p w14:paraId="3BCB0F04" w14:textId="2AA449C8" w:rsidR="001B267C" w:rsidRPr="004F7F20" w:rsidRDefault="001B267C" w:rsidP="001B267C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00B050"/>
        </w:rPr>
        <w:t>Far too narrow of a description of the GLM; GLM analysis does not require task design</w:t>
      </w:r>
    </w:p>
    <w:p w14:paraId="1BCB78F9" w14:textId="0BDF8EE1" w:rsidR="004F7F20" w:rsidRDefault="004F7F20" w:rsidP="004F7F20">
      <w:pPr>
        <w:rPr>
          <w:b/>
          <w:bCs/>
          <w:color w:val="EE0000"/>
        </w:rPr>
      </w:pPr>
      <w:r>
        <w:rPr>
          <w:b/>
          <w:bCs/>
          <w:color w:val="EE0000"/>
        </w:rPr>
        <w:t>Learn group statistics</w:t>
      </w:r>
    </w:p>
    <w:p w14:paraId="322FEA20" w14:textId="655773CB" w:rsidR="004F7F20" w:rsidRPr="004F7F20" w:rsidRDefault="004F7F20" w:rsidP="004F7F20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00B050"/>
        </w:rPr>
        <w:t>Too narrow and doesn’t discuss the need to check assumptions of statistical tests to ensure validity</w:t>
      </w:r>
    </w:p>
    <w:sectPr w:rsidR="004F7F20" w:rsidRPr="004F7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41AD6"/>
    <w:multiLevelType w:val="hybridMultilevel"/>
    <w:tmpl w:val="A0EC00CE"/>
    <w:lvl w:ilvl="0" w:tplc="B46649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27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E6"/>
    <w:rsid w:val="00097371"/>
    <w:rsid w:val="000C406E"/>
    <w:rsid w:val="000F42A9"/>
    <w:rsid w:val="001B267C"/>
    <w:rsid w:val="001B7367"/>
    <w:rsid w:val="001D45CC"/>
    <w:rsid w:val="00201C6F"/>
    <w:rsid w:val="00201C9F"/>
    <w:rsid w:val="00207057"/>
    <w:rsid w:val="003471F8"/>
    <w:rsid w:val="00411CB2"/>
    <w:rsid w:val="0048425F"/>
    <w:rsid w:val="00491989"/>
    <w:rsid w:val="004B7FB7"/>
    <w:rsid w:val="004F56E6"/>
    <w:rsid w:val="004F7F20"/>
    <w:rsid w:val="00584F73"/>
    <w:rsid w:val="00585E1D"/>
    <w:rsid w:val="00597780"/>
    <w:rsid w:val="00663175"/>
    <w:rsid w:val="00677830"/>
    <w:rsid w:val="006C0D2D"/>
    <w:rsid w:val="006E2C45"/>
    <w:rsid w:val="00797032"/>
    <w:rsid w:val="00855B7B"/>
    <w:rsid w:val="00887FE3"/>
    <w:rsid w:val="0091770A"/>
    <w:rsid w:val="009177F9"/>
    <w:rsid w:val="0092348B"/>
    <w:rsid w:val="00924D7F"/>
    <w:rsid w:val="00945843"/>
    <w:rsid w:val="009E13EB"/>
    <w:rsid w:val="009E2068"/>
    <w:rsid w:val="00B06E94"/>
    <w:rsid w:val="00B94018"/>
    <w:rsid w:val="00BC4706"/>
    <w:rsid w:val="00C373BB"/>
    <w:rsid w:val="00C60581"/>
    <w:rsid w:val="00C616B6"/>
    <w:rsid w:val="00C9725D"/>
    <w:rsid w:val="00D118F5"/>
    <w:rsid w:val="00D539FF"/>
    <w:rsid w:val="00E51671"/>
    <w:rsid w:val="00F33B22"/>
    <w:rsid w:val="00F61D21"/>
    <w:rsid w:val="00FA50A5"/>
    <w:rsid w:val="00FD504F"/>
    <w:rsid w:val="00FE1625"/>
    <w:rsid w:val="00FE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1441"/>
  <w15:chartTrackingRefBased/>
  <w15:docId w15:val="{9B1A0B3F-26B1-4D7A-AEFF-95BA9CD2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Kinsey</dc:creator>
  <cp:keywords/>
  <dc:description/>
  <cp:lastModifiedBy>Spencer Kinsey</cp:lastModifiedBy>
  <cp:revision>36</cp:revision>
  <dcterms:created xsi:type="dcterms:W3CDTF">2026-06-03T15:21:00Z</dcterms:created>
  <dcterms:modified xsi:type="dcterms:W3CDTF">2026-06-03T15:57:00Z</dcterms:modified>
</cp:coreProperties>
</file>