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F3864"/>
          <w:sz w:val="34"/>
          <w:szCs w:val="34"/>
        </w:rPr>
        <w:t xml:space="preserve">FUNDACIÓN UNIÓN DE LOS JAGUARES</w:t>
      </w:r>
    </w:p>
    <w:p>
      <w:pPr>
        <w:spacing w:after="480" w:before="160"/>
        <w:jc w:val="center"/>
      </w:pPr>
      <w:r>
        <w:rPr>
          <w:i/>
          <w:iCs/>
          <w:color w:val="2E5395"/>
          <w:sz w:val="26"/>
          <w:szCs w:val="26"/>
        </w:rPr>
        <w:t xml:space="preserve">Plataforma Web Institucional y Gestión de Actividades</w:t>
      </w:r>
    </w:p>
    <w:p>
      <w:pPr>
        <w:spacing w:before="480"/>
        <w:jc w:val="center"/>
      </w:pPr>
      <w:r>
        <w:rPr>
          <w:b/>
          <w:bCs/>
          <w:sz w:val="30"/>
          <w:szCs w:val="30"/>
        </w:rPr>
        <w:t xml:space="preserve">DOCUMENTO 3</w:t>
      </w:r>
    </w:p>
    <w:p>
      <w:pPr>
        <w:spacing w:after="480" w:before="120"/>
        <w:jc w:val="center"/>
      </w:pPr>
      <w:r>
        <w:rPr>
          <w:b/>
          <w:bCs/>
          <w:color w:val="1F3864"/>
          <w:sz w:val="26"/>
          <w:szCs w:val="26"/>
        </w:rPr>
        <w:t xml:space="preserve">ARQUITECTURA DE SOFTWARE
(MODELO C4 — NIVELES 1 A 3)</w:t>
      </w:r>
    </w:p>
    <w:p>
      <w:pPr>
        <w:spacing w:before="800"/>
        <w:jc w:val="center"/>
      </w:pPr>
      <w:r>
        <w:rPr>
          <w:color w:val="404040"/>
          <w:sz w:val="21"/>
          <w:szCs w:val="21"/>
        </w:rPr>
        <w:t xml:space="preserve">Ingeniería de Software — Etapa de Diseño de Arquitectura</w:t>
      </w:r>
    </w:p>
    <w:p>
      <w:pPr>
        <w:spacing w:before="800"/>
        <w:jc w:val="center"/>
      </w:pPr>
      <w:r>
        <w:rPr>
          <w:color w:val="404040"/>
          <w:sz w:val="21"/>
          <w:szCs w:val="21"/>
        </w:rPr>
        <w:t xml:space="preserve">La Paz, Bolivia — Septiembre de 2026</w:t>
      </w:r>
    </w:p>
    <w:p>
      <w:r>
        <w:br w:type="page"/>
      </w:r>
    </w:p>
    <w:p>
      <w:pPr>
        <w:spacing w:after="200" w:before="0"/>
      </w:pPr>
      <w:r>
        <w:rPr>
          <w:b/>
          <w:bCs/>
          <w:color w:val="1F3864"/>
          <w:sz w:val="26"/>
          <w:szCs w:val="26"/>
        </w:rPr>
        <w:t xml:space="preserve">Control de Versiones</w:t>
      </w:r>
    </w:p>
    <w:tbl>
      <w:tblPr>
        <w:tblW w:type="dxa" w:w="10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600"/>
        <w:gridCol w:w="4460"/>
      </w:tblGrid>
      <w:tr>
        <w:trPr>
          <w:tblHeader/>
        </w:trPr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Autor(es)</w:t>
            </w:r>
          </w:p>
        </w:tc>
        <w:tc>
          <w:tcPr>
            <w:tcW w:type="dxa" w:w="44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Descripción del cambio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0.1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22/09/2026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Equipo de Desarrollo</w:t>
            </w:r>
          </w:p>
        </w:tc>
        <w:tc>
          <w:tcPr>
            <w:tcW w:type="dxa" w:w="44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Borrador inicial: C1 y C2 en notación textual, a partir del Documento 2 (SRS).</w:t>
            </w:r>
          </w:p>
        </w:tc>
      </w:tr>
      <w:tr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24/09/2026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Equipo de Desarrollo</w:t>
            </w:r>
          </w:p>
        </w:tc>
        <w:tc>
          <w:tcPr>
            <w:tcW w:type="dxa" w:w="44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Versión completa: diagramas C1, C2 y C3 en notación gráfica (modelo C4), incorporación del componente de Contenidos/Noticias (cierre de brecha de trazabilidad con RF-08) y 2 ADR.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395" w:sz="8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1. Introducción</w:t>
      </w:r>
    </w:p>
    <w:p>
      <w:pPr>
        <w:spacing w:after="160" w:line="276"/>
      </w:pPr>
      <w:r>
        <w:rPr>
          <w:sz w:val="21"/>
          <w:szCs w:val="21"/>
        </w:rPr>
        <w:t xml:space="preserve">El presente documento describe la arquitectura de software de la Plataforma Web Institucional y de Gestión de Actividades de la Fundación Unión de los Jaguares, utilizando el modelo C4 (Contexto, Contenedores, Componentes) propuesto por Simon Brown. Esta arquitectura toma como entrada directa los requisitos funcionales y no funcionales especificados en el Documento 2 (SRS) y busca garantizar trazabilidad completa entre cada requisito y el componente de software que lo implementa.</w:t>
      </w:r>
    </w:p>
    <w:p>
      <w:pPr>
        <w:spacing w:after="160" w:line="276"/>
      </w:pPr>
      <w:r>
        <w:rPr>
          <w:sz w:val="21"/>
          <w:szCs w:val="21"/>
        </w:rPr>
        <w:t xml:space="preserve">El documento se organiza en tres niveles de abstracción crecientes: el nivel de Contexto (C1), que sitúa el sistema frente a sus actores y sistemas externos; el nivel de Contenedores (C2), que identifica las unidades desplegables y sus tecnologías; y el nivel de Componentes (C3), que detalla la organización interna del backend. Se incluyen además dos Registros de Decisión de Arquitectura (ADR) que documentan las decisiones tecnológicas más relevantes.</w:t>
      </w:r>
    </w:p>
    <w:p>
      <w:pPr>
        <w:pStyle w:val="Heading1"/>
        <w:pBdr>
          <w:bottom w:val="single" w:color="2E5395" w:sz="8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2. Alcance de la Arquitectura</w:t>
      </w:r>
    </w:p>
    <w:p>
      <w:pPr>
        <w:spacing w:after="160" w:line="276"/>
      </w:pPr>
      <w:r>
        <w:rPr>
          <w:sz w:val="21"/>
          <w:szCs w:val="21"/>
        </w:rPr>
        <w:t xml:space="preserve">La arquitectura cubre los módulos definidos en el alcance del Documento 2: gestión de cursos/talleres/capacitaciones, gestión de eventos, emisión y verificación de certificados digitales, gestión de donaciones (presenciales y en línea), gestión de voluntariado y el sitio institucional público (noticias y galería multimedia). Quedan fuera del alcance de esta versión la integración con sistemas contables externos y la gestión de nómina de personal, consistente con lo declarado en el Documento 2.</w:t>
      </w:r>
    </w:p>
    <w:p>
      <w:pPr>
        <w:spacing w:after="160" w:line="276"/>
      </w:pPr>
      <w:r>
        <w:rPr>
          <w:sz w:val="21"/>
          <w:szCs w:val="21"/>
        </w:rPr>
        <w:t xml:space="preserve">Nota de consistencia: respecto de la versión preliminar de este documento, se incorpora explícitamente el componente ContenidoController / ContenidoService / ContenidoRepository, necesario para trazar RF-08 (sitio institucional, noticias y galería) hacia un componente C3 concreto, cerrando una brecha detectada entre el Documento 2 y el Documento 3.</w:t>
      </w:r>
    </w:p>
    <w:p>
      <w:pPr>
        <w:pStyle w:val="Heading1"/>
        <w:pBdr>
          <w:bottom w:val="single" w:color="2E5395" w:sz="8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3. Actores y Sistemas Externos (resumen)</w:t>
      </w:r>
    </w:p>
    <w:tbl>
      <w:tblPr>
        <w:tblW w:type="dxa" w:w="10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626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Actor / Sistema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62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 principal en la plataforma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Visitante Público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Actor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Navega el sitio sin autenticarse; consulta cursos, eventos, noticias, galería y puede donar.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Participante Registrado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Actor</w:t>
            </w:r>
          </w:p>
        </w:tc>
        <w:tc>
          <w:tcPr>
            <w:tcW w:type="dxa" w:w="6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 inscribe a actividades, paga, descarga certificados y consulta su historial.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Docente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Actor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 y gestiona cursos, registra asistencia y contenido académico.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Encargado de Eventos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Actor</w:t>
            </w:r>
          </w:p>
        </w:tc>
        <w:tc>
          <w:tcPr>
            <w:tcW w:type="dxa" w:w="6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 eventos, gestiona participantes y publica resultados.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Voluntario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Actor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 registra, se postula a actividades y participa en eventos sociales.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Directora (Super Admin)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Actor</w:t>
            </w:r>
          </w:p>
        </w:tc>
        <w:tc>
          <w:tcPr>
            <w:tcW w:type="dxa" w:w="6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Administra la plataforma, usuarios, aprueba publicaciones y genera reportes.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WhatsApp Business API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Sistema externo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Notificaciones y confirmaciones a participantes y voluntarios.</w:t>
            </w:r>
          </w:p>
        </w:tc>
      </w:tr>
      <w:tr>
        <w:tc>
          <w:tcPr>
            <w:tcW w:type="dxa" w:w="2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Pasarela de Pago / QR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Sistema externo</w:t>
            </w:r>
          </w:p>
        </w:tc>
        <w:tc>
          <w:tcPr>
            <w:tcW w:type="dxa" w:w="6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Procesamiento de pagos y donaciones en línea.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Servidor de Correo (SMTP)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Sistema externo</w:t>
            </w:r>
          </w:p>
        </w:tc>
        <w:tc>
          <w:tcPr>
            <w:tcW w:type="dxa" w:w="6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Envío de confirmaciones, certificados y notificaciones por correo.</w:t>
            </w:r>
          </w:p>
        </w:tc>
      </w:tr>
    </w:tbl>
    <w:p>
      <w:r>
        <w:br w:type="page"/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5395" w:sz="8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4. C1 — Diagrama de Contexto</w:t>
      </w:r>
    </w:p>
    <w:p>
      <w:pPr>
        <w:spacing w:after="160" w:line="276"/>
      </w:pPr>
      <w:r>
        <w:rPr>
          <w:sz w:val="21"/>
          <w:szCs w:val="21"/>
        </w:rPr>
        <w:t xml:space="preserve">El diagrama de contexto sitúa a la plataforma frente a las personas (actores) que interactúan con ella y frente a los sistemas externos con los que se integra. No expone tecnología: describe el "quién" y el "para qué".</w:t>
      </w:r>
    </w:p>
    <w:p>
      <w:pPr>
        <w:spacing w:after="40" w:before="120"/>
        <w:jc w:val="center"/>
      </w:pPr>
      <w:r>
        <w:drawing>
          <wp:inline distT="0" distB="0" distL="0" distR="0">
            <wp:extent cx="9525000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95959"/>
          <w:sz w:val="19"/>
          <w:szCs w:val="19"/>
        </w:rPr>
        <w:t xml:space="preserve">Figura 1. Diagrama de Contexto (C1) — Plataforma Web Institucional, Fundación Unión de los Jaguares.</w:t>
      </w:r>
    </w:p>
    <w:p>
      <w:pPr>
        <w:spacing w:after="160" w:line="276"/>
      </w:pPr>
      <w:r>
        <w:rPr>
          <w:sz w:val="21"/>
          <w:szCs w:val="21"/>
        </w:rPr>
        <w:t xml:space="preserve">Los seis actores identificados (Visitante Público, Participante Registrado, Docente, Encargado de Eventos, Voluntario y Directora) interactúan directamente con la plataforma. La plataforma, a su vez, delega en tres sistemas externos: WhatsApp Business API para notificaciones, la Pasarela de Pago/QR para el procesamiento de transacciones, y un servidor SMTP para el envío de correos.</w:t>
      </w:r>
    </w:p>
    <w:p>
      <w:pPr>
        <w:pStyle w:val="Heading1"/>
        <w:pBdr>
          <w:bottom w:val="single" w:color="2E5395" w:sz="8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5. C2 — Diagrama de Contenedores</w:t>
      </w:r>
    </w:p>
    <w:p>
      <w:pPr>
        <w:spacing w:after="160" w:line="276"/>
      </w:pPr>
      <w:r>
        <w:rPr>
          <w:sz w:val="21"/>
          <w:szCs w:val="21"/>
        </w:rPr>
        <w:t xml:space="preserve">El diagrama de contenedores descompone la plataforma en las unidades de despliegue de alto nivel, indicando la tecnología y el protocolo de comunicación entre ellas.</w:t>
      </w:r>
    </w:p>
    <w:p>
      <w:pPr>
        <w:spacing w:after="40" w:before="120"/>
        <w:jc w:val="center"/>
      </w:pPr>
      <w:r>
        <w:drawing>
          <wp:inline distT="0" distB="0" distL="0" distR="0">
            <wp:extent cx="7286625" cy="619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6625" cy="619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95959"/>
          <w:sz w:val="19"/>
          <w:szCs w:val="19"/>
        </w:rPr>
        <w:t xml:space="preserve">Figura 2. Diagrama de Contenedores (C2).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500"/>
        <w:gridCol w:w="336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Contenedor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  <w:tc>
          <w:tcPr>
            <w:tcW w:type="dxa" w:w="2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Protocolo / Interfaz</w:t>
            </w:r>
          </w:p>
        </w:tc>
        <w:tc>
          <w:tcPr>
            <w:tcW w:type="dxa" w:w="33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 principal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 Web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React 19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HTTPS / REST (JSON)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Portal público, inscripciones, donaciones, panel administrativo.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Aplicación Móvil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Flutter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HTTPS / REST (JSON)</w:t>
            </w:r>
          </w:p>
        </w:tc>
        <w:tc>
          <w:tcPr>
            <w:tcW w:type="dxa" w:w="33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Consulta de actividades, inscripciones y certificados desde el móvil.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 Backend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ASP.NET Core 8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expone REST / consume TDS y TCP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Lógica de negocio, seguridad y orquestación de todos los módulos.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SQL Server</w:t>
            </w:r>
          </w:p>
        </w:tc>
        <w:tc>
          <w:tcPr>
            <w:tcW w:type="dxa" w:w="2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TDS / SQL (vía ORM)</w:t>
            </w:r>
          </w:p>
        </w:tc>
        <w:tc>
          <w:tcPr>
            <w:tcW w:type="dxa" w:w="33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Persistencia de usuarios, actividades, certificados, donaciones y voluntarios.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Caché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Redis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Redis Protocol (TCP)</w:t>
            </w:r>
          </w:p>
        </w:tc>
        <w:tc>
          <w:tcPr>
            <w:tcW w:type="dxa" w:w="33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Sesiones y caché de consultas frecuentes para optimizar rendimiento.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395" w:sz="8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6. C3 — Diagrama de Componentes del Backend</w:t>
      </w:r>
    </w:p>
    <w:p>
      <w:pPr>
        <w:spacing w:after="160" w:line="276"/>
      </w:pPr>
      <w:r>
        <w:rPr>
          <w:sz w:val="21"/>
          <w:szCs w:val="21"/>
        </w:rPr>
        <w:t xml:space="preserve">El diagrama de componentes detalla la organización interna del contenedor API Backend (ASP.NET Core 8) en cuatro capas: Controllers, Services, Repositories y Adaptadores, más un componente transversal de seguridad (JWT Middleware).</w:t>
      </w:r>
    </w:p>
    <w:p>
      <w:pPr>
        <w:spacing w:after="40" w:before="120"/>
        <w:jc w:val="center"/>
      </w:pPr>
      <w:r>
        <w:drawing>
          <wp:inline distT="0" distB="0" distL="0" distR="0">
            <wp:extent cx="9525000" cy="4219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95959"/>
          <w:sz w:val="19"/>
          <w:szCs w:val="19"/>
        </w:rPr>
        <w:t xml:space="preserve">Figura 3. Diagrama de Componentes (C3) del backend, incluyendo el componente de Contenidos que traza a RF-08.</w:t>
      </w:r>
    </w:p>
    <w:p>
      <w:pPr>
        <w:spacing w:after="160" w:line="276"/>
      </w:pPr>
      <w:r>
        <w:rPr>
          <w:sz w:val="21"/>
          <w:szCs w:val="21"/>
        </w:rPr>
        <w:t xml:space="preserve">Flujo general: toda solicitud de los clientes (Frontend Web / App Móvil) pasa primero por el JWT Middleware, que valida el token y los permisos del usuario antes de llegar al Controller correspondiente. Cada Controller delega la lógica de negocio en su Service asociado, y cada Service persiste o consulta datos a través de su Repository, el cual finalmente accede a SQL Server. Los Services de Certificados, Donaciones, Eventos y Voluntariado además invocan adaptadores externos (EmailAdapter, PaymentAdapter y WhatsAppAdapter) para las integraciones descritas en el C1.</w:t>
      </w:r>
    </w:p>
    <w:p>
      <w:pPr>
        <w:spacing w:after="80" w:before="160"/>
      </w:pPr>
      <w:r>
        <w:rPr>
          <w:b/>
          <w:bCs/>
          <w:i/>
          <w:iCs/>
          <w:color w:val="404040"/>
          <w:sz w:val="21"/>
          <w:szCs w:val="21"/>
        </w:rPr>
        <w:t xml:space="preserve">Componentes por capa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66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76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Componentes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Middleware</w:t>
            </w:r>
          </w:p>
        </w:tc>
        <w:tc>
          <w:tcPr>
            <w:tcW w:type="dxa" w:w="76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JWT Middleware (validación de token, control de acceso por roles)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Controllers</w:t>
            </w:r>
          </w:p>
        </w:tc>
        <w:tc>
          <w:tcPr>
            <w:tcW w:type="dxa" w:w="76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AuthController · CursoController · EventoController · CertificadoController · DonacionController · VoluntarioController · ContenidoController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Services</w:t>
            </w:r>
          </w:p>
        </w:tc>
        <w:tc>
          <w:tcPr>
            <w:tcW w:type="dxa" w:w="76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AuthService · CursoService · EventoService · CertificadoService · DonacionService · VoluntariadoService · ContenidoService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Repositories</w:t>
            </w:r>
          </w:p>
        </w:tc>
        <w:tc>
          <w:tcPr>
            <w:tcW w:type="dxa" w:w="76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UsuarioRepository · CursoRepository · EventoRepository · CertificadoRepository · DonacionRepository · VoluntarioRepository · ContenidoRepository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Adaptadores</w:t>
            </w:r>
          </w:p>
        </w:tc>
        <w:tc>
          <w:tcPr>
            <w:tcW w:type="dxa" w:w="76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WhatsAppAdapter · EmailAdapter · PaymentAdapter</w:t>
            </w:r>
          </w:p>
        </w:tc>
      </w:tr>
    </w:tbl>
    <w:p>
      <w:pPr>
        <w:sectPr>
          <w:pgSz w:w="16838" w:h="11906" w:orient="landscape"/>
          <w:pgMar w:top="900" w:right="900" w:bottom="900" w:left="9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5395" w:sz="8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7. Registros de Decisión de Arquitectura (ADR)</w:t>
      </w:r>
    </w:p>
    <w:p>
      <w:pPr>
        <w:pStyle w:val="Heading2"/>
        <w:spacing w:after="120" w:before="240"/>
      </w:pPr>
      <w:r>
        <w:rPr>
          <w:b/>
          <w:bCs/>
          <w:color w:val="2E5395"/>
          <w:sz w:val="23"/>
          <w:szCs w:val="23"/>
        </w:rPr>
        <w:t xml:space="preserve">ADR-001 — Uso de ASP.NET Core 8 como framework de backend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60"/>
      </w:tblGrid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Contexto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La Fundación requiere una plataforma escalable, segura y mantenible en el mediano plazo, con un equipo de desarrollo reducido y presupuesto limitado para licenciamiento e infraestructura.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Alternativas evaluadas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(1) Node.js + Express; (2) Java Spring Boot; (3) ASP.NET Core 8.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Decisión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 selecciona ASP.NET Core 8 como framework del contenedor API Backend.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Justificación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Alto rendimiento y bajo consumo de recursos frente a Spring Boot; tipado fuerte y tooling superior a Node.js para un equipo pequeño; seguridad integrada (autenticación, autorización, protección CSRF/XSS); integración nativa y eficiente con SQL Server vía Entity Framework Core.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Consecuencias positivas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Mayor rendimiento y menor tiempo de respuesta bajo carga; escalabilidad horizontal sencilla; curva de mantenimiento predecible gracias al tipado fuerte.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Consecuencias negativas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Dependencia del ecosistema .NET y de desarrolladores con esa especialización; costo de hosting Windows si no se despliega en Linux/contenedores.</w:t>
            </w:r>
          </w:p>
        </w:tc>
      </w:tr>
    </w:tbl>
    <w:p>
      <w:pPr>
        <w:spacing w:before="320"/>
      </w:pPr>
    </w:p>
    <w:p>
      <w:pPr>
        <w:pStyle w:val="Heading2"/>
        <w:spacing w:after="120" w:before="240"/>
      </w:pPr>
      <w:r>
        <w:rPr>
          <w:b/>
          <w:bCs/>
          <w:color w:val="2E5395"/>
          <w:sz w:val="23"/>
          <w:szCs w:val="23"/>
        </w:rPr>
        <w:t xml:space="preserve">ADR-002 — Uso de Redis como capa de caché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60"/>
      </w:tblGrid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Aceptado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Contexto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 requiere optimizar el rendimiento ante consultas frecuentes (listados de cursos, eventos activos y sesiones de usuario) sin sobrecargar SQL Server, en línea con el requisito RNF-01 (≤2s en el 95% de solicitudes con 200 usuarios concurrentes).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Alternativas evaluadas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(1) Sin capa de caché (consulta directa a SQL Server); (2) caché en memoria local del proceso (In-Memory Cache); (3) Redis como caché distribuida.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Decisión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Implementar Redis como contenedor de caché, integrado al API Backend.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Justificación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Redis permite compartir estado de sesión y caché entre múltiples instancias del backend (a diferencia de la caché en memoria local, que no escala horizontalmente); reduce la carga sobre SQL Server en consultas repetitivas; cuenta con soporte maduro en el ecosistema .NET.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Consecuencias positivas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Mejor tiempo de respuesta percibido; menor consumo de recursos de la base de datos; base preparada para escalar horizontalmente el backend.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Consecuencias negativas</w:t>
            </w:r>
          </w:p>
        </w:tc>
        <w:tc>
          <w:tcPr>
            <w:tcW w:type="dxa" w:w="70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Mayor complejidad de infraestructura (un servicio adicional que desplegar y monitorear); necesidad de definir políticas de invalidación de caché para evitar datos obsoletos.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395" w:sz="8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8. Tecnologías del Proyecto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6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60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Tecnología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 Web</w:t>
            </w:r>
          </w:p>
        </w:tc>
        <w:tc>
          <w:tcPr>
            <w:tcW w:type="dxa" w:w="6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React 19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Aplicación Móvil</w:t>
            </w:r>
          </w:p>
        </w:tc>
        <w:tc>
          <w:tcPr>
            <w:tcW w:type="dxa" w:w="60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Flutter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</w:t>
            </w:r>
          </w:p>
        </w:tc>
        <w:tc>
          <w:tcPr>
            <w:tcW w:type="dxa" w:w="6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ASP.NET Core 8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60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SQL Server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Caché</w:t>
            </w:r>
          </w:p>
        </w:tc>
        <w:tc>
          <w:tcPr>
            <w:tcW w:type="dxa" w:w="6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Redis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60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JWT (JSON Web Token)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Mensajería</w:t>
            </w:r>
          </w:p>
        </w:tc>
        <w:tc>
          <w:tcPr>
            <w:tcW w:type="dxa" w:w="6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WhatsApp Business API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Correo</w:t>
            </w:r>
          </w:p>
        </w:tc>
        <w:tc>
          <w:tcPr>
            <w:tcW w:type="dxa" w:w="60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SMTP / SendGrid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Control de Versiones</w:t>
            </w:r>
          </w:p>
        </w:tc>
        <w:tc>
          <w:tcPr>
            <w:tcW w:type="dxa" w:w="60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GitHub</w:t>
            </w:r>
          </w:p>
        </w:tc>
      </w:tr>
      <w:tr>
        <w:tc>
          <w:tcPr>
            <w:tcW w:type="dxa" w:w="3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Gestión Ágil</w:t>
            </w:r>
          </w:p>
        </w:tc>
        <w:tc>
          <w:tcPr>
            <w:tcW w:type="dxa" w:w="60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Jira</w:t>
            </w:r>
          </w:p>
        </w:tc>
      </w:tr>
    </w:tbl>
    <w:p>
      <w:pPr>
        <w:pStyle w:val="Heading1"/>
        <w:pBdr>
          <w:bottom w:val="single" w:color="2E5395" w:sz="8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9. Trazabilidad Requisitos ↔ Arquitectura</w:t>
      </w:r>
    </w:p>
    <w:p>
      <w:pPr>
        <w:spacing w:after="160" w:line="276"/>
      </w:pPr>
      <w:r>
        <w:rPr>
          <w:sz w:val="21"/>
          <w:szCs w:val="21"/>
        </w:rPr>
        <w:t xml:space="preserve">La siguiente tabla complementa la matriz de trazabilidad del Documento 2, confirmando que cada requisito funcional cuenta con al menos un componente C3 que lo implementa.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96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RF</w:t>
            </w:r>
          </w:p>
        </w:tc>
        <w:tc>
          <w:tcPr>
            <w:tcW w:type="dxa" w:w="79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Componente(s) C3 que lo implementan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RF-01</w:t>
            </w:r>
          </w:p>
        </w:tc>
        <w:tc>
          <w:tcPr>
            <w:tcW w:type="dxa" w:w="7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CursoController → CursoService → CursoRepository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RF-02</w:t>
            </w:r>
          </w:p>
        </w:tc>
        <w:tc>
          <w:tcPr>
            <w:tcW w:type="dxa" w:w="7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EventoController → EventoService → EventoRepository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RF-03</w:t>
            </w:r>
          </w:p>
        </w:tc>
        <w:tc>
          <w:tcPr>
            <w:tcW w:type="dxa" w:w="7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CertificadoController → CertificadoService → EmailAdapter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RF-04</w:t>
            </w:r>
          </w:p>
        </w:tc>
        <w:tc>
          <w:tcPr>
            <w:tcW w:type="dxa" w:w="7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CertificadoController → CertificadoService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RF-05</w:t>
            </w:r>
          </w:p>
        </w:tc>
        <w:tc>
          <w:tcPr>
            <w:tcW w:type="dxa" w:w="7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DonacionController → DonacionService → DonacionRepository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RF-06</w:t>
            </w:r>
          </w:p>
        </w:tc>
        <w:tc>
          <w:tcPr>
            <w:tcW w:type="dxa" w:w="7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DonacionService → DonacionRepository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RF-07</w:t>
            </w:r>
          </w:p>
        </w:tc>
        <w:tc>
          <w:tcPr>
            <w:tcW w:type="dxa" w:w="7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VoluntarioController → VoluntariadoService → VoluntarioRepository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RF-08</w:t>
            </w:r>
          </w:p>
        </w:tc>
        <w:tc>
          <w:tcPr>
            <w:tcW w:type="dxa" w:w="7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ContenidoController → ContenidoService → ContenidoRepository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RF-09</w:t>
            </w:r>
          </w:p>
        </w:tc>
        <w:tc>
          <w:tcPr>
            <w:tcW w:type="dxa" w:w="79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DonacionController → DonacionService → PaymentAdapter</w:t>
            </w:r>
          </w:p>
        </w:tc>
      </w:tr>
      <w:tr>
        <w:tc>
          <w:tcPr>
            <w:tcW w:type="dxa" w:w="1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RF-10</w:t>
            </w:r>
          </w:p>
        </w:tc>
        <w:tc>
          <w:tcPr>
            <w:tcW w:type="dxa" w:w="79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Services → WhatsAppAdapter / EmailAdapter</w:t>
            </w:r>
          </w:p>
        </w:tc>
      </w:tr>
    </w:tbl>
    <w:p>
      <w:pPr>
        <w:pStyle w:val="Heading1"/>
        <w:pBdr>
          <w:bottom w:val="single" w:color="2E5395" w:sz="8" w:space="4"/>
        </w:pBdr>
        <w:spacing w:after="160" w:before="320"/>
      </w:pPr>
      <w:r>
        <w:rPr>
          <w:b/>
          <w:bCs/>
          <w:color w:val="1F3864"/>
          <w:sz w:val="26"/>
          <w:szCs w:val="26"/>
        </w:rPr>
        <w:t xml:space="preserve">10. Glosario Complementario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6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72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C4 Model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Modelo de representación de arquitectura de software en 4 niveles: Contexto, Contenedores, Componentes y Código (Simon Brown).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ADR</w:t>
            </w:r>
          </w:p>
        </w:tc>
        <w:tc>
          <w:tcPr>
            <w:tcW w:type="dxa" w:w="7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Architecture Decision Record — documento breve que registra una decisión arquitectónica, su contexto, alternativas y consecuencias.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Contenedor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 C4, una unidad de despliegue ejecutable de forma independiente (aplicación, base de datos, caché).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Componente</w:t>
            </w:r>
          </w:p>
        </w:tc>
        <w:tc>
          <w:tcPr>
            <w:tcW w:type="dxa" w:w="7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 C4, una agrupación de funcionalidad relacionada dentro de un contenedor (p. ej. un Controller o un Service).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Middleware</w:t>
            </w:r>
          </w:p>
        </w:tc>
        <w:tc>
          <w:tcPr>
            <w:tcW w:type="dxa" w:w="726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Software que intercepta las solicitudes antes de llegar a la lógica de negocio, usado aquí para validar autenticación JWT.</w:t>
            </w:r>
          </w:p>
        </w:tc>
      </w:tr>
      <w:tr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Adaptador</w:t>
            </w:r>
          </w:p>
        </w:tc>
        <w:tc>
          <w:tcPr>
            <w:tcW w:type="dxa" w:w="726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Componente que traduce la interfaz interna del sistema hacia un servicio externo (WhatsApp, correo, pasarela de pago).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afddd634946c4e321306001f45d7dd46d27152e.png"/><Relationship Id="rId8" Type="http://schemas.openxmlformats.org/officeDocument/2006/relationships/image" Target="media/c5d2ced1f8b5bb6510dc93717de5e995818fb50c.png"/><Relationship Id="rId9" Type="http://schemas.openxmlformats.org/officeDocument/2006/relationships/image" Target="media/2399b41ac891ad0cf9d783e597823a81389ab70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2026-09-24T18:32:14.516Z</dcterms:created>
  <dcterms:modified xsi:type="dcterms:W3CDTF">2026-09-24T18:32:14.525Z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