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pPr>
      <w:r>
        <w:rPr>
          <w:color w:val="000000"/>
          <w:u w:color="000000"/>
          <w:rtl w:val="0"/>
          <w:lang w:val="en-US"/>
        </w:rPr>
        <w:t>Goals and Tasks</w:t>
      </w:r>
    </w:p>
    <w:p>
      <w:pPr>
        <w:pStyle w:val="heading 1"/>
      </w:pPr>
      <w:r>
        <w:rPr>
          <w:color w:val="000000"/>
          <w:u w:color="000000"/>
          <w:rtl w:val="0"/>
          <w:lang w:val="en-US"/>
        </w:rPr>
        <w:t>Background and Motivation</w:t>
      </w:r>
    </w:p>
    <w:p>
      <w:pPr>
        <w:pStyle w:val="Body"/>
      </w:pPr>
      <w:r>
        <w:rPr>
          <w:rtl w:val="0"/>
        </w:rPr>
        <w:t>Val</w:t>
      </w:r>
      <w:r>
        <w:rPr>
          <w:rtl w:val="0"/>
          <w:lang w:val="fr-FR"/>
        </w:rPr>
        <w:t>é</w:t>
      </w:r>
      <w:r>
        <w:rPr>
          <w:rtl w:val="0"/>
        </w:rPr>
        <w:t xml:space="preserve">rie works as a defence scientist for Defence R&amp;D Canada and is the Canadian representative on the NATO Research Task Group IST-141 Exploratory Visual Analytics. Through her work, she was exposed to a dataset and presentation about the Ukraine Improvised Explosive Devices (IED) situation produced by the NATO Counter-IED Center of Excellence (NATO C-IED COE) which </w:t>
      </w:r>
      <w:r>
        <w:rPr>
          <w:rtl w:val="0"/>
          <w:lang w:val="en-US"/>
        </w:rPr>
        <w:t>is an International Military Organization, multinationally manned and funded by contributions from 9 sponsoring NATO nations (</w:t>
      </w:r>
      <w:r>
        <w:rPr>
          <w:rStyle w:val="Hyperlink.0"/>
        </w:rPr>
        <w:fldChar w:fldCharType="begin" w:fldLock="0"/>
      </w:r>
      <w:r>
        <w:rPr>
          <w:rStyle w:val="Hyperlink.0"/>
        </w:rPr>
        <w:instrText xml:space="preserve"> HYPERLINK "http://www.coec-ied.es/"</w:instrText>
      </w:r>
      <w:r>
        <w:rPr>
          <w:rStyle w:val="Hyperlink.0"/>
        </w:rPr>
        <w:fldChar w:fldCharType="separate" w:fldLock="0"/>
      </w:r>
      <w:r>
        <w:rPr>
          <w:rStyle w:val="Hyperlink.0"/>
          <w:rtl w:val="0"/>
        </w:rPr>
        <w:t>http://www.coec-ied.es/</w:t>
      </w:r>
      <w:r>
        <w:rPr/>
        <w:fldChar w:fldCharType="end" w:fldLock="0"/>
      </w:r>
      <w:r>
        <w:rPr>
          <w:rtl w:val="0"/>
          <w:lang w:val="en-US"/>
        </w:rPr>
        <w:t xml:space="preserve">). </w:t>
      </w:r>
      <w:r>
        <w:rPr>
          <w:rtl w:val="0"/>
        </w:rPr>
        <w:t>Figures 1 and 2 below show current static visualization employed by the C-IED COE to visualize this data.</w:t>
      </w:r>
    </w:p>
    <w:p>
      <w:pPr>
        <w:pStyle w:val="Body"/>
      </w:pPr>
    </w:p>
    <w:p>
      <w:pPr>
        <w:pStyle w:val="Body"/>
        <w:jc w:val="center"/>
        <w:sectPr>
          <w:headerReference w:type="default" r:id="rId4"/>
          <w:footerReference w:type="default" r:id="rId5"/>
          <w:pgSz w:w="12240" w:h="15840" w:orient="portrait"/>
          <w:pgMar w:top="1440" w:right="1440" w:bottom="1440" w:left="1440" w:header="720" w:footer="720"/>
          <w:bidi w:val="0"/>
        </w:sectPr>
      </w:pPr>
    </w:p>
    <w:p>
      <w:pPr>
        <w:pStyle w:val="Body"/>
        <w:jc w:val="center"/>
      </w:pPr>
      <w:r>
        <w:drawing>
          <wp:inline distT="0" distB="0" distL="0" distR="0">
            <wp:extent cx="2705100" cy="1807217"/>
            <wp:effectExtent l="0" t="0" r="0" b="0"/>
            <wp:docPr id="1073741825" name="officeArt object" descr="C:\Users\vlavigne\workspace\CS171\Project\map.png"/>
            <wp:cNvGraphicFramePr/>
            <a:graphic xmlns:a="http://schemas.openxmlformats.org/drawingml/2006/main">
              <a:graphicData uri="http://schemas.openxmlformats.org/drawingml/2006/picture">
                <pic:pic xmlns:pic="http://schemas.openxmlformats.org/drawingml/2006/picture">
                  <pic:nvPicPr>
                    <pic:cNvPr id="1073741825" name="image1.png" descr="C:\Users\vlavigne\workspace\CS171\Project\map.png"/>
                    <pic:cNvPicPr>
                      <a:picLocks noChangeAspect="1"/>
                    </pic:cNvPicPr>
                  </pic:nvPicPr>
                  <pic:blipFill>
                    <a:blip r:embed="rId6">
                      <a:extLst/>
                    </a:blip>
                    <a:stretch>
                      <a:fillRect/>
                    </a:stretch>
                  </pic:blipFill>
                  <pic:spPr>
                    <a:xfrm>
                      <a:off x="0" y="0"/>
                      <a:ext cx="2705100" cy="1807217"/>
                    </a:xfrm>
                    <a:prstGeom prst="rect">
                      <a:avLst/>
                    </a:prstGeom>
                    <a:ln w="12700" cap="flat">
                      <a:noFill/>
                      <a:miter lim="400000"/>
                    </a:ln>
                    <a:effectLst/>
                  </pic:spPr>
                </pic:pic>
              </a:graphicData>
            </a:graphic>
          </wp:inline>
        </w:drawing>
      </w:r>
    </w:p>
    <w:p>
      <w:pPr>
        <w:pStyle w:val="Body"/>
        <w:jc w:val="center"/>
      </w:pPr>
      <w:r>
        <w:rPr>
          <w:i w:val="1"/>
          <w:iCs w:val="1"/>
          <w:rtl w:val="0"/>
          <w:lang w:val="en-US"/>
        </w:rPr>
        <w:t>Figure 1: Map of Ukraine IED incidents in 2014-2015.</w:t>
      </w:r>
    </w:p>
    <w:p>
      <w:pPr>
        <w:pStyle w:val="Body"/>
        <w:jc w:val="center"/>
      </w:pPr>
      <w:r>
        <w:drawing>
          <wp:inline distT="0" distB="0" distL="0" distR="0">
            <wp:extent cx="3002280" cy="1817939"/>
            <wp:effectExtent l="0" t="0" r="0" b="0"/>
            <wp:docPr id="1073741826" name="officeArt object" descr="C:\Users\vlavigne\workspace\CS171\Project\metrics.png"/>
            <wp:cNvGraphicFramePr/>
            <a:graphic xmlns:a="http://schemas.openxmlformats.org/drawingml/2006/main">
              <a:graphicData uri="http://schemas.openxmlformats.org/drawingml/2006/picture">
                <pic:pic xmlns:pic="http://schemas.openxmlformats.org/drawingml/2006/picture">
                  <pic:nvPicPr>
                    <pic:cNvPr id="1073741826" name="image2.png" descr="C:\Users\vlavigne\workspace\CS171\Project\metrics.png"/>
                    <pic:cNvPicPr>
                      <a:picLocks noChangeAspect="1"/>
                    </pic:cNvPicPr>
                  </pic:nvPicPr>
                  <pic:blipFill>
                    <a:blip r:embed="rId7">
                      <a:extLst/>
                    </a:blip>
                    <a:stretch>
                      <a:fillRect/>
                    </a:stretch>
                  </pic:blipFill>
                  <pic:spPr>
                    <a:xfrm>
                      <a:off x="0" y="0"/>
                      <a:ext cx="3002280" cy="1817939"/>
                    </a:xfrm>
                    <a:prstGeom prst="rect">
                      <a:avLst/>
                    </a:prstGeom>
                    <a:ln w="12700" cap="flat">
                      <a:noFill/>
                      <a:miter lim="400000"/>
                    </a:ln>
                    <a:effectLst/>
                  </pic:spPr>
                </pic:pic>
              </a:graphicData>
            </a:graphic>
          </wp:inline>
        </w:drawing>
      </w:r>
    </w:p>
    <w:p>
      <w:pPr>
        <w:pStyle w:val="Body"/>
        <w:jc w:val="center"/>
      </w:pPr>
      <w:r>
        <w:rPr>
          <w:i w:val="1"/>
          <w:iCs w:val="1"/>
          <w:rtl w:val="0"/>
          <w:lang w:val="en-US"/>
        </w:rPr>
        <w:t>Figure 2: Statistical data about Ukraine IED incidents in 2014-2015.</w:t>
      </w:r>
    </w:p>
    <w:p>
      <w:pPr>
        <w:pStyle w:val="Body"/>
        <w:sectPr>
          <w:headerReference w:type="default" r:id="rId8"/>
          <w:footerReference w:type="default" r:id="rId9"/>
          <w:type w:val="continuous"/>
          <w:pgSz w:w="12240" w:h="15840" w:orient="portrait"/>
          <w:pgMar w:top="1440" w:right="1440" w:bottom="1440" w:left="1440" w:header="720" w:footer="720"/>
          <w:cols w:space="720" w:num="2" w:equalWidth="1"/>
          <w:bidi w:val="0"/>
        </w:sectPr>
      </w:pPr>
    </w:p>
    <w:p>
      <w:pPr>
        <w:pStyle w:val="Body"/>
      </w:pPr>
    </w:p>
    <w:p>
      <w:pPr>
        <w:pStyle w:val="Body"/>
      </w:pPr>
      <w:r>
        <w:rPr>
          <w:rtl w:val="0"/>
        </w:rPr>
        <w:t>Val</w:t>
      </w:r>
      <w:r>
        <w:rPr>
          <w:rtl w:val="0"/>
          <w:lang w:val="fr-FR"/>
        </w:rPr>
        <w:t>é</w:t>
      </w:r>
      <w:r>
        <w:rPr>
          <w:rtl w:val="0"/>
        </w:rPr>
        <w:t>rie, Marius and Shivas agreed that these visualizations could be improved upon using what they learned in the CS171 Visualization class. They decided to take the challenge of creating an interactive visualization for this data. The dataset is interesting because it contains many datatypes (quantitative, geographical, temporal, textual) and it can be augmented using additional data from the web. We intend to share the end result of our project with the NATO C-IED COE.</w:t>
      </w:r>
    </w:p>
    <w:p>
      <w:pPr>
        <w:pStyle w:val="heading 1"/>
      </w:pPr>
      <w:r>
        <w:rPr>
          <w:color w:val="000000"/>
          <w:u w:color="000000"/>
          <w:rtl w:val="0"/>
          <w:lang w:val="en-US"/>
        </w:rPr>
        <w:t>Project Objectives and Goals</w:t>
      </w:r>
    </w:p>
    <w:p>
      <w:pPr>
        <w:pStyle w:val="Body"/>
      </w:pPr>
      <w:r>
        <w:rPr>
          <w:rtl w:val="0"/>
        </w:rPr>
        <w:t>This project will allow the exploration of over 600 Improvised Explosive Devices incidents in Ukraine mostly over the past 2 years for the purpose of</w:t>
      </w:r>
      <w:r>
        <w:rPr>
          <w:rtl w:val="0"/>
        </w:rPr>
        <w:t xml:space="preserve"> highlighting and</w:t>
      </w:r>
      <w:r>
        <w:rPr>
          <w:rtl w:val="0"/>
        </w:rPr>
        <w:t xml:space="preserve"> better understanding the temporal</w:t>
      </w:r>
      <w:r>
        <w:rPr>
          <w:rtl w:val="0"/>
        </w:rPr>
        <w:t xml:space="preserve">, </w:t>
      </w:r>
      <w:r>
        <w:rPr>
          <w:rtl w:val="0"/>
        </w:rPr>
        <w:t>geographical</w:t>
      </w:r>
      <w:r>
        <w:rPr>
          <w:rtl w:val="0"/>
        </w:rPr>
        <w:t xml:space="preserve"> and political</w:t>
      </w:r>
      <w:r>
        <w:rPr>
          <w:rtl w:val="0"/>
        </w:rPr>
        <w:t xml:space="preserve"> patterns in that data. We will consider additional census data </w:t>
      </w:r>
      <w:r>
        <w:rPr>
          <w:rtl w:val="0"/>
        </w:rPr>
        <w:t xml:space="preserve">and election statistics </w:t>
      </w:r>
      <w:r>
        <w:rPr>
          <w:rtl w:val="0"/>
        </w:rPr>
        <w:t>to uncover potential regional patterns</w:t>
      </w:r>
      <w:r>
        <w:rPr>
          <w:rtl w:val="0"/>
        </w:rPr>
        <w:t>, as well as publicly available data about the existing conflict in Eastern Ukraine</w:t>
      </w:r>
      <w:r>
        <w:rPr>
          <w:rtl w:val="0"/>
        </w:rPr>
        <w:t>. We intend to employ interactive visualization to generate better insights about the Ukraine IED situation.</w:t>
      </w:r>
    </w:p>
    <w:p>
      <w:pPr>
        <w:pStyle w:val="Body"/>
      </w:pPr>
      <w:r>
        <w:br w:type="page"/>
      </w:r>
    </w:p>
    <w:p>
      <w:pPr>
        <w:pStyle w:val="heading 1"/>
      </w:pPr>
      <w:r>
        <w:rPr>
          <w:color w:val="000000"/>
          <w:u w:color="000000"/>
          <w:rtl w:val="0"/>
          <w:lang w:val="en-US"/>
        </w:rPr>
        <w:t>Questions</w:t>
      </w:r>
    </w:p>
    <w:p>
      <w:pPr>
        <w:pStyle w:val="Body"/>
      </w:pPr>
      <w:r>
        <w:rPr>
          <w:rtl w:val="0"/>
        </w:rPr>
        <w:t>Here are some questions our project should help answer:</w:t>
      </w:r>
    </w:p>
    <w:p>
      <w:pPr>
        <w:pStyle w:val="Body"/>
      </w:pPr>
    </w:p>
    <w:p>
      <w:pPr>
        <w:pStyle w:val="List Paragraph"/>
        <w:numPr>
          <w:ilvl w:val="0"/>
          <w:numId w:val="2"/>
        </w:numPr>
        <w:rPr>
          <w:lang w:val="en-US"/>
        </w:rPr>
      </w:pPr>
      <w:r>
        <w:rPr>
          <w:rtl w:val="0"/>
          <w:lang w:val="en-US"/>
        </w:rPr>
        <w:t>Is there a temporal pattern in the number of IED incidents?</w:t>
      </w:r>
    </w:p>
    <w:p>
      <w:pPr>
        <w:pStyle w:val="List Paragraph"/>
        <w:numPr>
          <w:ilvl w:val="0"/>
          <w:numId w:val="2"/>
        </w:numPr>
        <w:rPr>
          <w:lang w:val="en-US"/>
        </w:rPr>
      </w:pPr>
      <w:r>
        <w:rPr>
          <w:rtl w:val="0"/>
          <w:lang w:val="en-US"/>
        </w:rPr>
        <w:t>Where are the IED incidents located within Ukraine?</w:t>
      </w:r>
      <w:r>
        <w:rPr>
          <w:rtl w:val="0"/>
          <w:lang w:val="en-US"/>
        </w:rPr>
        <w:t xml:space="preserve"> </w:t>
      </w:r>
    </w:p>
    <w:p>
      <w:pPr>
        <w:pStyle w:val="List Paragraph"/>
        <w:numPr>
          <w:ilvl w:val="0"/>
          <w:numId w:val="2"/>
        </w:numPr>
        <w:rPr>
          <w:lang w:val="en-US"/>
        </w:rPr>
      </w:pPr>
      <w:r>
        <w:rPr>
          <w:rtl w:val="0"/>
          <w:lang w:val="en-US"/>
        </w:rPr>
        <w:t xml:space="preserve">How do the incidents relate to the conflict in Eastern Ukraine? Is there a relation between </w:t>
      </w:r>
      <w:r>
        <w:rPr>
          <w:rtl w:val="0"/>
          <w:lang w:val="en-US"/>
        </w:rPr>
        <w:t>he number of incidents</w:t>
      </w:r>
      <w:r>
        <w:rPr>
          <w:rtl w:val="0"/>
          <w:lang w:val="en-US"/>
        </w:rPr>
        <w:t xml:space="preserve"> and the distance to the conflict zone and the political situation?</w:t>
      </w:r>
    </w:p>
    <w:p>
      <w:pPr>
        <w:pStyle w:val="List Paragraph"/>
        <w:numPr>
          <w:ilvl w:val="0"/>
          <w:numId w:val="2"/>
        </w:numPr>
        <w:rPr>
          <w:lang w:val="en-US"/>
        </w:rPr>
      </w:pPr>
      <w:r>
        <w:rPr>
          <w:rtl w:val="0"/>
          <w:lang w:val="en-US"/>
        </w:rPr>
        <w:t>Do the ratios of incidents remain stable over time between the different regions? Do the incidents seem to move from one region to another?</w:t>
      </w:r>
    </w:p>
    <w:p>
      <w:pPr>
        <w:pStyle w:val="List Paragraph"/>
        <w:numPr>
          <w:ilvl w:val="0"/>
          <w:numId w:val="2"/>
        </w:numPr>
        <w:rPr>
          <w:lang w:val="en-US"/>
        </w:rPr>
      </w:pPr>
      <w:r>
        <w:rPr>
          <w:rtl w:val="0"/>
          <w:lang w:val="en-US"/>
        </w:rPr>
        <w:t>How does the rate of IDE incidents relate to the total number of reported casualties and injuries?</w:t>
      </w:r>
    </w:p>
    <w:p>
      <w:pPr>
        <w:pStyle w:val="List Paragraph"/>
        <w:numPr>
          <w:ilvl w:val="0"/>
          <w:numId w:val="2"/>
        </w:numPr>
        <w:rPr>
          <w:lang w:val="en-US"/>
        </w:rPr>
      </w:pPr>
      <w:r>
        <w:rPr>
          <w:rtl w:val="0"/>
          <w:lang w:val="en-US"/>
        </w:rPr>
        <w:t xml:space="preserve">Do the different types of incidents have interesting geo-temporal patterns? </w:t>
      </w:r>
    </w:p>
    <w:p>
      <w:pPr>
        <w:pStyle w:val="List Paragraph"/>
        <w:numPr>
          <w:ilvl w:val="0"/>
          <w:numId w:val="2"/>
        </w:numPr>
        <w:rPr>
          <w:lang w:val="en-US"/>
        </w:rPr>
      </w:pPr>
      <w:r>
        <w:rPr>
          <w:rtl w:val="0"/>
          <w:lang w:val="en-US"/>
        </w:rPr>
        <w:t>Do the different types of IEDs have interesting geo-temporal patterns?</w:t>
      </w:r>
    </w:p>
    <w:p>
      <w:pPr>
        <w:pStyle w:val="List Paragraph"/>
        <w:numPr>
          <w:ilvl w:val="0"/>
          <w:numId w:val="2"/>
        </w:numPr>
        <w:rPr>
          <w:lang w:val="en-US"/>
        </w:rPr>
      </w:pPr>
      <w:r>
        <w:rPr>
          <w:rtl w:val="0"/>
          <w:lang w:val="en-US"/>
        </w:rPr>
        <w:t>Is the number of incidents correlated with regional census data, more specifically:</w:t>
      </w:r>
    </w:p>
    <w:p>
      <w:pPr>
        <w:pStyle w:val="List Paragraph"/>
        <w:numPr>
          <w:ilvl w:val="1"/>
          <w:numId w:val="2"/>
        </w:numPr>
        <w:rPr>
          <w:lang w:val="en-US"/>
        </w:rPr>
      </w:pPr>
      <w:r>
        <w:rPr>
          <w:rtl w:val="0"/>
          <w:lang w:val="en-US"/>
        </w:rPr>
        <w:t>Are there less or more incidents in Russian speaking regions?</w:t>
      </w:r>
    </w:p>
    <w:p>
      <w:pPr>
        <w:pStyle w:val="List Paragraph"/>
        <w:numPr>
          <w:ilvl w:val="1"/>
          <w:numId w:val="2"/>
        </w:numPr>
        <w:rPr>
          <w:lang w:val="en-US"/>
        </w:rPr>
      </w:pPr>
      <w:r>
        <w:rPr>
          <w:rtl w:val="0"/>
          <w:lang w:val="en-US"/>
        </w:rPr>
        <w:t>Are there less or more incidents in poorer regions?</w:t>
      </w:r>
    </w:p>
    <w:p>
      <w:pPr>
        <w:pStyle w:val="List Paragraph"/>
        <w:numPr>
          <w:ilvl w:val="1"/>
          <w:numId w:val="2"/>
        </w:numPr>
        <w:rPr>
          <w:lang w:val="en-US"/>
        </w:rPr>
      </w:pPr>
      <w:r>
        <w:rPr>
          <w:rtl w:val="0"/>
          <w:lang w:val="en-US"/>
        </w:rPr>
        <w:t>Is there a connections between the incidents and the political allegiance of the regions, according to the 2010 Presidential election data</w:t>
      </w:r>
    </w:p>
    <w:p>
      <w:pPr>
        <w:pStyle w:val="List Paragraph"/>
        <w:numPr>
          <w:ilvl w:val="0"/>
          <w:numId w:val="2"/>
        </w:numPr>
        <w:spacing w:line="276" w:lineRule="auto"/>
        <w:rPr>
          <w:lang w:val="en-US"/>
        </w:rPr>
      </w:pPr>
      <w:r>
        <w:rPr>
          <w:rtl w:val="0"/>
          <w:lang w:val="en-US"/>
        </w:rPr>
        <w:t xml:space="preserve">Can we correlate any spikes or patterns in the data with political developments in the conflict (Crimea Annexation, agreed Ceasefire, Ukraine elections </w:t>
      </w:r>
      <w:r>
        <w:rPr>
          <w:rtl w:val="0"/>
          <w:lang w:val="en-US"/>
        </w:rPr>
        <w:t>…</w:t>
      </w:r>
      <w:r>
        <w:rPr>
          <w:rtl w:val="0"/>
          <w:lang w:val="en-US"/>
        </w:rPr>
        <w:t>)</w:t>
      </w:r>
      <w:r/>
    </w:p>
    <w:sectPr>
      <w:headerReference w:type="default" r:id="rId10"/>
      <w:footerReference w:type="default" r:id="rId11"/>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 w:name="Trebuchet M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Body"/>
    <w:pPr>
      <w:keepNext w:val="0"/>
      <w:keepLines w:val="0"/>
      <w:pageBreakBefore w:val="0"/>
      <w:widowControl w:val="1"/>
      <w:pBdr>
        <w:top w:val="nil"/>
        <w:left w:val="nil"/>
        <w:bottom w:val="single" w:color="5b9bd5" w:sz="8" w:space="0" w:shadow="0" w:frame="0"/>
        <w:right w:val="nil"/>
      </w:pBdr>
      <w:shd w:val="clear" w:color="auto" w:fill="auto"/>
      <w:suppressAutoHyphens w:val="0"/>
      <w:bidi w:val="0"/>
      <w:spacing w:before="0" w:after="30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323e4f"/>
      <w:spacing w:val="5"/>
      <w:kern w:val="28"/>
      <w:position w:val="0"/>
      <w:sz w:val="52"/>
      <w:szCs w:val="52"/>
      <w:u w:val="none" w:color="323e4f"/>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1">
    <w:name w:val="heading 1"/>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Light" w:cs="Calibri Light" w:hAnsi="Calibri Light" w:eastAsia="Calibri Light"/>
      <w:b w:val="1"/>
      <w:bCs w:val="1"/>
      <w:i w:val="0"/>
      <w:iCs w:val="0"/>
      <w:caps w:val="0"/>
      <w:smallCaps w:val="0"/>
      <w:strike w:val="0"/>
      <w:dstrike w:val="0"/>
      <w:outline w:val="0"/>
      <w:color w:val="2e74b5"/>
      <w:spacing w:val="0"/>
      <w:kern w:val="0"/>
      <w:position w:val="0"/>
      <w:sz w:val="28"/>
      <w:szCs w:val="28"/>
      <w:u w:val="none" w:color="2e74b5"/>
      <w:vertAlign w:val="baseline"/>
      <w:lang w:val="en-US"/>
    </w:rPr>
  </w:style>
  <w:style w:type="character" w:styleId="Link">
    <w:name w:val="Link"/>
    <w:rPr>
      <w:color w:val="0563c1"/>
      <w:u w:val="single" w:color="0563c1"/>
    </w:rPr>
  </w:style>
  <w:style w:type="character" w:styleId="Hyperlink.0">
    <w:name w:val="Hyperlink.0"/>
    <w:basedOn w:val="Link"/>
    <w:next w:val="Hyperlink.0"/>
    <w:rPr>
      <w:color w:val="000000"/>
      <w:u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