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 w:space="8"/>
        </w:pBdr>
        <w:spacing w:after="0" w:before="2600"/>
        <w:jc w:val="center"/>
      </w:pPr>
      <w:r>
        <w:rPr>
          <w:rFonts w:ascii="Arial" w:cs="Arial" w:eastAsia="Arial" w:hAnsi="Arial"/>
          <w:b/>
          <w:bCs/>
          <w:color w:val="1E4E79"/>
          <w:sz w:val="52"/>
          <w:szCs w:val="52"/>
        </w:rPr>
        <w:t xml:space="preserve">Arquitectura de Facturación Electrónica Multi-País</w:t>
      </w:r>
    </w:p>
    <w:p>
      <w:pPr>
        <w:spacing w:before="260"/>
        <w:jc w:val="center"/>
      </w:pPr>
      <w:r>
        <w:rPr>
          <w:color w:val="444444"/>
          <w:sz w:val="28"/>
          <w:szCs w:val="28"/>
        </w:rPr>
        <w:t xml:space="preserve">Servicio de facturación como contexto acotado del SaaS de Citas Médicas</w:t>
      </w:r>
    </w:p>
    <w:p>
      <w:pPr>
        <w:spacing w:before="120"/>
        <w:jc w:val="center"/>
      </w:pPr>
      <w:r>
        <w:rPr>
          <w:color w:val="2E75B6"/>
          <w:sz w:val="22"/>
          <w:szCs w:val="22"/>
        </w:rPr>
        <w:t xml:space="preserve">Perú (SUNAT) · Colombia (DIAN) · Chile (SII) · Argentina (ARCA) · México (SAT)</w:t>
      </w:r>
    </w:p>
    <w:p>
      <w:pPr>
        <w:spacing w:before="900"/>
        <w:jc w:val="center"/>
      </w:pPr>
      <w:r>
        <w:rPr>
          <w:b/>
          <w:bCs/>
          <w:color w:val="444444"/>
          <w:sz w:val="22"/>
          <w:szCs w:val="22"/>
        </w:rPr>
        <w:t xml:space="preserve">Clean Architecture · Domain-Driven Design · Strategy / Adapter</w:t>
      </w:r>
    </w:p>
    <w:p>
      <w:pPr>
        <w:spacing w:before="120"/>
        <w:jc w:val="center"/>
      </w:pPr>
      <w:r>
        <w:rPr>
          <w:color w:val="444444"/>
          <w:sz w:val="20"/>
          <w:szCs w:val="20"/>
        </w:rPr>
        <w:t xml:space="preserve">Laravel 11 · PHP 8.2 · MySQL</w:t>
      </w:r>
    </w:p>
    <w:p>
      <w:pPr>
        <w:spacing w:before="1400"/>
        <w:jc w:val="center"/>
      </w:pPr>
      <w:r>
        <w:rPr>
          <w:i/>
          <w:iCs/>
          <w:color w:val="444444"/>
          <w:sz w:val="20"/>
          <w:szCs w:val="20"/>
        </w:rPr>
        <w:t xml:space="preserve">Documento de arquitectura — v1.0 · 8 de julio de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line="276"/>
      </w:pPr>
      <w:r>
        <w:t xml:space="preserve">Este documento define la arquitectura de un motor de </w:t>
      </w:r>
      <w:r>
        <w:rPr>
          <w:b/>
          <w:bCs/>
        </w:rPr>
        <w:t xml:space="preserve">facturación electrónica multi-país</w:t>
      </w:r>
      <w:r>
        <w:t xml:space="preserve"> que se incorpora al SaaS de Citas Médicas. El objetivo es que el ERP (agenda, pacientes, cobros) delegue la emisión de comprobantes a un servicio con </w:t>
      </w:r>
      <w:r>
        <w:rPr>
          <w:b/>
          <w:bCs/>
        </w:rPr>
        <w:t xml:space="preserve">frontera propia</w:t>
      </w:r>
      <w:r>
        <w:t xml:space="preserve">, capaz de operar hoy en </w:t>
      </w:r>
      <w:r>
        <w:rPr>
          <w:b/>
          <w:bCs/>
        </w:rPr>
        <w:t xml:space="preserve">Perú (SUNAT)</w:t>
      </w:r>
      <w:r>
        <w:t xml:space="preserve"> y de incorporar </w:t>
      </w:r>
      <w:r>
        <w:rPr>
          <w:b/>
          <w:bCs/>
        </w:rPr>
        <w:t xml:space="preserve">Colombia (DIAN), Chile (SII), Argentina (ARCA) y México (SAT)</w:t>
      </w:r>
      <w:r>
        <w:t xml:space="preserve"> más adelante </w:t>
      </w:r>
      <w:r>
        <w:rPr>
          <w:b/>
          <w:bCs/>
        </w:rPr>
        <w:t xml:space="preserve">sin modificar la lógica del ERP ni la de los países ya soportados</w:t>
      </w:r>
      <w:r>
        <w:t xml:space="preserve">.</w:t>
      </w:r>
    </w:p>
    <w:p>
      <w:pPr>
        <w:spacing w:after="120" w:line="276"/>
      </w:pPr>
      <w:r>
        <w:t xml:space="preserve">La solución aplica </w:t>
      </w:r>
      <w:r>
        <w:rPr>
          <w:b/>
          <w:bCs/>
        </w:rPr>
        <w:t xml:space="preserve">Clean Architecture</w:t>
      </w:r>
      <w:r>
        <w:t xml:space="preserve"> (regla de dependencia hacia el dominio), </w:t>
      </w:r>
      <w:r>
        <w:rPr>
          <w:b/>
          <w:bCs/>
        </w:rPr>
        <w:t xml:space="preserve">Domain-Driven Design</w:t>
      </w:r>
      <w:r>
        <w:t xml:space="preserve"> (un contexto acotado con lenguaje ubicuo) y el patrón </w:t>
      </w:r>
      <w:r>
        <w:rPr>
          <w:b/>
          <w:bCs/>
        </w:rPr>
        <w:t xml:space="preserve">Strategy/Adapter</w:t>
      </w:r>
      <w:r>
        <w:t xml:space="preserve"> (un adaptador por país detrás de una interfaz común). El resultado es una base donde agregar un país es crear una clase e inscribir una línea, y donde el módulo puede </w:t>
      </w:r>
      <w:r>
        <w:rPr>
          <w:b/>
          <w:bCs/>
        </w:rPr>
        <w:t xml:space="preserve">extraerse a un microservicio</w:t>
      </w:r>
      <w:r>
        <w:t xml:space="preserve"> en el futuro reutilizando el mismo contrato REST, sin reescribir el ERP.</w:t>
      </w:r>
    </w:p>
    <w:p>
      <w:pPr>
        <w:spacing w:after="120" w:line="276"/>
      </w:pPr>
      <w:r>
        <w:t xml:space="preserve">A la fecha se entrega, además de este documento, el </w:t>
      </w:r>
      <w:r>
        <w:rPr>
          <w:b/>
          <w:bCs/>
        </w:rPr>
        <w:t xml:space="preserve">scaffolding de código real</w:t>
      </w:r>
      <w:r>
        <w:t xml:space="preserve"> (39 archivos PHP) con el dominio, los casos de uso, el registro de proveedores, el adaptador de Perú funcional (modo simulado / real vía Greenter), los stubs de los otros cuatro países, la persistencia, el almacenamiento, el job de reintentos, la migración y la API REST.</w:t>
      </w:r>
    </w:p>
    <w:p>
      <w:pPr>
        <w:pStyle w:val="Heading1"/>
      </w:pPr>
      <w:r>
        <w:t xml:space="preserve">2. Contexto y objetivos</w:t>
      </w:r>
    </w:p>
    <w:p>
      <w:pPr>
        <w:spacing w:after="120" w:line="276"/>
      </w:pPr>
      <w:r>
        <w:t xml:space="preserve">El ERP ya cuenta con un modelo interno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Factura</w:t>
      </w:r>
      <w:r>
        <w:t xml:space="preserve">/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FacturaItem</w:t>
      </w:r>
      <w:r>
        <w:t xml:space="preserve"> para el cobro de consultas. Ese modelo resuelve el </w:t>
      </w:r>
      <w:r>
        <w:rPr>
          <w:b/>
          <w:bCs/>
        </w:rPr>
        <w:t xml:space="preserve">cobro comercial</w:t>
      </w:r>
      <w:r>
        <w:t xml:space="preserve">, pero no la </w:t>
      </w:r>
      <w:r>
        <w:rPr>
          <w:b/>
          <w:bCs/>
        </w:rPr>
        <w:t xml:space="preserve">obligación tributaria</w:t>
      </w:r>
      <w:r>
        <w:t xml:space="preserve"> de emitir un comprobante electrónico válido ante el organismo de cada país. Este servicio cubre exactamente esa brecha, sin duplicar el cobro.</w:t>
      </w:r>
    </w:p>
    <w:p>
      <w:pPr>
        <w:pStyle w:val="Heading2"/>
      </w:pPr>
      <w:r>
        <w:t xml:space="preserve">2.1 Objetivos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Independencia del ERP</w:t>
      </w:r>
      <w:r>
        <w:t xml:space="preserve">: la agenda médica no debe conocer reglas de SUNAT, DIAN,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Extensibilidad por país</w:t>
      </w:r>
      <w:r>
        <w:t xml:space="preserve">: incorporar un país nuevo sin tocar código existente (principio Open/Closed).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Portabilidad a microservicio</w:t>
      </w:r>
      <w:r>
        <w:t xml:space="preserve">: poder desacoplar el módulo a un servicio propio sin reescribir el ERP.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Robustez operativa</w:t>
      </w:r>
      <w:r>
        <w:t xml:space="preserve">: emisión asíncrona, reintentos ante fallos técnicos, y trazabilidad completa.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Multi-empresa (multi-tenant)</w:t>
      </w:r>
      <w:r>
        <w:t xml:space="preserve">: cada clínica factura con su propio RUC/serie y ve sólo sus comprobantes.</w:t>
      </w:r>
    </w:p>
    <w:p>
      <w:pPr>
        <w:pStyle w:val="Heading2"/>
      </w:pPr>
      <w:r>
        <w:t xml:space="preserve">2.2 Requisitos no funcionales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676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Decisión de diseño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Escalabilidad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Emisión encolada; el worker de facturación escala independiente del web.</w:t>
            </w:r>
          </w:p>
        </w:tc>
      </w:tr>
      <w:tr>
        <w:tc>
          <w:tcPr>
            <w:tcW w:type="dxa" w:w="26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Disponibilidad</w:t>
            </w:r>
          </w:p>
        </w:tc>
        <w:tc>
          <w:tcPr>
            <w:tcW w:type="dxa" w:w="676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Fallo del organismo no bloquea el cobro; el comprobante se reintenta en segundo plano.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Mantenibilidad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Dependencia de terceros (Greenter, PAC) aislada en un solo archivo por país.</w:t>
            </w:r>
          </w:p>
        </w:tc>
      </w:tr>
      <w:tr>
        <w:tc>
          <w:tcPr>
            <w:tcW w:type="dxa" w:w="26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Auditabilidad</w:t>
            </w:r>
          </w:p>
        </w:tc>
        <w:tc>
          <w:tcPr>
            <w:tcW w:type="dxa" w:w="676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Bitácora append-only de cada transición de estado del comprobante.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Seguridad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Certificados y credenciales fuera del código, en configuración/entorno.</w:t>
            </w:r>
          </w:p>
        </w:tc>
      </w:tr>
    </w:tbl>
    <w:p>
      <w:pPr>
        <w:pStyle w:val="Heading1"/>
      </w:pPr>
      <w:r>
        <w:t xml:space="preserve">3. Principios de arquitectura</w:t>
      </w:r>
    </w:p>
    <w:p>
      <w:pPr>
        <w:pStyle w:val="Heading2"/>
      </w:pPr>
      <w:r>
        <w:t xml:space="preserve">3.1 Clean Architecture — regla de dependencia</w:t>
      </w:r>
    </w:p>
    <w:p>
      <w:pPr>
        <w:spacing w:after="120" w:line="276"/>
      </w:pPr>
      <w:r>
        <w:t xml:space="preserve">El código se organiza en cuatro capas concéntricas. </w:t>
      </w:r>
      <w:r>
        <w:rPr>
          <w:b/>
          <w:bCs/>
        </w:rPr>
        <w:t xml:space="preserve">Todas las dependencias apuntan hacia adentro</w:t>
      </w:r>
      <w:r>
        <w:t xml:space="preserve">, hacia el Dominio. El Dominio no importa nada de Laravel ni de ningún país; la Infraestructura y la Interfaz dependen del Dominio a través de </w:t>
      </w:r>
      <w:r>
        <w:rPr>
          <w:b/>
          <w:bCs/>
        </w:rPr>
        <w:t xml:space="preserve">puertos</w:t>
      </w:r>
      <w:r>
        <w:t xml:space="preserve"> (interfaces).</w:t>
      </w:r>
    </w:p>
    <w:p>
      <w:pPr>
        <w:shd w:fill="F4F6F8" w:val="clear"/>
        <w:spacing w:after="0" w:before="4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Interface  ─▶  Application  ─▶   Domain   ◀─  Infrastructure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(REST/HTTP)    (casos de uso)   (contratos    (adaptadores país,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                       + modelo      Eloquent, storage,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                       puro)         jobs, Greenter)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La flecha = 'depende de'. Nadie depende de Infrastructure;</w:t>
      </w:r>
    </w:p>
    <w:p>
      <w:pPr>
        <w:shd w:fill="F4F6F8" w:val="clear"/>
        <w:spacing w:after="16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Infrastructure implementa los puertos que define el Domain.</w:t>
      </w:r>
    </w:p>
    <w:p>
      <w:pPr>
        <w:pStyle w:val="Heading2"/>
      </w:pPr>
      <w:r>
        <w:t xml:space="preserve">3.2 Domain-Driven Design</w:t>
      </w:r>
    </w:p>
    <w:p>
      <w:pPr>
        <w:spacing w:after="120" w:line="276"/>
      </w:pPr>
      <w:r>
        <w:t xml:space="preserve">La facturación electrónica es un </w:t>
      </w:r>
      <w:r>
        <w:rPr>
          <w:b/>
          <w:bCs/>
        </w:rPr>
        <w:t xml:space="preserve">Bounded Context</w:t>
      </w:r>
      <w:r>
        <w:t xml:space="preserve"> con su propio lenguaje ubicuo: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Comprobante</w:t>
      </w:r>
      <w:r>
        <w:t xml:space="preserve">,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Emisor</w:t>
      </w:r>
      <w:r>
        <w:t xml:space="preserve">,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Receptor</w:t>
      </w:r>
      <w:r>
        <w:t xml:space="preserve">,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Serie</w:t>
      </w:r>
      <w:r>
        <w:t xml:space="preserve">,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Correlativo</w:t>
      </w:r>
      <w:r>
        <w:t xml:space="preserve">,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CDR</w:t>
      </w:r>
      <w:r>
        <w:t xml:space="preserve">. La traducción entre el mundo del ERP (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Factura</w:t>
      </w:r>
      <w:r>
        <w:t xml:space="preserve"> Eloquent) y este lenguaje ocurre en una única clase,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MapeadorFacturaErp</w:t>
      </w:r>
      <w:r>
        <w:t xml:space="preserve">, que actúa como </w:t>
      </w:r>
      <w:r>
        <w:rPr>
          <w:b/>
          <w:bCs/>
        </w:rPr>
        <w:t xml:space="preserve">Anticorruption Layer</w:t>
      </w:r>
      <w:r>
        <w:t xml:space="preserve">: impide que los conceptos del ERP contaminen el dominio tributario y viceversa.</w:t>
      </w:r>
    </w:p>
    <w:p>
      <w:pPr>
        <w:pStyle w:val="Heading2"/>
      </w:pPr>
      <w:r>
        <w:t xml:space="preserve">3.3 Strategy / Adapter — un país, un adaptador</w:t>
      </w:r>
    </w:p>
    <w:p>
      <w:pPr>
        <w:spacing w:after="120" w:line="276"/>
      </w:pPr>
      <w:r>
        <w:t xml:space="preserve">Cada país implementa la </w:t>
      </w:r>
      <w:r>
        <w:rPr>
          <w:b/>
          <w:bCs/>
        </w:rPr>
        <w:t xml:space="preserve">misma interfaz</w:t>
      </w:r>
      <w:r>
        <w:t xml:space="preserve">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ProveedorFacturacion</w:t>
      </w:r>
      <w:r>
        <w:t xml:space="preserve">. El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RegistroProveedores</w:t>
      </w:r>
      <w:r>
        <w:t xml:space="preserve"> mantiene el mapa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País → adaptador</w:t>
      </w:r>
      <w:r>
        <w:t xml:space="preserve"> y resuelve en tiempo de ejecución cuál usar. No hay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switch</w:t>
      </w:r>
      <w:r>
        <w:t xml:space="preserve"> por país en la lógica de negocio: agregar o quitar un país no altera el flujo, sólo el registro.</w:t>
      </w:r>
    </w:p>
    <w:p>
      <w:pPr>
        <w:pStyle w:val="Heading1"/>
      </w:pPr>
      <w:r>
        <w:t xml:space="preserve">4. Estructura de carpetas</w:t>
      </w:r>
    </w:p>
    <w:p>
      <w:pPr>
        <w:spacing w:after="120" w:line="276"/>
      </w:pPr>
      <w:r>
        <w:t xml:space="preserve">El módulo vive dentro del proyecto Laravel bajo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app/Facturacion/</w:t>
      </w:r>
      <w:r>
        <w:t xml:space="preserve"> (namespace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App\Facturacion</w:t>
      </w:r>
      <w:r>
        <w:t xml:space="preserve">), con una carpeta por capa. Esta separación física es la que permite, el día de mañana, mover la carpeta a un repositorio propio.</w:t>
      </w:r>
    </w:p>
    <w:p>
      <w:pPr>
        <w:shd w:fill="F4F6F8" w:val="clear"/>
        <w:spacing w:after="0" w:before="4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app/Facturacion/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├── Domain/                      ← núcleo puro (sin Laravel)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├── Contracts/               ← PUERTOS (interfaces)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│   ├── ProveedorFacturacion.php   (interfaz común de países)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│   ├── RepositorioComprobantes.php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│   └── AlmacenDocumentos.php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├── Model/                   ← Comprobante, Emisor, Receptor, Linea…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├── Enum/                    ← Pais, TipoComprobante, EstadoComprobante…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├── Result/                  ← ResultadoEmision, ResultadoConsulta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└── Exception/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├── Application/                 ← casos de uso (orquestación)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├── Services/                ← EmitirComprobante, AnularComprobante,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│                              EmitirNotaCredito, ConsultarEstado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├── RegistroProveedores.php  ← resolutor Strategy (País → adaptador)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└── DTO/MapeadorFacturaErp.php  ← anticorruption layer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├── Infrastructure/             ← adaptadores concretos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├── Providers/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│   ├── Peru/     SunatProvider + ConstructorUblGreenter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│   ├── Colombia/ DianProvider   (stub)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│   ├── Chile/    SiiProvider    (stub)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│   ├── Argentina/ArcaProvider   (stub)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│   └── Mexico/   SatProvider    (stub)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├── Persistence/  Eloquent + migración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├── Storage/      AlmacenLocalDocumentos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└── Jobs/         EmitirComprobanteJob (reintentos)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├── Interface/                  ← frontera de entrada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├── routes.php              ← API REST estable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└── Http/FacturacionApiController.php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├── Config/facturacion.php</w:t>
      </w:r>
    </w:p>
    <w:p>
      <w:pPr>
        <w:shd w:fill="F4F6F8" w:val="clear"/>
        <w:spacing w:after="16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└── Providers/FacturacionServiceProvider.php  ← composition root</w:t>
      </w:r>
    </w:p>
    <w:p>
      <w:pPr>
        <w:pStyle w:val="Heading1"/>
      </w:pPr>
      <w:r>
        <w:t xml:space="preserve">5. Interfaz común (el contrato)</w:t>
      </w:r>
    </w:p>
    <w:p>
      <w:pPr>
        <w:spacing w:after="120" w:line="276"/>
      </w:pPr>
      <w:r>
        <w:t xml:space="preserve">Todo país implementa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ProveedorFacturacion</w:t>
      </w:r>
      <w:r>
        <w:t xml:space="preserve">. Ésta es la abstracción que el ERP y los casos de uso conocen; jamás una implementación concreta.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200"/>
        <w:gridCol w:w="2200"/>
        <w:gridCol w:w="2160"/>
        <w:gridCol w:w="2800"/>
      </w:tblGrid>
      <w:tr>
        <w:trPr>
          <w:tblHeader/>
        </w:trPr>
        <w:tc>
          <w:tcPr>
            <w:tcW w:type="dxa" w:w="220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20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216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Devuelve</w:t>
            </w:r>
          </w:p>
        </w:tc>
        <w:tc>
          <w:tcPr>
            <w:tcW w:type="dxa" w:w="280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emitirFactura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Comprobante</w:t>
            </w:r>
          </w:p>
        </w:tc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ResultadoEmision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Genera, firma y transmite la factura/boleta.</w:t>
            </w:r>
          </w:p>
        </w:tc>
      </w:tr>
      <w:tr>
        <w:tc>
          <w:tcPr>
            <w:tcW w:type="dxa" w:w="22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anularFactura</w:t>
            </w:r>
          </w:p>
        </w:tc>
        <w:tc>
          <w:tcPr>
            <w:tcW w:type="dxa" w:w="22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Comprobante, motivo</w:t>
            </w:r>
          </w:p>
        </w:tc>
        <w:tc>
          <w:tcPr>
            <w:tcW w:type="dxa" w:w="216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ResultadoEmision</w:t>
            </w:r>
          </w:p>
        </w:tc>
        <w:tc>
          <w:tcPr>
            <w:tcW w:type="dxa" w:w="28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Da de baja un comprobante (Comunicación de Baja en Perú).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emitirNotaCredito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Comprobante</w:t>
            </w:r>
          </w:p>
        </w:tc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ResultadoEmision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Emite una nota de crédito asociada a otro comprobante.</w:t>
            </w:r>
          </w:p>
        </w:tc>
      </w:tr>
      <w:tr>
        <w:tc>
          <w:tcPr>
            <w:tcW w:type="dxa" w:w="22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consultarEstado</w:t>
            </w:r>
          </w:p>
        </w:tc>
        <w:tc>
          <w:tcPr>
            <w:tcW w:type="dxa" w:w="22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Comprobante</w:t>
            </w:r>
          </w:p>
        </w:tc>
        <w:tc>
          <w:tcPr>
            <w:tcW w:type="dxa" w:w="216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ResultadoConsulta</w:t>
            </w:r>
          </w:p>
        </w:tc>
        <w:tc>
          <w:tcPr>
            <w:tcW w:type="dxa" w:w="28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Consulta el estado actual ante el organismo.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pais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—</w:t>
            </w:r>
          </w:p>
        </w:tc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Pais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Identidad del adaptador (clave del registro).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El retorno es </w:t>
      </w:r>
      <w:r>
        <w:rPr>
          <w:b/>
          <w:bCs/>
        </w:rPr>
        <w:t xml:space="preserve">uniforme para todos los países</w:t>
      </w:r>
      <w:r>
        <w:t xml:space="preserve"> (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ResultadoEmision</w:t>
      </w:r>
      <w:r>
        <w:t xml:space="preserve">/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ResultadoConsulta</w:t>
      </w:r>
      <w:r>
        <w:t xml:space="preserve">), por lo que el ERP procesa una factura peruana o mexicana con el mismo código. Las estructuras específicas del organismo (CDR de SUNAT, CUFE de DIAN, CAE de ARCA, UUID de SAT) nunca salen del adaptador.</w:t>
      </w:r>
    </w:p>
    <w:p>
      <w:pPr>
        <w:pStyle w:val="Heading1"/>
      </w:pPr>
      <w:r>
        <w:t xml:space="preserve">6. Modelo de datos</w:t>
      </w:r>
    </w:p>
    <w:p>
      <w:pPr>
        <w:pStyle w:val="Heading2"/>
      </w:pPr>
      <w:r>
        <w:t xml:space="preserve">6.1 Modelo de dominio (en memoria)</w:t>
      </w:r>
    </w:p>
    <w:p>
      <w:pPr>
        <w:spacing w:after="120" w:line="276"/>
      </w:pPr>
      <w:r>
        <w:t xml:space="preserve">El objeto que viaja del ERP al adaptador es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Comprobante</w:t>
      </w:r>
      <w:r>
        <w:t xml:space="preserve">, inmutable (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readonly</w:t>
      </w:r>
      <w:r>
        <w:t xml:space="preserve">), compuesto por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Emisor</w:t>
      </w:r>
      <w:r>
        <w:t xml:space="preserve">,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Receptor</w:t>
      </w:r>
      <w:r>
        <w:t xml:space="preserve">, una lista de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Linea</w:t>
      </w:r>
      <w:r>
        <w:t xml:space="preserve"> y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Totales</w:t>
      </w:r>
      <w:r>
        <w:t xml:space="preserve">. Es agnóstico al país; cada adaptador lo traduce a su formato local (UBL 2.1, DTE, CFDI…).</w:t>
      </w:r>
    </w:p>
    <w:p>
      <w:pPr>
        <w:pStyle w:val="Heading2"/>
      </w:pPr>
      <w:r>
        <w:t xml:space="preserve">6.2 Persistencia — tabla comprobantes_electronicos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40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6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clinica_id / factura_id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FK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Tenant emisor y vínculo con la Factura del ERP.</w:t>
            </w:r>
          </w:p>
        </w:tc>
      </w:tr>
      <w:tr>
        <w:tc>
          <w:tcPr>
            <w:tcW w:type="dxa" w:w="26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pais</w:t>
            </w:r>
          </w:p>
        </w:tc>
        <w:tc>
          <w:tcPr>
            <w:tcW w:type="dxa" w:w="14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string(2)</w:t>
            </w:r>
          </w:p>
        </w:tc>
        <w:tc>
          <w:tcPr>
            <w:tcW w:type="dxa" w:w="536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PE, CO, CL, AR, MX.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tipo, serie, correlativo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string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Tipo y numeración del comprobante.</w:t>
            </w:r>
          </w:p>
        </w:tc>
      </w:tr>
      <w:tr>
        <w:tc>
          <w:tcPr>
            <w:tcW w:type="dxa" w:w="26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numero_completo</w:t>
            </w:r>
          </w:p>
        </w:tc>
        <w:tc>
          <w:tcPr>
            <w:tcW w:type="dxa" w:w="14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string</w:t>
            </w:r>
          </w:p>
        </w:tc>
        <w:tc>
          <w:tcPr>
            <w:tcW w:type="dxa" w:w="536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Serie-correlativo (índice de búsqueda).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emisor_ruc / receptor_*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string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Identificación fiscal de ambas partes.</w:t>
            </w:r>
          </w:p>
        </w:tc>
      </w:tr>
      <w:tr>
        <w:tc>
          <w:tcPr>
            <w:tcW w:type="dxa" w:w="26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gravado, igv, total</w:t>
            </w:r>
          </w:p>
        </w:tc>
        <w:tc>
          <w:tcPr>
            <w:tcW w:type="dxa" w:w="14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decimal</w:t>
            </w:r>
          </w:p>
        </w:tc>
        <w:tc>
          <w:tcPr>
            <w:tcW w:type="dxa" w:w="536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Importes tributarios.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estado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string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borrador→pendiente→enviado→aceptado/rechazado/anulado/error.</w:t>
            </w:r>
          </w:p>
        </w:tc>
      </w:tr>
      <w:tr>
        <w:tc>
          <w:tcPr>
            <w:tcW w:type="dxa" w:w="26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codigo_respuesta, mensaje</w:t>
            </w:r>
          </w:p>
        </w:tc>
        <w:tc>
          <w:tcPr>
            <w:tcW w:type="dxa" w:w="14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string</w:t>
            </w:r>
          </w:p>
        </w:tc>
        <w:tc>
          <w:tcPr>
            <w:tcW w:type="dxa" w:w="536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Respuesta del organismo (CDR/ticket).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hash_cpe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string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Digest del comprobante firmado.</w:t>
            </w:r>
          </w:p>
        </w:tc>
      </w:tr>
      <w:tr>
        <w:tc>
          <w:tcPr>
            <w:tcW w:type="dxa" w:w="26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ruta_xml, ruta_cdr, ruta_pdf</w:t>
            </w:r>
          </w:p>
        </w:tc>
        <w:tc>
          <w:tcPr>
            <w:tcW w:type="dxa" w:w="14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string</w:t>
            </w:r>
          </w:p>
        </w:tc>
        <w:tc>
          <w:tcPr>
            <w:tcW w:type="dxa" w:w="536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Ubicación de los artefactos almacenados.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observaciones, intentos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json / int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Observaciones del organismo y nº de reintentos.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Una restricción </w:t>
      </w:r>
      <w:r>
        <w:rPr>
          <w:b/>
          <w:bCs/>
        </w:rPr>
        <w:t xml:space="preserve">única</w:t>
      </w:r>
      <w:r>
        <w:t xml:space="preserve">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(emisor_ruc, serie, correlativo)</w:t>
      </w:r>
      <w:r>
        <w:t xml:space="preserve"> garantiza que no existan comprobantes duplicados ni huecos por emisor. La tabla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comprobante_eventos</w:t>
      </w:r>
      <w:r>
        <w:t xml:space="preserve"> guarda la bitácora append-only (ver §10).</w:t>
      </w:r>
    </w:p>
    <w:p>
      <w:pPr>
        <w:pStyle w:val="Heading1"/>
      </w:pPr>
      <w:r>
        <w:t xml:space="preserve">7. Cómo agregar un país nuevo sin tocar código existente</w:t>
      </w:r>
    </w:p>
    <w:p>
      <w:pPr>
        <w:spacing w:after="120" w:line="276"/>
      </w:pPr>
      <w:r>
        <w:t xml:space="preserve">Ejemplo: incorporar </w:t>
      </w:r>
      <w:r>
        <w:rPr>
          <w:b/>
          <w:bCs/>
        </w:rPr>
        <w:t xml:space="preserve">Ecuador (SRI)</w:t>
      </w:r>
      <w:r>
        <w:t xml:space="preserve">. El principio Open/Closed se materializa en tres pasos aditivos: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Crear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Infrastructure/Providers/Ecuador/SriProvider.php</w:t>
      </w:r>
      <w:r>
        <w:t xml:space="preserve"> implementando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ProveedorFacturacion</w:t>
      </w:r>
      <w:r>
        <w:t xml:space="preserve"> (los cuatro métodos).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Añadir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case EC = 'EC';</w:t>
      </w:r>
      <w:r>
        <w:t xml:space="preserve"> al enum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Domain/Enum/Pais.php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Registrar una línea en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FacturacionServiceProvider::registrarProveedores()</w:t>
      </w:r>
      <w:r>
        <w:t xml:space="preserve">: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$registro-&gt;registrar(new SriProvider($cfg['EC']));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No se modifica</w:t>
      </w:r>
      <w:r>
        <w:t xml:space="preserve"> el ERP, ni el dominio, ni los casos de uso, ni los adaptadores de los otros países. El resto del sistema descubre el país nuevo automáticamente vía el registro.</w:t>
      </w:r>
    </w:p>
    <w:p>
      <w:pPr>
        <w:shd w:fill="F4F6F8" w:val="clear"/>
        <w:spacing w:after="0" w:before="4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// FacturacionServiceProvider.php — única línea que cambia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$registro-&gt;registrar(new SunatProvider(...));  // Perú (ya existe)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$registro-&gt;registrar(new DianProvider(...));   // Colombia</w:t>
      </w:r>
    </w:p>
    <w:p>
      <w:pPr>
        <w:shd w:fill="F4F6F8" w:val="clear"/>
        <w:spacing w:after="16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$registro-&gt;registrar(new SriProvider($cfg['EC'])); // ← Ecuador, NUEVO</w:t>
      </w:r>
    </w:p>
    <w:p>
      <w:pPr>
        <w:pStyle w:val="Heading1"/>
      </w:pPr>
      <w:r>
        <w:t xml:space="preserve">8. Comunicación entre el ERP y el servicio</w:t>
      </w:r>
    </w:p>
    <w:p>
      <w:pPr>
        <w:spacing w:after="120" w:line="276"/>
      </w:pPr>
      <w:r>
        <w:t xml:space="preserve">El diseño soporta una </w:t>
      </w:r>
      <w:r>
        <w:rPr>
          <w:b/>
          <w:bCs/>
        </w:rPr>
        <w:t xml:space="preserve">evolución en dos etapas</w:t>
      </w:r>
      <w:r>
        <w:t xml:space="preserve"> sin cambiar el contrato:</w:t>
      </w:r>
    </w:p>
    <w:p>
      <w:pPr>
        <w:pStyle w:val="Heading2"/>
      </w:pPr>
      <w:r>
        <w:t xml:space="preserve">8.1 Hoy — in-process (mismo despliegue)</w:t>
      </w:r>
    </w:p>
    <w:p>
      <w:pPr>
        <w:spacing w:after="120" w:line="276"/>
      </w:pPr>
      <w:r>
        <w:t xml:space="preserve">El ERP encola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EmitirComprobanteJob</w:t>
      </w:r>
      <w:r>
        <w:t xml:space="preserve"> o llama al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FacturacionApiController</w:t>
      </w:r>
      <w:r>
        <w:t xml:space="preserve"> dentro del mismo Laravel. La frontera ya es explícita (API REST + casos de uso), pero la latencia es nula y la operación es simple.</w:t>
      </w:r>
    </w:p>
    <w:p>
      <w:pPr>
        <w:pStyle w:val="Heading2"/>
      </w:pPr>
      <w:r>
        <w:t xml:space="preserve">8.2 Mañana — microservicio (REST + mensajería)</w:t>
      </w:r>
    </w:p>
    <w:p>
      <w:pPr>
        <w:spacing w:after="120" w:line="276"/>
      </w:pPr>
      <w:r>
        <w:t xml:space="preserve">Cuando el volumen lo exija, el módulo se extrae a un servicio propio. El ERP pasa a comunicarse por </w:t>
      </w:r>
      <w:r>
        <w:rPr>
          <w:b/>
          <w:bCs/>
        </w:rPr>
        <w:t xml:space="preserve">REST síncrono</w:t>
      </w:r>
      <w:r>
        <w:t xml:space="preserve"> para consultas y por </w:t>
      </w:r>
      <w:r>
        <w:rPr>
          <w:b/>
          <w:bCs/>
        </w:rPr>
        <w:t xml:space="preserve">mensajería/cola</w:t>
      </w:r>
      <w:r>
        <w:t xml:space="preserve"> (RabbitMQ, SQS, Redis) para la emisión asíncrona. Como el ERP ya habla contra la interfaz REST, sólo cambia la URL base.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Operación</w:t>
            </w:r>
          </w:p>
        </w:tc>
        <w:tc>
          <w:tcPr>
            <w:tcW w:type="dxa" w:w="320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Canal recomendado</w:t>
            </w:r>
          </w:p>
        </w:tc>
        <w:tc>
          <w:tcPr>
            <w:tcW w:type="dxa" w:w="356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Emitir / anular / nota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Cola de mensajes (asíncrono)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Tolera caídas del organismo; desacopla latencia.</w:t>
            </w:r>
          </w:p>
        </w:tc>
      </w:tr>
      <w:tr>
        <w:tc>
          <w:tcPr>
            <w:tcW w:type="dxa" w:w="26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Consultar estado</w:t>
            </w:r>
          </w:p>
        </w:tc>
        <w:tc>
          <w:tcPr>
            <w:tcW w:type="dxa" w:w="32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REST síncrono</w:t>
            </w:r>
          </w:p>
        </w:tc>
        <w:tc>
          <w:tcPr>
            <w:tcW w:type="dxa" w:w="356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Respuesta inmediata para la UI.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Notificaciones de aceptación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Evento/webhook del servicio al ERP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El ERP actualiza el estado sin hacer polling.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8.3 Secuencia de emisión asíncrona</w:t>
      </w:r>
    </w:p>
    <w:p>
      <w:pPr>
        <w:shd w:fill="F4F6F8" w:val="clear"/>
        <w:spacing w:after="0" w:before="4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Usuario ▶ ERP: cobra la consulta (Factura)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ERP ▶ Cola: EmitirComprobanteJob(Comprobante)   [responde 202 al instante]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Worker ▶ EmitirComprobante (caso de uso)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     ▶ RegistroProveedores.para(PE) → SunatProvider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     ▶ ConstructorUblGreenter: XML UBL 2.1 + firma XAdES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     ▶ SUNAT (SOAP): envía y recibe CDR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     ▶ Almacena XML + CDR, persiste estado, registra evento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Worker ▶ ERP (webhook): 'F001-00000123 ACEPTADO'</w:t>
      </w:r>
    </w:p>
    <w:p>
      <w:pPr>
        <w:shd w:fill="F4F6F8" w:val="clear"/>
        <w:spacing w:after="160" w:before="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(si error técnico ▶ re-encola con backoff 30s,2m,5m,15m,1h)</w:t>
      </w:r>
    </w:p>
    <w:p>
      <w:pPr>
        <w:pStyle w:val="Heading1"/>
      </w:pPr>
      <w:r>
        <w:t xml:space="preserve">9. Manejo de errores y reintentos</w:t>
      </w:r>
    </w:p>
    <w:p>
      <w:pPr>
        <w:spacing w:after="120" w:line="276"/>
      </w:pPr>
      <w:r>
        <w:t xml:space="preserve">Se distinguen dos clases de fallo, con tratamiento opuesto: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fallo</w:t>
            </w:r>
          </w:p>
        </w:tc>
        <w:tc>
          <w:tcPr>
            <w:tcW w:type="dxa" w:w="340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Ejemplos</w:t>
            </w:r>
          </w:p>
        </w:tc>
        <w:tc>
          <w:tcPr>
            <w:tcW w:type="dxa" w:w="356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Tratamiento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Técnico (reintentable)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Timeout de red, SOAP caído, error de firma temporal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4E79"/>
                <w:sz w:val="20"/>
                <w:szCs w:val="20"/>
              </w:rPr>
              <w:t xml:space="preserve">ResultadoEmision.reintentar = true</w:t>
            </w:r>
            <w:r>
              <w:t xml:space="preserve">; el job re-encola con backoff exponencial (hasta 5 intentos).</w:t>
            </w:r>
          </w:p>
        </w:tc>
      </w:tr>
      <w:tr>
        <w:tc>
          <w:tcPr>
            <w:tcW w:type="dxa" w:w="24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Funcional (final)</w:t>
            </w:r>
          </w:p>
        </w:tc>
        <w:tc>
          <w:tcPr>
            <w:tcW w:type="dxa" w:w="34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RUC inválido, comprobante rechazado por el organismo</w:t>
            </w:r>
          </w:p>
        </w:tc>
        <w:tc>
          <w:tcPr>
            <w:tcW w:type="dxa" w:w="356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No se reintenta; estado </w:t>
            </w:r>
            <w:r>
              <w:rPr>
                <w:rFonts w:ascii="Consolas" w:cs="Consolas" w:eastAsia="Consolas" w:hAnsi="Consolas"/>
                <w:color w:val="1E4E79"/>
                <w:sz w:val="20"/>
                <w:szCs w:val="20"/>
              </w:rPr>
              <w:t xml:space="preserve">rechazado</w:t>
            </w:r>
            <w:r>
              <w:t xml:space="preserve">; requiere corrección humana.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El caso de uso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EmitirComprobante</w:t>
      </w:r>
      <w:r>
        <w:t xml:space="preserve"> </w:t>
      </w:r>
      <w:r>
        <w:rPr>
          <w:b/>
          <w:bCs/>
        </w:rPr>
        <w:t xml:space="preserve">nunca pierde un comprobante</w:t>
      </w:r>
      <w:r>
        <w:t xml:space="preserve">: si el adaptador lanza una excepción no controlada, la captura, la registra como error reintentable y la persiste. Tras agotar los reintentos, el job cae a la </w:t>
      </w:r>
      <w:r>
        <w:rPr>
          <w:b/>
          <w:bCs/>
        </w:rPr>
        <w:t xml:space="preserve">cola de fallidos</w:t>
      </w:r>
      <w:r>
        <w:t xml:space="preserve"> de Laravel para inspección manual.</w:t>
      </w:r>
    </w:p>
    <w:p>
      <w:pPr>
        <w:pStyle w:val="Heading1"/>
      </w:pPr>
      <w:r>
        <w:t xml:space="preserve">10. Auditoría y trazabilidad</w:t>
      </w:r>
    </w:p>
    <w:p>
      <w:pPr>
        <w:spacing w:after="120" w:line="276"/>
      </w:pPr>
      <w:r>
        <w:t xml:space="preserve">Cada transición del ciclo de vida se escribe en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comprobante_eventos</w:t>
      </w:r>
      <w:r>
        <w:t xml:space="preserve"> como registro </w:t>
      </w:r>
      <w:r>
        <w:rPr>
          <w:b/>
          <w:bCs/>
        </w:rPr>
        <w:t xml:space="preserve">append-only</w:t>
      </w:r>
      <w:r>
        <w:t xml:space="preserve"> (nunca se actualiza ni borra):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emision.iniciada</w:t>
      </w:r>
      <w:r>
        <w:t xml:space="preserve">,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emision.resultado</w:t>
      </w:r>
      <w:r>
        <w:t xml:space="preserve">,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anulacion</w:t>
      </w:r>
      <w:r>
        <w:t xml:space="preserve">,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nota_credito</w:t>
      </w:r>
      <w:r>
        <w:t xml:space="preserve">, con su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payload</w:t>
      </w:r>
      <w:r>
        <w:t xml:space="preserve"> en JSON. Esto permite reconstruir la historia completa de un comprobante para fines contables y de fiscalización.</w:t>
      </w:r>
    </w:p>
    <w:p>
      <w:pPr>
        <w:spacing w:after="120" w:line="276"/>
      </w:pPr>
      <w:r>
        <w:t xml:space="preserve">Se apoya, además, en los mecanismos ya existentes del ERP (traits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Auditable</w:t>
      </w:r>
      <w:r>
        <w:t xml:space="preserve"> y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BelongsToClinica</w:t>
      </w:r>
      <w:r>
        <w:t xml:space="preserve">), de modo que la auditoría de facturación es consistente con la del resto del sistema.</w:t>
      </w:r>
    </w:p>
    <w:p>
      <w:pPr>
        <w:pStyle w:val="Heading1"/>
      </w:pPr>
      <w:r>
        <w:t xml:space="preserve">11. Almacenamiento de XML, CDR y PDF</w:t>
      </w:r>
    </w:p>
    <w:p>
      <w:pPr>
        <w:spacing w:after="120" w:line="276"/>
      </w:pPr>
      <w:r>
        <w:t xml:space="preserve">El puerto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AlmacenDocumentos</w:t>
      </w:r>
      <w:r>
        <w:t xml:space="preserve"> abstrae dónde se guardan los artefactos. La implementación por defecto usa el sistema de archivos de Laravel (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Storage</w:t>
      </w:r>
      <w:r>
        <w:t xml:space="preserve">), configurable a S3/Azure sin tocar el dominio.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900"/>
        <w:gridCol w:w="4300"/>
        <w:gridCol w:w="2160"/>
      </w:tblGrid>
      <w:tr>
        <w:trPr>
          <w:tblHeader/>
        </w:trPr>
        <w:tc>
          <w:tcPr>
            <w:tcW w:type="dxa" w:w="290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Artefacto</w:t>
            </w:r>
          </w:p>
        </w:tc>
        <w:tc>
          <w:tcPr>
            <w:tcW w:type="dxa" w:w="430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216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Retención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XML firmado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facturacion/{pais}/{ruc}/xml/{numero}.xml</w:t>
            </w:r>
          </w:p>
        </w:tc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Legal (varios años según país).</w:t>
            </w:r>
          </w:p>
        </w:tc>
      </w:tr>
      <w:tr>
        <w:tc>
          <w:tcPr>
            <w:tcW w:type="dxa" w:w="29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CDR / acuse</w:t>
            </w:r>
          </w:p>
        </w:tc>
        <w:tc>
          <w:tcPr>
            <w:tcW w:type="dxa" w:w="43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facturacion/{pais}/{ruc}/cdr/R-{numero}.xml</w:t>
            </w:r>
          </w:p>
        </w:tc>
        <w:tc>
          <w:tcPr>
            <w:tcW w:type="dxa" w:w="216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Constancia de aceptación del organismo.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PDF (representación impresa)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facturacion/{pais}/{ruc}/pdf/{numero}.pdf</w:t>
            </w:r>
          </w:p>
        </w:tc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Entrega al paciente (email/descarga).</w:t>
            </w:r>
          </w:p>
        </w:tc>
      </w:tr>
    </w:tbl>
    <w:p>
      <w:pPr>
        <w:pStyle w:val="Heading1"/>
      </w:pPr>
      <w:r>
        <w:t xml:space="preserve">12. Especificidades por país</w:t>
      </w:r>
    </w:p>
    <w:p>
      <w:pPr>
        <w:spacing w:after="120" w:line="276"/>
      </w:pPr>
      <w:r>
        <w:t xml:space="preserve">La interfaz es común, pero cada organismo tiene su formato, su identificador de respuesta y su medio de firma. El adaptador encapsula esas diferencias: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500"/>
        <w:gridCol w:w="1900"/>
        <w:gridCol w:w="1700"/>
        <w:gridCol w:w="2360"/>
        <w:gridCol w:w="1900"/>
      </w:tblGrid>
      <w:tr>
        <w:trPr>
          <w:tblHeader/>
        </w:trPr>
        <w:tc>
          <w:tcPr>
            <w:tcW w:type="dxa" w:w="150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País</w:t>
            </w:r>
          </w:p>
        </w:tc>
        <w:tc>
          <w:tcPr>
            <w:tcW w:type="dxa" w:w="190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Organismo</w:t>
            </w:r>
          </w:p>
        </w:tc>
        <w:tc>
          <w:tcPr>
            <w:tcW w:type="dxa" w:w="170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236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Firma / Autorización</w:t>
            </w:r>
          </w:p>
        </w:tc>
        <w:tc>
          <w:tcPr>
            <w:tcW w:type="dxa" w:w="190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Respuesta clave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Perú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SUNAT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UBL 2.1</w:t>
            </w:r>
          </w:p>
        </w:tc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XAdES-BES (cert. digital)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CDR</w:t>
            </w:r>
          </w:p>
        </w:tc>
      </w:tr>
      <w:tr>
        <w:tc>
          <w:tcPr>
            <w:tcW w:type="dxa" w:w="15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Colombia</w:t>
            </w:r>
          </w:p>
        </w:tc>
        <w:tc>
          <w:tcPr>
            <w:tcW w:type="dxa" w:w="19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DIAN</w:t>
            </w:r>
          </w:p>
        </w:tc>
        <w:tc>
          <w:tcPr>
            <w:tcW w:type="dxa" w:w="17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UBL 2.1</w:t>
            </w:r>
          </w:p>
        </w:tc>
        <w:tc>
          <w:tcPr>
            <w:tcW w:type="dxa" w:w="236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XAdES + CUFE</w:t>
            </w:r>
          </w:p>
        </w:tc>
        <w:tc>
          <w:tcPr>
            <w:tcW w:type="dxa" w:w="19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CUFE / acuse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Chile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SII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DTE (propio)</w:t>
            </w:r>
          </w:p>
        </w:tc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Folio CAF + firma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Estado DTE</w:t>
            </w:r>
          </w:p>
        </w:tc>
      </w:tr>
      <w:tr>
        <w:tc>
          <w:tcPr>
            <w:tcW w:type="dxa" w:w="15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Argentina</w:t>
            </w:r>
          </w:p>
        </w:tc>
        <w:tc>
          <w:tcPr>
            <w:tcW w:type="dxa" w:w="19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ARCA (ex AFIP)</w:t>
            </w:r>
          </w:p>
        </w:tc>
        <w:tc>
          <w:tcPr>
            <w:tcW w:type="dxa" w:w="17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WSFE (SOAP)</w:t>
            </w:r>
          </w:p>
        </w:tc>
        <w:tc>
          <w:tcPr>
            <w:tcW w:type="dxa" w:w="236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Ticket WSAA</w:t>
            </w:r>
          </w:p>
        </w:tc>
        <w:tc>
          <w:tcPr>
            <w:tcW w:type="dxa" w:w="19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CAE + vencimiento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México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SAT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CFDI 4.0</w:t>
            </w:r>
          </w:p>
        </w:tc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CSD vía PAC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UUID (TFD)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Para Perú se recomienda apoyar el adaptador en la librería estándar </w:t>
      </w:r>
      <w:r>
        <w:rPr>
          <w:b/>
          <w:bCs/>
        </w:rPr>
        <w:t xml:space="preserve">Greenter</w:t>
      </w:r>
      <w:r>
        <w:t xml:space="preserve"> (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composer require greenter/lite</w:t>
      </w:r>
      <w:r>
        <w:t xml:space="preserve">), que resuelve la generación UBL, la firma XAdES y el envío SOAP. La dependencia queda encerrada en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ConstructorUblGreenter</w:t>
      </w:r>
      <w:r>
        <w:t xml:space="preserve">, de modo que sustituirla no afecta al dominio.</w:t>
      </w:r>
    </w:p>
    <w:p>
      <w:pPr>
        <w:pStyle w:val="Heading1"/>
      </w:pPr>
      <w:r>
        <w:t xml:space="preserve">13. Seguridad y multi-empresa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Aislamiento por tenant</w:t>
      </w:r>
      <w:r>
        <w:t xml:space="preserve">: el trait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BelongsToClinica</w:t>
      </w:r>
      <w:r>
        <w:t xml:space="preserve"> filtra los comprobantes por la clínica del usuario; cada clínica factura con su propio RUC y serie.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Secretos fuera del código</w:t>
      </w:r>
      <w:r>
        <w:t xml:space="preserve">: certificados (.pem), clave SOL y endpoints viven en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config/facturacion.php</w:t>
      </w:r>
      <w:r>
        <w:t xml:space="preserve"> y variables de entorno, nunca en el repositorio.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Correlativo atómico</w:t>
      </w:r>
      <w:r>
        <w:t xml:space="preserve">: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siguienteCorrelativo()</w:t>
      </w:r>
      <w:r>
        <w:t xml:space="preserve"> usa un bloqueo de fila (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lockForUpdate</w:t>
      </w:r>
      <w:r>
        <w:t xml:space="preserve">) para impedir números duplicados bajo concurrencia.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autenticada</w:t>
      </w:r>
      <w:r>
        <w:t xml:space="preserve">: los endpoints REST exigen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auth:sanctum</w:t>
      </w:r>
      <w:r>
        <w:t xml:space="preserve">; sólo servicios/usuarios autorizados emiten comprobantes.</w:t>
      </w:r>
    </w:p>
    <w:p>
      <w:pPr>
        <w:pStyle w:val="Heading1"/>
      </w:pPr>
      <w:r>
        <w:t xml:space="preserve">14. Hoja de ruta por fases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700"/>
        <w:gridCol w:w="3100"/>
        <w:gridCol w:w="2760"/>
        <w:gridCol w:w="1800"/>
      </w:tblGrid>
      <w:tr>
        <w:trPr>
          <w:tblHeader/>
        </w:trPr>
        <w:tc>
          <w:tcPr>
            <w:tcW w:type="dxa" w:w="170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10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276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1800"/>
            <w:shd w:fill="1E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1. Fundaciones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Dominio, puertos, casos de uso, registro Strategy, persistencia, API</w:t>
            </w:r>
          </w:p>
        </w:tc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Scaffolding de 39 archivos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Entregado</w:t>
            </w:r>
          </w:p>
        </w:tc>
      </w:tr>
      <w:tr>
        <w:tc>
          <w:tcPr>
            <w:tcW w:type="dxa" w:w="17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2. Perú simulado</w:t>
            </w:r>
          </w:p>
        </w:tc>
        <w:tc>
          <w:tcPr>
            <w:tcW w:type="dxa" w:w="31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Adaptador SUNAT en modo simulado (XML + hash, sin transmitir)</w:t>
            </w:r>
          </w:p>
        </w:tc>
        <w:tc>
          <w:tcPr>
            <w:tcW w:type="dxa" w:w="276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Emisión de extremo a extremo en dev</w:t>
            </w:r>
          </w:p>
        </w:tc>
        <w:tc>
          <w:tcPr>
            <w:tcW w:type="dxa" w:w="18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Entregado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3. Perú producción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Greenter + certificado + SOL; firma XAdES; CDR; PDF; baja; notas</w:t>
            </w:r>
          </w:p>
        </w:tc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Comprobantes reales ante SUNAT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Siguiente</w:t>
            </w:r>
          </w:p>
        </w:tc>
      </w:tr>
      <w:tr>
        <w:tc>
          <w:tcPr>
            <w:tcW w:type="dxa" w:w="17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4. Colombia (DIAN)</w:t>
            </w:r>
          </w:p>
        </w:tc>
        <w:tc>
          <w:tcPr>
            <w:tcW w:type="dxa" w:w="31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UBL 2.1 + CUFE; integración con PSE</w:t>
            </w:r>
          </w:p>
        </w:tc>
        <w:tc>
          <w:tcPr>
            <w:tcW w:type="dxa" w:w="276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Adaptador DIAN productivo</w:t>
            </w:r>
          </w:p>
        </w:tc>
        <w:tc>
          <w:tcPr>
            <w:tcW w:type="dxa" w:w="18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Planificado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5. Chile / Argentina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DTE + folios CAF (SII); WSFE + CAE (ARCA)</w:t>
            </w:r>
          </w:p>
        </w:tc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Dos adaptadores productivos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Planificado</w:t>
            </w:r>
          </w:p>
        </w:tc>
      </w:tr>
      <w:tr>
        <w:tc>
          <w:tcPr>
            <w:tcW w:type="dxa" w:w="17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6. México (SAT)</w:t>
            </w:r>
          </w:p>
        </w:tc>
        <w:tc>
          <w:tcPr>
            <w:tcW w:type="dxa" w:w="31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CFDI 4.0 + timbrado vía PAC (UUID)</w:t>
            </w:r>
          </w:p>
        </w:tc>
        <w:tc>
          <w:tcPr>
            <w:tcW w:type="dxa" w:w="276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Adaptador SAT productivo</w:t>
            </w:r>
          </w:p>
        </w:tc>
        <w:tc>
          <w:tcPr>
            <w:tcW w:type="dxa" w:w="1800"/>
            <w:shd w:fill="EEF4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Planificado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7. Extracción a microservicio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Repo propio, cola de mensajes, webhooks al ERP</w:t>
            </w:r>
          </w:p>
        </w:tc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Servicio desacoplado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Futuro</w:t>
            </w:r>
          </w:p>
        </w:tc>
      </w:tr>
    </w:tbl>
    <w:p>
      <w:pPr>
        <w:pStyle w:val="Heading1"/>
      </w:pPr>
      <w:r>
        <w:t xml:space="preserve">15. Estado de entrega de esta iteración</w:t>
      </w:r>
    </w:p>
    <w:p>
      <w:pPr>
        <w:spacing w:after="120" w:line="276"/>
      </w:pPr>
      <w:r>
        <w:t xml:space="preserve">Junto a este documento se entrega el código base bajo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app/Facturacion/</w:t>
      </w:r>
      <w:r>
        <w:t xml:space="preserve">, verificado estructuralmente (39 archivos PHP, namespaces PSR-4 correctos, balance sintáctico validado). El adaptador de Perú funciona </w:t>
      </w:r>
      <w:r>
        <w:rPr>
          <w:b/>
          <w:bCs/>
        </w:rPr>
        <w:t xml:space="preserve">en modo simulado</w:t>
      </w:r>
      <w:r>
        <w:t xml:space="preserve"> de forma inmediata; para producción sólo resta instalar Greenter y cargar el certificado. Los cuatro países restantes quedan como </w:t>
      </w:r>
      <w:r>
        <w:rPr>
          <w:b/>
          <w:bCs/>
        </w:rPr>
        <w:t xml:space="preserve">stubs</w:t>
      </w:r>
      <w:r>
        <w:t xml:space="preserve"> que ya implementan la interfaz y muestran el punto exacto de extensión.</w:t>
      </w:r>
    </w:p>
    <w:p>
      <w:pPr>
        <w:spacing w:after="120" w:line="276"/>
      </w:pPr>
      <w:r>
        <w:t xml:space="preserve">Pasos siguientes sugeridos: ejecutar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php artisan migrate</w:t>
      </w:r>
      <w:r>
        <w:t xml:space="preserve"> para crear las tablas, y probar la emisión simulada vía </w:t>
      </w:r>
      <w:r>
        <w:rPr>
          <w:rFonts w:ascii="Consolas" w:cs="Consolas" w:eastAsia="Consolas" w:hAnsi="Consolas"/>
          <w:color w:val="1E4E79"/>
          <w:sz w:val="20"/>
          <w:szCs w:val="20"/>
        </w:rPr>
        <w:t xml:space="preserve">POST /api/facturacion/comprobantes { "factura_id": N }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999999"/>
        <w:sz w:val="16"/>
        <w:szCs w:val="16"/>
      </w:rPr>
      <w:t xml:space="preserve">Facturación Electrónica Multi-País · SaaS Citas Médicas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CD9E8" w:sz="4" w:space="4"/>
      </w:pBdr>
      <w:spacing w:after="160" w:before="300"/>
      <w:outlineLvl w:val="0"/>
    </w:pPr>
    <w:rPr>
      <w:rFonts w:ascii="Arial" w:cs="Arial" w:eastAsia="Arial" w:hAnsi="Arial"/>
      <w:b/>
      <w:bCs/>
      <w:color w:val="1E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de Facturación Electrónica Multi-País</dc:title>
  <dc:creator>SaaS Citas Médicas</dc:creator>
  <cp:lastModifiedBy>Un-named</cp:lastModifiedBy>
  <cp:revision>1</cp:revision>
  <dcterms:created xsi:type="dcterms:W3CDTF">2026-07-08T06:18:03.781Z</dcterms:created>
  <dcterms:modified xsi:type="dcterms:W3CDTF">2026-07-08T06:18:03.781Z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