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DDB9A7A"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 xml:space="preserve">mmunity 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 xml:space="preserve">rmyworm at </w:t>
      </w:r>
      <w:r w:rsidR="373C4678" w:rsidRPr="1457F032">
        <w:rPr>
          <w:rStyle w:val="cf01"/>
          <w:rFonts w:asciiTheme="minorHAnsi" w:hAnsiTheme="minorHAnsi" w:cstheme="minorBidi"/>
          <w:b/>
          <w:bCs/>
          <w:sz w:val="28"/>
          <w:szCs w:val="28"/>
        </w:rPr>
        <w:t>V</w:t>
      </w:r>
      <w:r w:rsidRPr="1457F032">
        <w:rPr>
          <w:rStyle w:val="cf01"/>
          <w:rFonts w:asciiTheme="minorHAnsi" w:hAnsiTheme="minorHAnsi" w:cstheme="minorBidi"/>
          <w:b/>
          <w:bCs/>
          <w:sz w:val="28"/>
          <w:szCs w:val="28"/>
        </w:rPr>
        <w:t xml:space="preserve">arying </w:t>
      </w:r>
      <w:r w:rsidR="373C4678" w:rsidRPr="1457F032">
        <w:rPr>
          <w:rStyle w:val="cf01"/>
          <w:rFonts w:asciiTheme="minorHAnsi" w:hAnsiTheme="minorHAnsi" w:cstheme="minorBidi"/>
          <w:b/>
          <w:bCs/>
          <w:sz w:val="28"/>
          <w:szCs w:val="28"/>
        </w:rPr>
        <w:t>T</w:t>
      </w:r>
      <w:r w:rsidR="080618B9" w:rsidRPr="1457F032">
        <w:rPr>
          <w:rStyle w:val="cf01"/>
          <w:rFonts w:asciiTheme="minorHAnsi" w:hAnsiTheme="minorHAnsi" w:cstheme="minorBidi"/>
          <w:b/>
          <w:bCs/>
          <w:sz w:val="28"/>
          <w:szCs w:val="28"/>
        </w:rPr>
        <w:t>emperatures</w:t>
      </w:r>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326261A8"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require </w:t>
      </w:r>
      <w:r w:rsidR="00C239F1">
        <w:rPr>
          <w:rFonts w:cstheme="minorHAnsi"/>
        </w:rPr>
        <w:t xml:space="preserve">the manual counting of insect immune cells,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 We also rear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 control populations that were infected and in the</w:t>
      </w:r>
      <w:r w:rsidR="00BA1A6C">
        <w:rPr>
          <w:rFonts w:cstheme="minorHAnsi"/>
        </w:rPr>
        <w:t xml:space="preserve"> uninfected</w:t>
      </w:r>
      <w:r w:rsidR="00D7244A">
        <w:rPr>
          <w:rFonts w:cstheme="minorHAnsi"/>
        </w:rPr>
        <w:t xml:space="preserve"> coevolved population.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6D5B8711" w:rsidR="00BA1A6C" w:rsidRPr="00F326B1" w:rsidRDefault="00BA1A6C" w:rsidP="00BA1A6C">
      <w:pPr>
        <w:spacing w:line="240" w:lineRule="auto"/>
        <w:ind w:firstLine="360"/>
      </w:pPr>
      <w:r w:rsidRPr="1457F032">
        <w:t>The fall armyworm (</w:t>
      </w:r>
      <w:r w:rsidRPr="1457F032">
        <w:rPr>
          <w:i/>
          <w:iCs/>
        </w:rPr>
        <w:t xml:space="preserve">Spodoptera </w:t>
      </w:r>
      <w:proofErr w:type="spellStart"/>
      <w:r w:rsidRPr="1457F032">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 Fall armyworms thrive in warmer climates and are most active in the late summers in North America (Ali et al., 1990). While pesticides have traditionally been used to help </w:t>
      </w:r>
      <w:proofErr w:type="gramStart"/>
      <w:r w:rsidRPr="1457F032">
        <w:t>cull</w:t>
      </w:r>
      <w:proofErr w:type="gramEnd"/>
      <w:r w:rsidRPr="1457F032">
        <w:t xml:space="preserve"> outbreaks, the emergence of resistance to commonly used pesticides like carbamates and organophosphates has made it increasingly challenging to control the populations (Tay et al, 2023). Biocontrol practices like the use of predators, parasitoids, and pathogens have been shown to be successful in reducing the number of larvae. Compared to pesticides, biocontrol methods have a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 xml:space="preserve">Spodoptera </w:t>
      </w:r>
      <w:proofErr w:type="spellStart"/>
      <w:r w:rsidR="00E57BEC" w:rsidRPr="00E57BEC">
        <w:rPr>
          <w:rFonts w:cstheme="minorHAnsi"/>
          <w:i/>
          <w:iCs/>
          <w:shd w:val="clear" w:color="auto" w:fill="FCFCFC"/>
        </w:rPr>
        <w:t>frugiperda</w:t>
      </w:r>
      <w:proofErr w:type="spellEnd"/>
      <w:r w:rsidR="00E57BEC" w:rsidRPr="00E57BEC">
        <w:rPr>
          <w:rFonts w:cstheme="minorHAnsi"/>
          <w:shd w:val="clear" w:color="auto" w:fill="FCFCFC"/>
        </w:rPr>
        <w:t> </w:t>
      </w:r>
      <w:proofErr w:type="spellStart"/>
      <w:r w:rsidR="00E57BEC" w:rsidRPr="00E57BEC">
        <w:rPr>
          <w:rFonts w:cstheme="minorHAnsi"/>
          <w:shd w:val="clear" w:color="auto" w:fill="FCFCFC"/>
        </w:rPr>
        <w:t>multicapsid</w:t>
      </w:r>
      <w:proofErr w:type="spellEnd"/>
      <w:r w:rsidR="00E57BEC" w:rsidRPr="00E57BEC">
        <w:rPr>
          <w:rFonts w:cstheme="minorHAnsi"/>
          <w:shd w:val="clear" w:color="auto" w:fill="FCFCFC"/>
        </w:rPr>
        <w:t xml:space="preserve"> </w:t>
      </w:r>
      <w:proofErr w:type="spellStart"/>
      <w:r w:rsidR="00E57BEC" w:rsidRPr="00E57BEC">
        <w:rPr>
          <w:rFonts w:cstheme="minorHAnsi"/>
          <w:shd w:val="clear" w:color="auto" w:fill="FCFCFC"/>
        </w:rPr>
        <w:t>nucleopolyhedrovirus</w:t>
      </w:r>
      <w:proofErr w:type="spellEnd"/>
      <w:r w:rsidR="00E57BEC" w:rsidRPr="00E57BEC">
        <w:rPr>
          <w:rFonts w:cstheme="minorHAnsi"/>
          <w:shd w:val="clear" w:color="auto" w:fill="FCFCFC"/>
        </w:rPr>
        <w:t xml:space="preserve"> (</w:t>
      </w:r>
      <w:proofErr w:type="spellStart"/>
      <w:r w:rsidR="00E57BEC" w:rsidRPr="00E57BEC">
        <w:rPr>
          <w:rFonts w:cstheme="minorHAnsi"/>
          <w:color w:val="212121"/>
          <w:shd w:val="clear" w:color="auto" w:fill="FFFFFF"/>
        </w:rPr>
        <w:t>SpfrMNPV</w:t>
      </w:r>
      <w:proofErr w:type="spellEnd"/>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w:t>
      </w:r>
      <w:proofErr w:type="spellStart"/>
      <w:r w:rsidR="00E57BEC">
        <w:t>Behle</w:t>
      </w:r>
      <w:proofErr w:type="spellEnd"/>
      <w:r w:rsidR="00E57BEC">
        <w:t xml:space="preserve"> &amp; Popham, 2012)</w:t>
      </w:r>
      <w:r w:rsidR="0017600E">
        <w:t>.</w:t>
      </w:r>
    </w:p>
    <w:p w14:paraId="574B22B4" w14:textId="4805B07B"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r w:rsidR="32F58395" w:rsidRPr="1457F032">
        <w:t xml:space="preserve">have been </w:t>
      </w:r>
      <w:r w:rsidR="326D19E5" w:rsidRPr="1457F032">
        <w:t xml:space="preserve">found to aid in immune response (Lavine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lastRenderedPageBreak/>
        <w:t xml:space="preserve">responds </w:t>
      </w:r>
      <w:r w:rsidRPr="1457F032">
        <w:t xml:space="preserve">to pathogens. When </w:t>
      </w:r>
      <w:r w:rsidR="70972FE2" w:rsidRPr="1457F032">
        <w:t xml:space="preserve">insects </w:t>
      </w:r>
      <w:r w:rsidR="5B607D6E" w:rsidRPr="1457F032">
        <w:t xml:space="preserve">are infected with a pathogen, </w:t>
      </w:r>
      <w:r w:rsidR="0A0D88C1" w:rsidRPr="1457F032">
        <w:t xml:space="preserve">their </w:t>
      </w:r>
      <w:r w:rsidR="5B607D6E" w:rsidRPr="1457F032">
        <w:t xml:space="preserve">hemocyte </w:t>
      </w:r>
      <w:r w:rsidR="284C371A" w:rsidRPr="1457F032">
        <w:t>counts</w:t>
      </w:r>
      <w:r w:rsidR="5B607D6E" w:rsidRPr="1457F032">
        <w:t xml:space="preserve"> are lower than </w:t>
      </w:r>
      <w:r w:rsidR="085B820C" w:rsidRPr="1457F032">
        <w:t xml:space="preserve">those of </w:t>
      </w:r>
      <w:r w:rsidR="64926BD6" w:rsidRPr="1457F032">
        <w:t xml:space="preserve">their </w:t>
      </w:r>
      <w:r w:rsidR="5B607D6E" w:rsidRPr="1457F032">
        <w:t>healt</w:t>
      </w:r>
      <w:r w:rsidR="16C7A8B1" w:rsidRPr="1457F032">
        <w:t>hy</w:t>
      </w:r>
      <w:r w:rsidR="5B607D6E" w:rsidRPr="1457F032">
        <w:t xml:space="preserve"> </w:t>
      </w:r>
      <w:r w:rsidR="5E6C6CBC" w:rsidRPr="1457F032">
        <w:t>counterparts</w:t>
      </w:r>
      <w:r w:rsidR="00BA1A6C">
        <w:t xml:space="preserve"> </w:t>
      </w:r>
      <w:r w:rsidRPr="1457F032">
        <w:t>(</w:t>
      </w:r>
      <w:proofErr w:type="spellStart"/>
      <w:r w:rsidRPr="1457F032">
        <w:t>Smilanich</w:t>
      </w:r>
      <w:proofErr w:type="spellEnd"/>
      <w:r w:rsidRPr="1457F032">
        <w:t xml:space="preserve"> et al., 2018)</w:t>
      </w:r>
      <w:r w:rsidR="5B607D6E" w:rsidRPr="1457F032">
        <w:t xml:space="preserve">. </w:t>
      </w:r>
      <w:r w:rsidR="5A68B38E" w:rsidRPr="1457F032">
        <w:t>Conversely</w:t>
      </w:r>
      <w:r w:rsidR="5B607D6E" w:rsidRPr="1457F032">
        <w:t xml:space="preserve">, hosts infected with high viral concentrations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p>
    <w:p w14:paraId="79F500CE" w14:textId="2EB2F79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p>
    <w:p w14:paraId="396CE5B4" w14:textId="2BEA4C7E"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 xml:space="preserve">You Only Look Once (YOLO) and Single Shot </w:t>
      </w:r>
      <w:proofErr w:type="spellStart"/>
      <w:r w:rsidR="53E64DB5" w:rsidRPr="1457F032">
        <w:t>Multibox</w:t>
      </w:r>
      <w:proofErr w:type="spellEnd"/>
      <w:r w:rsidR="53E64DB5" w:rsidRPr="1457F032">
        <w:t xml:space="preserve">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w:t>
      </w:r>
      <w:proofErr w:type="spellStart"/>
      <w:r w:rsidR="3125AB57" w:rsidRPr="1457F032">
        <w:t>Girshick</w:t>
      </w:r>
      <w:proofErr w:type="spellEnd"/>
      <w:r w:rsidR="3125AB57" w:rsidRPr="1457F032">
        <w:t>,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xml:space="preserve">, a previous study found Faster-RCNN to the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 xml:space="preserve">more recent developments in YOLO models (YOLO V8)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w:t>
      </w:r>
      <w:proofErr w:type="spellStart"/>
      <w:r w:rsidR="48EB0408" w:rsidRPr="1457F032">
        <w:t>Jocher</w:t>
      </w:r>
      <w:proofErr w:type="spellEnd"/>
      <w:r w:rsidR="48EB0408" w:rsidRPr="1457F032">
        <w:t xml:space="preserve">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infected white blood cells (</w:t>
      </w:r>
      <w:proofErr w:type="spellStart"/>
      <w:r w:rsidR="0FB8592C" w:rsidRPr="1457F032">
        <w:t>Poostchi</w:t>
      </w:r>
      <w:proofErr w:type="spellEnd"/>
      <w:r w:rsidR="0FB8592C" w:rsidRPr="1457F032">
        <w:t xml:space="preserve"> et al., 2018). However, these studies often aim to detect large objects </w:t>
      </w:r>
      <w:r w:rsidR="18075EB0" w:rsidRPr="1457F032">
        <w:t>occupying</w:t>
      </w:r>
      <w:r w:rsidR="006D3E08">
        <w:t xml:space="preserve"> </w:t>
      </w:r>
      <w:proofErr w:type="gramStart"/>
      <w:r w:rsidR="006D3E08">
        <w:t xml:space="preserve">the </w:t>
      </w:r>
      <w:r w:rsidR="1FC4F37F" w:rsidRPr="1457F032">
        <w:t>majority of</w:t>
      </w:r>
      <w:proofErr w:type="gramEnd"/>
      <w:r w:rsidR="1FC4F37F" w:rsidRPr="1457F032">
        <w:t xml:space="preserve">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 xml:space="preserve">faced in objected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3791CEF0" w:rsidR="00F23B7C" w:rsidRPr="00F326B1" w:rsidRDefault="76589D62" w:rsidP="1457F032">
      <w:pPr>
        <w:spacing w:line="240" w:lineRule="auto"/>
        <w:ind w:firstLine="360"/>
      </w:pPr>
      <w:r w:rsidRPr="1457F032">
        <w:lastRenderedPageBreak/>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45EE0508" w:rsidRPr="1457F032">
        <w:t>Two-Stage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w:t>
      </w:r>
      <w:proofErr w:type="gramStart"/>
      <w:r w:rsidR="57E1AF9D" w:rsidRPr="1457F032">
        <w:t xml:space="preserve">to </w:t>
      </w:r>
      <w:r w:rsidR="03932D51" w:rsidRPr="1457F032">
        <w:t>exhibit</w:t>
      </w:r>
      <w:proofErr w:type="gramEnd"/>
      <w:r w:rsidR="03932D51" w:rsidRPr="1457F032">
        <w:t xml:space="preserve"> </w:t>
      </w:r>
      <w:r w:rsidR="57E1AF9D" w:rsidRPr="1457F032">
        <w:t xml:space="preserve">a stronger hemocyte response than those who </w:t>
      </w:r>
      <w:r w:rsidR="087D08DA" w:rsidRPr="1457F032">
        <w:t>have</w:t>
      </w:r>
      <w:r w:rsidR="57E1AF9D" w:rsidRPr="1457F032">
        <w:t xml:space="preserve"> not. Finally, </w:t>
      </w:r>
      <w:r w:rsidR="2E95C76A" w:rsidRPr="1457F032">
        <w:t xml:space="preserve">caterpillars exposed to virus when dissected should show a stronger hemocyte response than those that </w:t>
      </w:r>
      <w:r w:rsidR="35EF17DC" w:rsidRPr="1457F032">
        <w:t>were not exposed</w:t>
      </w:r>
      <w:r w:rsidR="2E95C76A" w:rsidRPr="1457F032">
        <w: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0D27D8E2" w:rsidR="002E1CC5" w:rsidRPr="00F326B1" w:rsidRDefault="00261B8B" w:rsidP="4E4B813D">
      <w:pPr>
        <w:spacing w:line="240" w:lineRule="auto"/>
        <w:ind w:firstLine="360"/>
      </w:pPr>
      <w:r w:rsidRPr="4E4B813D">
        <w:t xml:space="preserve">The first generation of fall armyworms </w:t>
      </w:r>
      <w:r w:rsidR="00340C13" w:rsidRPr="4E4B813D">
        <w:t>w</w:t>
      </w:r>
      <w:r w:rsidR="00EB0D79">
        <w:t>as</w:t>
      </w:r>
      <w:r w:rsidR="00340C13" w:rsidRPr="4E4B813D">
        <w:t xml:space="preserve"> </w:t>
      </w:r>
      <w:r w:rsidRPr="4E4B813D">
        <w:t>purchased</w:t>
      </w:r>
      <w:r w:rsidR="00340C13" w:rsidRPr="4E4B813D">
        <w:t xml:space="preserve"> from </w:t>
      </w:r>
      <w:proofErr w:type="spellStart"/>
      <w:r w:rsidR="00340C13" w:rsidRPr="4E4B813D">
        <w:rPr>
          <w:color w:val="000000" w:themeColor="text1"/>
        </w:rPr>
        <w:t>Benzon</w:t>
      </w:r>
      <w:proofErr w:type="spellEnd"/>
      <w:r w:rsidR="00340C13" w:rsidRPr="4E4B813D">
        <w:rPr>
          <w:color w:val="000000" w:themeColor="text1"/>
        </w:rPr>
        <w:t xml:space="preserve"> Research </w:t>
      </w:r>
      <w:r w:rsidR="00123AA1" w:rsidRPr="4E4B813D">
        <w:rPr>
          <w:color w:val="000000" w:themeColor="text1"/>
        </w:rPr>
        <w:t>Incorporated</w:t>
      </w:r>
      <w:r w:rsidR="00A04B6D" w:rsidRPr="4E4B813D">
        <w:rPr>
          <w:color w:val="000000" w:themeColor="text1"/>
        </w:rPr>
        <w:t xml:space="preserve"> </w:t>
      </w:r>
      <w:r w:rsidR="00A04B6D" w:rsidRPr="4E4B813D">
        <w:rPr>
          <w:color w:val="FF0000"/>
        </w:rPr>
        <w:t>(</w:t>
      </w:r>
      <w:r w:rsidR="007A0CD7" w:rsidRPr="4E4B813D">
        <w:rPr>
          <w:color w:val="FF0000"/>
        </w:rPr>
        <w:t>cite</w:t>
      </w:r>
      <w:r w:rsidR="00A04B6D" w:rsidRPr="4E4B813D">
        <w:rPr>
          <w:color w:val="FF0000"/>
        </w:rPr>
        <w:t>?)</w:t>
      </w:r>
      <w:r w:rsidRPr="4E4B813D">
        <w:rPr>
          <w:color w:val="000000" w:themeColor="text1"/>
        </w:rPr>
        <w:t>.</w:t>
      </w:r>
      <w:r w:rsidR="00A04B6D" w:rsidRPr="4E4B813D">
        <w:rPr>
          <w:color w:val="000000" w:themeColor="text1"/>
        </w:rPr>
        <w:t xml:space="preserve"> </w:t>
      </w:r>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proofErr w:type="spellStart"/>
      <w:r w:rsidR="00EB0D79" w:rsidRPr="00E57BEC">
        <w:rPr>
          <w:rFonts w:cstheme="minorHAnsi"/>
          <w:color w:val="212121"/>
          <w:shd w:val="clear" w:color="auto" w:fill="FFFFFF"/>
        </w:rPr>
        <w:t>SpfrMNPV</w:t>
      </w:r>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The control tray was dosed with DI water</w:t>
      </w:r>
      <w:r w:rsidR="000F50CE" w:rsidRPr="4E4B813D">
        <w:t xml:space="preserve"> containing no virus</w:t>
      </w:r>
      <w:r w:rsidR="00893CEC" w:rsidRPr="4E4B813D">
        <w:t xml:space="preserve"> to account for aversion to wet diet.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proofErr w:type="spellStart"/>
      <w:r w:rsidR="00EB0D79" w:rsidRPr="00E57BEC">
        <w:rPr>
          <w:rFonts w:cstheme="minorHAnsi"/>
          <w:color w:val="212121"/>
          <w:shd w:val="clear" w:color="auto" w:fill="FFFFFF"/>
        </w:rPr>
        <w:t>SpfrMNPV</w:t>
      </w:r>
      <w:proofErr w:type="spellEnd"/>
      <w:r w:rsidR="00223850" w:rsidRPr="4E4B813D">
        <w:t xml:space="preserve"> 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p>
    <w:p w14:paraId="5EB1FA69" w14:textId="606FF2B0"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needles.</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lastRenderedPageBreak/>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1BEF0014"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45B3A0E4" w:rsidR="003A2DB4" w:rsidRPr="00F326B1" w:rsidRDefault="0068284F" w:rsidP="73F76B51">
      <w:pPr>
        <w:spacing w:line="240" w:lineRule="auto"/>
        <w:ind w:firstLine="360"/>
      </w:pPr>
      <w:r w:rsidRPr="73F76B51">
        <w:t>Photos were randomly separated into training, validation, and testing with 70% of photos entered as</w:t>
      </w:r>
      <w:r w:rsidR="00860B5A" w:rsidRPr="73F76B51">
        <w:t xml:space="preserve"> </w:t>
      </w:r>
      <w:r w:rsidRPr="73F76B51">
        <w:t xml:space="preserve">training data, 20% as validation, and 10% as test photos to ensure data was accurately </w:t>
      </w:r>
      <w:r w:rsidR="008C53FB" w:rsidRPr="73F76B51">
        <w:t>read</w:t>
      </w:r>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 xml:space="preserve">the accuracy of each algorithm </w:t>
      </w:r>
      <w:proofErr w:type="spellStart"/>
      <w:r w:rsidR="00EB0D79">
        <w:t>in</w:t>
      </w:r>
      <w:r w:rsidR="00B66C59" w:rsidRPr="73F76B51">
        <w:t>counting</w:t>
      </w:r>
      <w:proofErr w:type="spellEnd"/>
      <w:r w:rsidR="00B66C59" w:rsidRPr="73F76B51">
        <w:t xml:space="preserve"> hemocytes. </w:t>
      </w:r>
      <w:r w:rsidR="00806811" w:rsidRPr="73F76B51">
        <w:t xml:space="preserve">After data was sorted, the photos labeled training were augmented to increase the size of the </w:t>
      </w:r>
      <w:r w:rsidR="00860B5A" w:rsidRPr="73F76B51">
        <w:t>dataset. Data in training was then augmented to flip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7DFDE98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 xml:space="preserve">used to represent single-shot detectors.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w:t>
      </w:r>
      <w:proofErr w:type="spellStart"/>
      <w:r w:rsidR="001C533A" w:rsidRPr="00F326B1">
        <w:rPr>
          <w:rFonts w:cstheme="minorHAnsi"/>
        </w:rPr>
        <w:t>Jocher</w:t>
      </w:r>
      <w:proofErr w:type="spellEnd"/>
      <w:r w:rsidR="001C533A" w:rsidRPr="00F326B1">
        <w:rPr>
          <w:rFonts w:cstheme="minorHAnsi"/>
        </w:rPr>
        <w:t xml:space="preserve">, 2020; </w:t>
      </w:r>
      <w:proofErr w:type="spellStart"/>
      <w:r w:rsidR="001C533A" w:rsidRPr="00F326B1">
        <w:rPr>
          <w:rFonts w:cstheme="minorHAnsi"/>
        </w:rPr>
        <w:t>Jocher</w:t>
      </w:r>
      <w:proofErr w:type="spellEnd"/>
      <w:r w:rsidR="001C533A" w:rsidRPr="00F326B1">
        <w:rPr>
          <w:rFonts w:cstheme="minorHAnsi"/>
        </w:rPr>
        <w:t xml:space="preserve">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the Mean Average Precision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w:lastRenderedPageBreak/>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4950F2F5"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r w:rsidR="003E4F81" w:rsidRPr="73F76B51">
        <w:t>remade,</w:t>
      </w:r>
      <w:r w:rsidR="00D058D0" w:rsidRPr="73F76B51">
        <w:t xml:space="preserve"> and another T-test was performed to compare hemocyte counts.</w:t>
      </w:r>
      <w:r w:rsidR="00091B46" w:rsidRPr="73F76B51">
        <w:t xml:space="preserve"> Once comparisons between temperatures had been performed, the </w:t>
      </w:r>
      <w:r w:rsidR="00D058D0" w:rsidRPr="73F76B51">
        <w:t>cropped photos were</w:t>
      </w:r>
      <w:r w:rsidR="00091B46" w:rsidRPr="73F76B51">
        <w:t xml:space="preserve"> </w:t>
      </w:r>
      <w:r w:rsidR="73D1A4AC" w:rsidRPr="73F76B51">
        <w:t>divided based on</w:t>
      </w:r>
      <w:r w:rsidR="6AAE8860" w:rsidRPr="73F76B51">
        <w:t xml:space="preserve"> their</w:t>
      </w:r>
      <w:r w:rsidR="00091B46" w:rsidRPr="73F76B51">
        <w:t xml:space="preserve"> temperature and infection status</w:t>
      </w:r>
      <w:r w:rsidR="068135B7" w:rsidRPr="73F76B51">
        <w:t>, then their</w:t>
      </w:r>
      <w:r w:rsidR="001455B4">
        <w:t xml:space="preserve"> </w:t>
      </w:r>
      <w:r w:rsidR="00D058D0" w:rsidRPr="73F76B51">
        <w:t xml:space="preserve">counts were plotted.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74DCBDF8"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model had a</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Faster-RCNN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 in photos.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0"/>
      <w:r w:rsidR="00776922" w:rsidRPr="00F326B1">
        <w:rPr>
          <w:rFonts w:cstheme="minorHAnsi"/>
        </w:rPr>
        <w:t>When using uncropped photos</w:t>
      </w:r>
      <w:r w:rsidR="00A857E1" w:rsidRPr="00F326B1">
        <w:rPr>
          <w:rFonts w:cstheme="minorHAnsi"/>
        </w:rPr>
        <w:t xml:space="preserve"> </w:t>
      </w:r>
      <w:commentRangeEnd w:id="0"/>
      <w:r w:rsidR="00461F5C">
        <w:rPr>
          <w:rStyle w:val="CommentReference"/>
        </w:rPr>
        <w:commentReference w:id="0"/>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1"/>
      <w:r w:rsidRPr="00F326B1">
        <w:rPr>
          <w:rFonts w:cstheme="minorHAnsi"/>
          <w:color w:val="000000" w:themeColor="text1"/>
          <w:shd w:val="clear" w:color="auto" w:fill="FFFFFF"/>
        </w:rPr>
        <w:t>Further</w:t>
      </w:r>
      <w:commentRangeEnd w:id="1"/>
      <w:r w:rsidRPr="00F326B1">
        <w:rPr>
          <w:rStyle w:val="CommentReference"/>
          <w:rFonts w:cstheme="minorHAnsi"/>
        </w:rPr>
        <w:commentReference w:id="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w:t>
      </w:r>
      <w:r w:rsidR="00CB48ED" w:rsidRPr="00F326B1">
        <w:rPr>
          <w:rFonts w:cstheme="minorHAnsi"/>
          <w:color w:val="000000" w:themeColor="text1"/>
          <w:shd w:val="clear" w:color="auto" w:fill="FFFFFF"/>
        </w:rPr>
        <w:lastRenderedPageBreak/>
        <w:t xml:space="preserve">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07B6A0DE"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COCO dataset</w:t>
      </w:r>
      <w:r w:rsidR="007476F3" w:rsidRPr="73F76B51">
        <w:t xml:space="preserve"> </w:t>
      </w:r>
      <w:r w:rsidR="42FAB617" w:rsidRPr="73F76B51">
        <w:t xml:space="preserve">than </w:t>
      </w:r>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w:t>
      </w:r>
      <w:proofErr w:type="spellStart"/>
      <w:r w:rsidR="00297EEF" w:rsidRPr="73F76B51">
        <w:t>Khoshgoftaar</w:t>
      </w:r>
      <w:proofErr w:type="spellEnd"/>
      <w:r w:rsidR="00297EEF" w:rsidRPr="73F76B51">
        <w:t xml:space="preserve">,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p>
    <w:p w14:paraId="19BCD4A3" w14:textId="177E7EBF"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 xml:space="preserve">between temperature treatments.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w:t>
      </w:r>
      <w:r w:rsidR="004F1822">
        <w:lastRenderedPageBreak/>
        <w:t>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57703F11" w14:textId="5802804D" w:rsidR="001A3B5B" w:rsidRDefault="10289D3C" w:rsidP="00F326B1">
      <w:pPr>
        <w:spacing w:line="240" w:lineRule="auto"/>
        <w:ind w:firstLine="720"/>
      </w:pPr>
      <w:r>
        <w:t xml:space="preserve">Overall, </w:t>
      </w:r>
      <w:r w:rsidR="00691512">
        <w:t xml:space="preserve">we successfully have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09EE170E"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uniquely shaped hemocytes</w:t>
      </w:r>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5082965" w:rsidR="00A9614C" w:rsidRDefault="00A9614C" w:rsidP="003C68EA">
      <w:pPr>
        <w:tabs>
          <w:tab w:val="left" w:pos="2095"/>
        </w:tabs>
        <w:spacing w:line="240" w:lineRule="auto"/>
      </w:pPr>
      <w:r w:rsidRPr="006D2146">
        <w:rPr>
          <w:b/>
          <w:bCs/>
        </w:rPr>
        <w:lastRenderedPageBreak/>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2"/>
      <w:commentRangeStart w:id="3"/>
      <w:r>
        <w:t>data augmentation.</w:t>
      </w:r>
      <w:commentRangeEnd w:id="2"/>
      <w:r>
        <w:rPr>
          <w:rStyle w:val="CommentReference"/>
        </w:rPr>
        <w:commentReference w:id="2"/>
      </w:r>
      <w:commentRangeEnd w:id="3"/>
      <w:r w:rsidR="00881439">
        <w:rPr>
          <w:rStyle w:val="CommentReference"/>
        </w:rPr>
        <w:commentReference w:id="3"/>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0E977B41" w:rsidR="00881439" w:rsidRDefault="00104E4A" w:rsidP="008E0CF9">
            <w:pPr>
              <w:tabs>
                <w:tab w:val="left" w:pos="2095"/>
              </w:tabs>
            </w:pPr>
            <w:proofErr w:type="gramStart"/>
            <w:r>
              <w:t>..</w:t>
            </w:r>
            <w:proofErr w:type="gramEnd"/>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471B68EF" w14:textId="77777777" w:rsidR="002360CC" w:rsidRDefault="002360CC" w:rsidP="002360C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019579B6" w14:textId="77777777" w:rsidR="002360CC" w:rsidRDefault="002360CC" w:rsidP="002360C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2" w:history="1">
        <w:r>
          <w:rPr>
            <w:rStyle w:val="Hyperlink"/>
          </w:rPr>
          <w:t>https://doi.org/10.1016/j.jip.2011.11.002</w:t>
        </w:r>
      </w:hyperlink>
    </w:p>
    <w:p w14:paraId="5E6AE946" w14:textId="77777777" w:rsidR="002360CC" w:rsidRDefault="002360CC" w:rsidP="002360C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3"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4FD0C772" w14:textId="77777777" w:rsidR="002360CC" w:rsidRDefault="002360CC" w:rsidP="002360CC">
      <w:pPr>
        <w:spacing w:line="240" w:lineRule="auto"/>
        <w:ind w:left="446"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4" w:history="1">
        <w:r>
          <w:rPr>
            <w:rStyle w:val="Hyperlink"/>
          </w:rPr>
          <w:t>https://doi.org/10.1016/S0022-1910(98)00013-4</w:t>
        </w:r>
      </w:hyperlink>
    </w:p>
    <w:p w14:paraId="17803263" w14:textId="77777777" w:rsidR="002360CC" w:rsidRDefault="002360CC" w:rsidP="002360C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5" w:history="1">
        <w:r>
          <w:rPr>
            <w:rStyle w:val="Hyperlink"/>
          </w:rPr>
          <w:t>https://doi.org/10.48550/arXiv.1504.08083</w:t>
        </w:r>
      </w:hyperlink>
    </w:p>
    <w:p w14:paraId="2C19CEDE" w14:textId="77777777" w:rsidR="002360CC" w:rsidRDefault="002360CC" w:rsidP="002360C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6" w:history="1">
        <w:r>
          <w:rPr>
            <w:rStyle w:val="Hyperlink"/>
          </w:rPr>
          <w:t>https://doi.org/10.1371/journal.pone.0165632</w:t>
        </w:r>
      </w:hyperlink>
    </w:p>
    <w:p w14:paraId="7521D863" w14:textId="77777777" w:rsidR="002360CC" w:rsidRDefault="002360CC" w:rsidP="002360C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7" w:history="1">
        <w:r>
          <w:rPr>
            <w:rStyle w:val="Hyperlink"/>
          </w:rPr>
          <w:t>https://doi.org/10.5281/zenodo.3908559</w:t>
        </w:r>
      </w:hyperlink>
    </w:p>
    <w:p w14:paraId="2E774195" w14:textId="77777777" w:rsidR="002360CC" w:rsidRDefault="002360CC" w:rsidP="002360CC">
      <w:pPr>
        <w:spacing w:line="240" w:lineRule="auto"/>
        <w:ind w:left="446" w:hanging="475"/>
      </w:pPr>
      <w:proofErr w:type="spellStart"/>
      <w:r>
        <w:lastRenderedPageBreak/>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8"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9"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0" w:history="1">
        <w:r>
          <w:rPr>
            <w:rStyle w:val="Hyperlink"/>
          </w:rPr>
          <w:t>https://doi.org/10.1016/j.eswa.2021.114602</w:t>
        </w:r>
      </w:hyperlink>
    </w:p>
    <w:p w14:paraId="1CCD6704" w14:textId="77777777" w:rsidR="002360CC" w:rsidRDefault="002360CC" w:rsidP="002360C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1"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2" w:history="1">
        <w:r>
          <w:rPr>
            <w:rStyle w:val="Hyperlink"/>
          </w:rPr>
          <w:t>https://doi.org/10.1155/2020/3189691</w:t>
        </w:r>
      </w:hyperlink>
    </w:p>
    <w:p w14:paraId="081BC368" w14:textId="77777777" w:rsidR="002360CC" w:rsidRDefault="002360CC" w:rsidP="002360C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3" w:history="1">
        <w:r>
          <w:rPr>
            <w:rStyle w:val="Hyperlink"/>
          </w:rPr>
          <w:t>https://doi.org/10.1016/j.trsl.2017.12.004</w:t>
        </w:r>
      </w:hyperlink>
    </w:p>
    <w:p w14:paraId="2C242102" w14:textId="77777777" w:rsidR="002360CC" w:rsidRDefault="002360CC" w:rsidP="002360C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4"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5"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6" w:history="1">
        <w:r>
          <w:rPr>
            <w:rStyle w:val="Hyperlink"/>
          </w:rPr>
          <w:t>https://doi.org/10.4236/jcc.2022.101006</w:t>
        </w:r>
      </w:hyperlink>
    </w:p>
    <w:p w14:paraId="3B768EEB" w14:textId="77777777" w:rsidR="002360CC" w:rsidRDefault="002360CC" w:rsidP="002360CC">
      <w:pPr>
        <w:spacing w:line="240" w:lineRule="auto"/>
        <w:ind w:left="446"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7"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8" w:history="1">
        <w:r>
          <w:rPr>
            <w:rStyle w:val="Hyperlink"/>
          </w:rPr>
          <w:t>https://doi.org/10.1186/s40537-019-0197-0</w:t>
        </w:r>
      </w:hyperlink>
    </w:p>
    <w:p w14:paraId="66BE9981" w14:textId="77777777" w:rsidR="002360CC" w:rsidRDefault="002360CC" w:rsidP="002360C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9" w:history="1">
        <w:r>
          <w:rPr>
            <w:rStyle w:val="Hyperlink"/>
          </w:rPr>
          <w:t>https://doi.org/10.1016/j.jip.2017.11.006</w:t>
        </w:r>
      </w:hyperlink>
    </w:p>
    <w:p w14:paraId="3913E113" w14:textId="77777777" w:rsidR="002360CC" w:rsidRDefault="002360CC" w:rsidP="002360CC">
      <w:pPr>
        <w:spacing w:line="240" w:lineRule="auto"/>
        <w:ind w:left="446" w:hanging="475"/>
      </w:pPr>
      <w:r>
        <w:lastRenderedPageBreak/>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0"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1"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2"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3"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4"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4-13T17:30:00Z" w:initials="NH">
    <w:p w14:paraId="2F6BA8C1" w14:textId="77777777" w:rsidR="001455B4" w:rsidRDefault="00461F5C" w:rsidP="00CE1D7C">
      <w:pPr>
        <w:pStyle w:val="CommentText"/>
      </w:pPr>
      <w:r>
        <w:rPr>
          <w:rStyle w:val="CommentReference"/>
        </w:rPr>
        <w:annotationRef/>
      </w:r>
      <w:r w:rsidR="001455B4">
        <w:t>I don't know if we need this in, but I'm leaving it for now since its significant</w:t>
      </w:r>
    </w:p>
  </w:comment>
  <w:comment w:id="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2"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3"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BA8C1" w15:done="0"/>
  <w15:commentEx w15:paraId="74D26A60"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A9E" w16cex:dateUtc="2023-04-13T22:30:00Z"/>
  <w16cex:commentExtensible w16cex:durableId="27E1CCAE" w16cex:dateUtc="2023-04-13T05:34: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BA8C1" w16cid:durableId="27E2BA9E"/>
  <w16cid:commentId w16cid:paraId="74D26A60" w16cid:durableId="27E1CCAE"/>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4DE49" w14:textId="77777777" w:rsidR="00004D69" w:rsidRDefault="00004D69" w:rsidP="00D604C1">
      <w:pPr>
        <w:spacing w:after="0" w:line="240" w:lineRule="auto"/>
      </w:pPr>
      <w:r>
        <w:separator/>
      </w:r>
    </w:p>
  </w:endnote>
  <w:endnote w:type="continuationSeparator" w:id="0">
    <w:p w14:paraId="0BD03B77" w14:textId="77777777" w:rsidR="00004D69" w:rsidRDefault="00004D69"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D4B6" w14:textId="77777777" w:rsidR="00004D69" w:rsidRDefault="00004D69" w:rsidP="00D604C1">
      <w:pPr>
        <w:spacing w:after="0" w:line="240" w:lineRule="auto"/>
      </w:pPr>
      <w:r>
        <w:separator/>
      </w:r>
    </w:p>
  </w:footnote>
  <w:footnote w:type="continuationSeparator" w:id="0">
    <w:p w14:paraId="3C8FB505" w14:textId="77777777" w:rsidR="00004D69" w:rsidRDefault="00004D69"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4D69"/>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66E63"/>
    <w:rsid w:val="000749F5"/>
    <w:rsid w:val="00076D2C"/>
    <w:rsid w:val="000828AF"/>
    <w:rsid w:val="00091B46"/>
    <w:rsid w:val="000945E6"/>
    <w:rsid w:val="000A172D"/>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455B4"/>
    <w:rsid w:val="00150573"/>
    <w:rsid w:val="00155103"/>
    <w:rsid w:val="0015656F"/>
    <w:rsid w:val="00157702"/>
    <w:rsid w:val="00157CDF"/>
    <w:rsid w:val="0016667F"/>
    <w:rsid w:val="001754A6"/>
    <w:rsid w:val="0017600E"/>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0CC"/>
    <w:rsid w:val="002369F0"/>
    <w:rsid w:val="002505F5"/>
    <w:rsid w:val="00251271"/>
    <w:rsid w:val="002538E2"/>
    <w:rsid w:val="00253964"/>
    <w:rsid w:val="00261B8B"/>
    <w:rsid w:val="002664AF"/>
    <w:rsid w:val="00266D46"/>
    <w:rsid w:val="00267231"/>
    <w:rsid w:val="00270D72"/>
    <w:rsid w:val="0027209E"/>
    <w:rsid w:val="0027413C"/>
    <w:rsid w:val="00282B4E"/>
    <w:rsid w:val="00287332"/>
    <w:rsid w:val="00297EEF"/>
    <w:rsid w:val="002A0F1D"/>
    <w:rsid w:val="002A5E8B"/>
    <w:rsid w:val="002B33A9"/>
    <w:rsid w:val="002B6145"/>
    <w:rsid w:val="002C1A08"/>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5F18"/>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1F5C"/>
    <w:rsid w:val="004649D5"/>
    <w:rsid w:val="00473B43"/>
    <w:rsid w:val="0047717B"/>
    <w:rsid w:val="004808ED"/>
    <w:rsid w:val="00480E1D"/>
    <w:rsid w:val="00482F07"/>
    <w:rsid w:val="00486682"/>
    <w:rsid w:val="00486859"/>
    <w:rsid w:val="00486D5D"/>
    <w:rsid w:val="004871EB"/>
    <w:rsid w:val="004A015A"/>
    <w:rsid w:val="004A26BD"/>
    <w:rsid w:val="004A2925"/>
    <w:rsid w:val="004A355C"/>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5A92"/>
    <w:rsid w:val="005478E1"/>
    <w:rsid w:val="00553F78"/>
    <w:rsid w:val="0057304C"/>
    <w:rsid w:val="00584873"/>
    <w:rsid w:val="0058634A"/>
    <w:rsid w:val="00587C91"/>
    <w:rsid w:val="005941F0"/>
    <w:rsid w:val="005961E5"/>
    <w:rsid w:val="005A2455"/>
    <w:rsid w:val="005A39A4"/>
    <w:rsid w:val="005C45F5"/>
    <w:rsid w:val="005C9BD0"/>
    <w:rsid w:val="005D0CD2"/>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E08"/>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3ED7"/>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37D4"/>
    <w:rsid w:val="00825742"/>
    <w:rsid w:val="00825F8F"/>
    <w:rsid w:val="008268F5"/>
    <w:rsid w:val="00827A60"/>
    <w:rsid w:val="00830E60"/>
    <w:rsid w:val="00845CDC"/>
    <w:rsid w:val="00854BA3"/>
    <w:rsid w:val="00856715"/>
    <w:rsid w:val="00860B5A"/>
    <w:rsid w:val="00862016"/>
    <w:rsid w:val="00881439"/>
    <w:rsid w:val="008863C1"/>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0397C"/>
    <w:rsid w:val="00912B80"/>
    <w:rsid w:val="00915446"/>
    <w:rsid w:val="00920DE1"/>
    <w:rsid w:val="009214D0"/>
    <w:rsid w:val="009270C3"/>
    <w:rsid w:val="00931AE5"/>
    <w:rsid w:val="009421AE"/>
    <w:rsid w:val="00951A15"/>
    <w:rsid w:val="00953980"/>
    <w:rsid w:val="00954C3B"/>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05BEB"/>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185F"/>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023"/>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787E"/>
    <w:rsid w:val="00C57CFE"/>
    <w:rsid w:val="00C6476C"/>
    <w:rsid w:val="00C7242D"/>
    <w:rsid w:val="00C92C03"/>
    <w:rsid w:val="00CA14F7"/>
    <w:rsid w:val="00CA1EA1"/>
    <w:rsid w:val="00CA367F"/>
    <w:rsid w:val="00CB48ED"/>
    <w:rsid w:val="00CB57E1"/>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57BEC"/>
    <w:rsid w:val="00E62939"/>
    <w:rsid w:val="00E739D7"/>
    <w:rsid w:val="00E8321D"/>
    <w:rsid w:val="00E901F1"/>
    <w:rsid w:val="00E94916"/>
    <w:rsid w:val="00E95A9D"/>
    <w:rsid w:val="00E95ECC"/>
    <w:rsid w:val="00EA4DB7"/>
    <w:rsid w:val="00EB0822"/>
    <w:rsid w:val="00EB0D79"/>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5BC"/>
    <w:rsid w:val="00FC7890"/>
    <w:rsid w:val="00FD0ABF"/>
    <w:rsid w:val="00FD376D"/>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371/journal.pone.0165632" TargetMode="External"/><Relationship Id="rId39" Type="http://schemas.openxmlformats.org/officeDocument/2006/relationships/hyperlink" Target="https://doi.org/10.1016/j.jip.2017.11.006"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ICICoS51170.2020.9299024" TargetMode="External"/><Relationship Id="rId42" Type="http://schemas.openxmlformats.org/officeDocument/2006/relationships/hyperlink" Target="https://doi.org/10.1111/nph.18056"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S0965-1748(02)0009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S0022-1910(98)00013-4" TargetMode="External"/><Relationship Id="rId32" Type="http://schemas.openxmlformats.org/officeDocument/2006/relationships/hyperlink" Target="https://doi.org/10.1155/2020/3189691" TargetMode="External"/><Relationship Id="rId37" Type="http://schemas.openxmlformats.org/officeDocument/2006/relationships/hyperlink" Target="https://doi.org/10.48550/arXiv.1506.01497" TargetMode="External"/><Relationship Id="rId40" Type="http://schemas.openxmlformats.org/officeDocument/2006/relationships/hyperlink" Target="https://doi.org/10.1146/annurev-ento-120220-10254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nsphys.2011.10.001" TargetMode="External"/><Relationship Id="rId28" Type="http://schemas.openxmlformats.org/officeDocument/2006/relationships/hyperlink" Target="https://github.com/ultralytics/ultralytics" TargetMode="External"/><Relationship Id="rId36" Type="http://schemas.openxmlformats.org/officeDocument/2006/relationships/hyperlink" Target="https://doi.org/10.4236/jcc.2022.101006" TargetMode="Externa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016/j.jtherbio.2018.11.006" TargetMode="External"/><Relationship Id="rId44" Type="http://schemas.openxmlformats.org/officeDocument/2006/relationships/hyperlink" Target="http://arxiv.org/abs/1905.0505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p.2011.11.002" TargetMode="External"/><Relationship Id="rId27" Type="http://schemas.openxmlformats.org/officeDocument/2006/relationships/hyperlink" Target="https://doi.org/10.5281/zenodo.3908559" TargetMode="External"/><Relationship Id="rId30" Type="http://schemas.openxmlformats.org/officeDocument/2006/relationships/hyperlink" Target="https://doi.org/10.1016/j.eswa.2021.114602" TargetMode="External"/><Relationship Id="rId35" Type="http://schemas.openxmlformats.org/officeDocument/2006/relationships/hyperlink" Target="https://doi.org/10.1109/CVPR.2016.91" TargetMode="External"/><Relationship Id="rId43" Type="http://schemas.openxmlformats.org/officeDocument/2006/relationships/hyperlink" Target="https://doi.org/10.3390/insects11090639" TargetMode="External"/><Relationship Id="rId48" Type="http://schemas.openxmlformats.org/officeDocument/2006/relationships/theme" Target="theme/theme1.xm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48550/arXiv.1504.08083" TargetMode="External"/><Relationship Id="rId33" Type="http://schemas.openxmlformats.org/officeDocument/2006/relationships/hyperlink" Target="https://doi.org/10.1016/j.trsl.2017.12.004" TargetMode="External"/><Relationship Id="rId38" Type="http://schemas.openxmlformats.org/officeDocument/2006/relationships/hyperlink" Target="https://doi.org/10.1186/s40537-019-0197-0" TargetMode="External"/><Relationship Id="rId46" Type="http://schemas.openxmlformats.org/officeDocument/2006/relationships/fontTable" Target="fontTable.xml"/><Relationship Id="rId20" Type="http://schemas.openxmlformats.org/officeDocument/2006/relationships/hyperlink" Target="https://doi.org/10.1093/aesa/83.4.725" TargetMode="External"/><Relationship Id="rId41" Type="http://schemas.openxmlformats.org/officeDocument/2006/relationships/hyperlink" Target="https://doi.org/10.1007/s41348-020-00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7711</Words>
  <Characters>43959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274</cp:revision>
  <dcterms:created xsi:type="dcterms:W3CDTF">2022-10-10T15:25:00Z</dcterms:created>
  <dcterms:modified xsi:type="dcterms:W3CDTF">2023-04-19T21:14:00Z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