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7348"/>
      </w:tblGrid>
      <w:tr w:rsidR="00704229" w:rsidRPr="00135DCB" w14:paraId="54F8C1D9" w14:textId="77777777" w:rsidTr="00B950D8">
        <w:tc>
          <w:tcPr>
            <w:tcW w:w="9619" w:type="dxa"/>
            <w:gridSpan w:val="2"/>
            <w:tcBorders>
              <w:left w:val="single" w:sz="12" w:space="0" w:color="4EA72E" w:themeColor="accent6"/>
              <w:bottom w:val="nil"/>
              <w:right w:val="single" w:sz="12" w:space="0" w:color="4EA72E" w:themeColor="accent6"/>
            </w:tcBorders>
          </w:tcPr>
          <w:p w14:paraId="38F54ADD" w14:textId="77777777" w:rsidR="00704229" w:rsidRPr="00D476A5" w:rsidRDefault="00704229" w:rsidP="00B950D8">
            <w:pPr>
              <w:rPr>
                <w:rFonts w:cstheme="minorHAnsi"/>
                <w:b/>
                <w:sz w:val="22"/>
                <w:szCs w:val="22"/>
              </w:rPr>
            </w:pPr>
            <w:r w:rsidRPr="00D476A5">
              <w:rPr>
                <w:b/>
                <w:sz w:val="22"/>
                <w:szCs w:val="22"/>
              </w:rPr>
              <w:t xml:space="preserve">The Role played by each of </w:t>
            </w:r>
            <w:r w:rsidRPr="00D476A5">
              <w:rPr>
                <w:b/>
                <w:color w:val="77206D" w:themeColor="accent5" w:themeShade="BF"/>
                <w:sz w:val="22"/>
                <w:szCs w:val="22"/>
              </w:rPr>
              <w:t>Three Overarching Themes</w:t>
            </w:r>
            <w:r w:rsidRPr="00D476A5">
              <w:rPr>
                <w:rFonts w:cstheme="minorHAnsi"/>
                <w:b/>
                <w:sz w:val="22"/>
                <w:szCs w:val="22"/>
              </w:rPr>
              <w:t xml:space="preserve"> in</w:t>
            </w:r>
          </w:p>
          <w:p w14:paraId="3545E1EB" w14:textId="61D56571" w:rsidR="00704229" w:rsidRPr="00D476A5" w:rsidRDefault="00704229" w:rsidP="00B950D8">
            <w:pPr>
              <w:rPr>
                <w:rFonts w:cstheme="minorHAnsi"/>
                <w:sz w:val="22"/>
                <w:szCs w:val="22"/>
              </w:rPr>
            </w:pPr>
            <w:r w:rsidRPr="00D476A5">
              <w:rPr>
                <w:b/>
                <w:color w:val="960000"/>
                <w:sz w:val="22"/>
                <w:szCs w:val="22"/>
              </w:rPr>
              <w:t xml:space="preserve">K:  </w:t>
            </w:r>
            <w:r w:rsidRPr="00D476A5">
              <w:rPr>
                <w:rFonts w:cstheme="minorHAnsi"/>
                <w:color w:val="960033"/>
                <w:sz w:val="22"/>
                <w:szCs w:val="22"/>
              </w:rPr>
              <w:t>1</w:t>
            </w:r>
            <w:r>
              <w:rPr>
                <w:rFonts w:cstheme="minorHAnsi"/>
                <w:color w:val="960033"/>
                <w:sz w:val="22"/>
                <w:szCs w:val="22"/>
              </w:rPr>
              <w:t>40</w:t>
            </w:r>
            <w:r w:rsidRPr="00D476A5">
              <w:rPr>
                <w:rFonts w:cstheme="minorHAnsi"/>
                <w:color w:val="960033"/>
                <w:sz w:val="22"/>
                <w:szCs w:val="22"/>
              </w:rPr>
              <w:t>+ Orchestral Arrangements for 1</w:t>
            </w:r>
            <w:r>
              <w:rPr>
                <w:rFonts w:cstheme="minorHAnsi"/>
                <w:color w:val="960033"/>
                <w:sz w:val="22"/>
                <w:szCs w:val="22"/>
              </w:rPr>
              <w:t>0</w:t>
            </w:r>
            <w:r w:rsidRPr="00D476A5">
              <w:rPr>
                <w:rFonts w:cstheme="minorHAnsi"/>
                <w:color w:val="960033"/>
                <w:sz w:val="22"/>
                <w:szCs w:val="22"/>
              </w:rPr>
              <w:t>-22 Players</w:t>
            </w:r>
          </w:p>
        </w:tc>
      </w:tr>
      <w:tr w:rsidR="00704229" w:rsidRPr="00135DCB" w14:paraId="468192E6" w14:textId="77777777" w:rsidTr="00B950D8">
        <w:tc>
          <w:tcPr>
            <w:tcW w:w="2245" w:type="dxa"/>
            <w:tcBorders>
              <w:left w:val="single" w:sz="12" w:space="0" w:color="4EA72E" w:themeColor="accent6"/>
              <w:right w:val="nil"/>
            </w:tcBorders>
          </w:tcPr>
          <w:p w14:paraId="663174A0" w14:textId="77777777" w:rsidR="00704229" w:rsidRPr="00E15A0A" w:rsidRDefault="00704229" w:rsidP="00B950D8">
            <w:pPr>
              <w:pStyle w:val="NoSpacing"/>
              <w:spacing w:before="0"/>
              <w:rPr>
                <w:b/>
                <w:color w:val="77206D" w:themeColor="accent5" w:themeShade="BF"/>
              </w:rPr>
            </w:pPr>
            <w:r w:rsidRPr="00E15A0A">
              <w:rPr>
                <w:b/>
                <w:color w:val="77206D" w:themeColor="accent5" w:themeShade="BF"/>
              </w:rPr>
              <w:t xml:space="preserve">Lifelong </w:t>
            </w:r>
          </w:p>
          <w:p w14:paraId="12541351" w14:textId="77777777" w:rsidR="00704229" w:rsidRPr="00135DCB" w:rsidRDefault="00704229" w:rsidP="00B950D8">
            <w:pPr>
              <w:pStyle w:val="NoSpacing"/>
              <w:spacing w:before="0"/>
            </w:pPr>
            <w:r w:rsidRPr="00E15A0A">
              <w:rPr>
                <w:b/>
                <w:color w:val="77206D" w:themeColor="accent5" w:themeShade="BF"/>
              </w:rPr>
              <w:t>Learning</w:t>
            </w:r>
          </w:p>
        </w:tc>
        <w:tc>
          <w:tcPr>
            <w:tcW w:w="7374" w:type="dxa"/>
            <w:tcBorders>
              <w:left w:val="nil"/>
              <w:right w:val="single" w:sz="12" w:space="0" w:color="4EA72E" w:themeColor="accent6"/>
            </w:tcBorders>
          </w:tcPr>
          <w:p w14:paraId="3E75C133" w14:textId="77777777" w:rsidR="00704229" w:rsidRPr="000E7B8A" w:rsidRDefault="00704229" w:rsidP="00B950D8">
            <w:pPr>
              <w:autoSpaceDE w:val="0"/>
              <w:autoSpaceDN w:val="0"/>
              <w:adjustRightInd w:val="0"/>
              <w:spacing w:before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My background as a concert pianist carried over to crafting compelling arrangements.  Whatever I didn’t know, I taught myself.  I also experimented with different ways of giving OCO a coherent group sound, e.g., at one point I took a chance using overtones to help bolster the group.  It worked so I capitalized on overtones in many succeeding arrangements.   </w:t>
            </w:r>
          </w:p>
        </w:tc>
      </w:tr>
      <w:tr w:rsidR="00704229" w:rsidRPr="00135DCB" w14:paraId="5367E7D1" w14:textId="77777777" w:rsidTr="00B950D8">
        <w:tc>
          <w:tcPr>
            <w:tcW w:w="2245" w:type="dxa"/>
            <w:tcBorders>
              <w:left w:val="single" w:sz="12" w:space="0" w:color="4EA72E" w:themeColor="accent6"/>
              <w:bottom w:val="single" w:sz="4" w:space="0" w:color="auto"/>
              <w:right w:val="nil"/>
            </w:tcBorders>
          </w:tcPr>
          <w:p w14:paraId="73ED656E" w14:textId="77777777" w:rsidR="00704229" w:rsidRPr="00E15A0A" w:rsidRDefault="00704229" w:rsidP="00B950D8">
            <w:pPr>
              <w:pStyle w:val="NoSpacing"/>
              <w:spacing w:before="0"/>
              <w:rPr>
                <w:b/>
                <w:color w:val="77206D" w:themeColor="accent5" w:themeShade="BF"/>
              </w:rPr>
            </w:pPr>
            <w:r w:rsidRPr="00E15A0A">
              <w:rPr>
                <w:b/>
                <w:color w:val="77206D" w:themeColor="accent5" w:themeShade="BF"/>
              </w:rPr>
              <w:t xml:space="preserve">Intrinsic </w:t>
            </w:r>
          </w:p>
          <w:p w14:paraId="75593208" w14:textId="77777777" w:rsidR="00704229" w:rsidRPr="00135DCB" w:rsidRDefault="00704229" w:rsidP="00B950D8">
            <w:pPr>
              <w:pStyle w:val="NoSpacing"/>
              <w:spacing w:before="0" w:after="240"/>
            </w:pPr>
            <w:r w:rsidRPr="00E15A0A">
              <w:rPr>
                <w:b/>
                <w:color w:val="77206D" w:themeColor="accent5" w:themeShade="BF"/>
              </w:rPr>
              <w:t>Motivation</w:t>
            </w:r>
          </w:p>
        </w:tc>
        <w:tc>
          <w:tcPr>
            <w:tcW w:w="7374" w:type="dxa"/>
            <w:tcBorders>
              <w:left w:val="nil"/>
              <w:bottom w:val="single" w:sz="4" w:space="0" w:color="auto"/>
              <w:right w:val="single" w:sz="12" w:space="0" w:color="4EA72E" w:themeColor="accent6"/>
            </w:tcBorders>
          </w:tcPr>
          <w:p w14:paraId="79E14D85" w14:textId="77777777" w:rsidR="00704229" w:rsidRPr="00135DCB" w:rsidRDefault="00704229" w:rsidP="00B950D8">
            <w:pPr>
              <w:spacing w:before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 found making arrangements to be a creative art.  </w:t>
            </w:r>
          </w:p>
        </w:tc>
      </w:tr>
      <w:tr w:rsidR="00704229" w:rsidRPr="00135DCB" w14:paraId="2E2B53E7" w14:textId="77777777" w:rsidTr="00B950D8">
        <w:tc>
          <w:tcPr>
            <w:tcW w:w="2245" w:type="dxa"/>
            <w:tcBorders>
              <w:left w:val="single" w:sz="12" w:space="0" w:color="4EA72E" w:themeColor="accent6"/>
              <w:bottom w:val="nil"/>
              <w:right w:val="nil"/>
            </w:tcBorders>
          </w:tcPr>
          <w:p w14:paraId="54352A8C" w14:textId="77777777" w:rsidR="00704229" w:rsidRDefault="00704229" w:rsidP="00B950D8">
            <w:pPr>
              <w:spacing w:before="0" w:line="240" w:lineRule="auto"/>
            </w:pPr>
            <w:r w:rsidRPr="00E2159A">
              <w:rPr>
                <w:b/>
                <w:color w:val="77206D" w:themeColor="accent5" w:themeShade="BF"/>
              </w:rPr>
              <w:t xml:space="preserve">The Creative Process  </w:t>
            </w:r>
          </w:p>
        </w:tc>
        <w:tc>
          <w:tcPr>
            <w:tcW w:w="7374" w:type="dxa"/>
            <w:tcBorders>
              <w:left w:val="nil"/>
              <w:bottom w:val="nil"/>
              <w:right w:val="single" w:sz="12" w:space="0" w:color="4EA72E" w:themeColor="accent6"/>
            </w:tcBorders>
          </w:tcPr>
          <w:p w14:paraId="16AE0CBC" w14:textId="77777777" w:rsidR="00704229" w:rsidRDefault="00704229" w:rsidP="00B950D8">
            <w:pPr>
              <w:spacing w:before="0" w:line="240" w:lineRule="auto"/>
            </w:pPr>
            <w:r w:rsidRPr="00E2159A">
              <w:t>Exposure to different modes of doing, thinking, connecting, and expressing through engagement with:</w:t>
            </w:r>
          </w:p>
        </w:tc>
      </w:tr>
      <w:tr w:rsidR="00704229" w:rsidRPr="00135DCB" w14:paraId="35E6F7C2" w14:textId="77777777" w:rsidTr="00B950D8">
        <w:tc>
          <w:tcPr>
            <w:tcW w:w="2245" w:type="dxa"/>
            <w:tcBorders>
              <w:top w:val="nil"/>
              <w:left w:val="single" w:sz="12" w:space="0" w:color="4EA72E" w:themeColor="accent6"/>
              <w:bottom w:val="nil"/>
              <w:right w:val="nil"/>
            </w:tcBorders>
          </w:tcPr>
          <w:p w14:paraId="4F3E82F5" w14:textId="77777777" w:rsidR="00704229" w:rsidRPr="00135DCB" w:rsidRDefault="00704229" w:rsidP="00B950D8">
            <w:pPr>
              <w:pStyle w:val="NoSpacing"/>
              <w:spacing w:before="0"/>
              <w:jc w:val="right"/>
            </w:pPr>
            <w:r>
              <w:rPr>
                <w:color w:val="77206D" w:themeColor="accent5" w:themeShade="BF"/>
              </w:rPr>
              <w:t>S</w:t>
            </w:r>
            <w:r w:rsidRPr="00834E64">
              <w:rPr>
                <w:color w:val="77206D" w:themeColor="accent5" w:themeShade="BF"/>
              </w:rPr>
              <w:t>timulation</w:t>
            </w:r>
            <w:r w:rsidRPr="0023332A">
              <w:t>/</w:t>
            </w:r>
            <w:r w:rsidRPr="00834E64">
              <w:rPr>
                <w:color w:val="77206D" w:themeColor="accent5" w:themeShade="BF"/>
              </w:rPr>
              <w:t>impetus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4EA72E" w:themeColor="accent6"/>
            </w:tcBorders>
          </w:tcPr>
          <w:p w14:paraId="2C32DA21" w14:textId="77777777" w:rsidR="00704229" w:rsidRPr="00E33CFE" w:rsidRDefault="00704229" w:rsidP="00B950D8">
            <w:pPr>
              <w:spacing w:before="0" w:line="240" w:lineRule="auto"/>
            </w:pPr>
            <w:r>
              <w:rPr>
                <w:rFonts w:cstheme="minorHAnsi"/>
              </w:rPr>
              <w:t>Each work offering another opportunity to make music, now by re-designing the music for a different instrumentation, motivating other changes as well, e.g., writing an extra part for piano (an instrument not typically included in symphonic scores)</w:t>
            </w:r>
          </w:p>
        </w:tc>
      </w:tr>
      <w:tr w:rsidR="00704229" w:rsidRPr="00135DCB" w14:paraId="74947050" w14:textId="77777777" w:rsidTr="00B950D8">
        <w:tc>
          <w:tcPr>
            <w:tcW w:w="2245" w:type="dxa"/>
            <w:tcBorders>
              <w:top w:val="nil"/>
              <w:left w:val="single" w:sz="12" w:space="0" w:color="4EA72E" w:themeColor="accent6"/>
              <w:bottom w:val="nil"/>
              <w:right w:val="nil"/>
            </w:tcBorders>
          </w:tcPr>
          <w:p w14:paraId="78BBAA29" w14:textId="77777777" w:rsidR="00704229" w:rsidRPr="0029573F" w:rsidRDefault="00704229" w:rsidP="00B950D8">
            <w:pPr>
              <w:pStyle w:val="NoSpacing"/>
              <w:spacing w:before="0"/>
              <w:jc w:val="right"/>
              <w:rPr>
                <w:color w:val="77206D" w:themeColor="accent5" w:themeShade="BF"/>
              </w:rPr>
            </w:pPr>
            <w:r>
              <w:rPr>
                <w:color w:val="77206D" w:themeColor="accent5" w:themeShade="BF"/>
              </w:rPr>
              <w:t>Preparation</w:t>
            </w:r>
            <w:r w:rsidRPr="00DC2F69">
              <w:t>/</w:t>
            </w:r>
            <w:r w:rsidRPr="0029573F">
              <w:rPr>
                <w:color w:val="77206D" w:themeColor="accent5" w:themeShade="BF"/>
              </w:rPr>
              <w:t>Scaffolding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4EA72E" w:themeColor="accent6"/>
            </w:tcBorders>
          </w:tcPr>
          <w:p w14:paraId="527BDB2F" w14:textId="77777777" w:rsidR="00704229" w:rsidRPr="00135DCB" w:rsidRDefault="00704229" w:rsidP="00B950D8">
            <w:pPr>
              <w:spacing w:before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Teaching Wired Ensemble where students learn about the instruments of the orchestra, including voice, helped prepare me further.  I studied Samuel Adler’s orchestration text, third edition, which I found very helpful.</w:t>
            </w:r>
          </w:p>
        </w:tc>
      </w:tr>
      <w:tr w:rsidR="00704229" w:rsidRPr="00135DCB" w14:paraId="7B370540" w14:textId="77777777" w:rsidTr="00B950D8">
        <w:tc>
          <w:tcPr>
            <w:tcW w:w="2245" w:type="dxa"/>
            <w:tcBorders>
              <w:top w:val="nil"/>
              <w:left w:val="single" w:sz="12" w:space="0" w:color="4EA72E" w:themeColor="accent6"/>
              <w:bottom w:val="nil"/>
              <w:right w:val="nil"/>
            </w:tcBorders>
          </w:tcPr>
          <w:p w14:paraId="7DA5AFE2" w14:textId="77777777" w:rsidR="00704229" w:rsidRPr="0029573F" w:rsidRDefault="00704229" w:rsidP="00B950D8">
            <w:pPr>
              <w:pStyle w:val="NoSpacing"/>
              <w:spacing w:before="0"/>
              <w:jc w:val="right"/>
              <w:rPr>
                <w:color w:val="77206D" w:themeColor="accent5" w:themeShade="BF"/>
              </w:rPr>
            </w:pPr>
            <w:r w:rsidRPr="0029573F">
              <w:rPr>
                <w:color w:val="77206D" w:themeColor="accent5" w:themeShade="BF"/>
              </w:rPr>
              <w:t>Application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4EA72E" w:themeColor="accent6"/>
            </w:tcBorders>
          </w:tcPr>
          <w:p w14:paraId="585976FF" w14:textId="19747E7E" w:rsidR="00704229" w:rsidRPr="00135DCB" w:rsidRDefault="00704229" w:rsidP="00B950D8">
            <w:pPr>
              <w:spacing w:before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Creating 1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0+ arrangements of predominantly large orchestral works, for small orchestral ensemble with nonstandard instrumentation</w:t>
            </w:r>
          </w:p>
        </w:tc>
      </w:tr>
      <w:tr w:rsidR="00704229" w:rsidRPr="00135DCB" w14:paraId="59C2315D" w14:textId="77777777" w:rsidTr="00B950D8">
        <w:tc>
          <w:tcPr>
            <w:tcW w:w="2245" w:type="dxa"/>
            <w:tcBorders>
              <w:top w:val="nil"/>
              <w:left w:val="single" w:sz="12" w:space="0" w:color="4EA72E" w:themeColor="accent6"/>
              <w:bottom w:val="nil"/>
              <w:right w:val="nil"/>
            </w:tcBorders>
          </w:tcPr>
          <w:p w14:paraId="08D168AE" w14:textId="77777777" w:rsidR="00704229" w:rsidRPr="0029573F" w:rsidRDefault="00704229" w:rsidP="00B950D8">
            <w:pPr>
              <w:pStyle w:val="NoSpacing"/>
              <w:spacing w:before="0"/>
              <w:jc w:val="right"/>
              <w:rPr>
                <w:color w:val="77206D" w:themeColor="accent5" w:themeShade="BF"/>
              </w:rPr>
            </w:pPr>
            <w:r w:rsidRPr="0029573F">
              <w:rPr>
                <w:color w:val="77206D" w:themeColor="accent5" w:themeShade="BF"/>
              </w:rPr>
              <w:t>Feedback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4EA72E" w:themeColor="accent6"/>
            </w:tcBorders>
          </w:tcPr>
          <w:p w14:paraId="64A99B93" w14:textId="20FF864B" w:rsidR="00704229" w:rsidRPr="00135DCB" w:rsidRDefault="00704229" w:rsidP="00B950D8">
            <w:pPr>
              <w:spacing w:before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What I heard in rehearsals, </w:t>
            </w:r>
            <w:r>
              <w:rPr>
                <w:rFonts w:cstheme="minorHAnsi"/>
              </w:rPr>
              <w:t xml:space="preserve">from </w:t>
            </w:r>
            <w:r>
              <w:rPr>
                <w:rFonts w:cstheme="minorHAnsi"/>
              </w:rPr>
              <w:t>students, musical colleagues, and my inner ear</w:t>
            </w:r>
          </w:p>
        </w:tc>
      </w:tr>
      <w:tr w:rsidR="00704229" w:rsidRPr="00135DCB" w14:paraId="293B4FDB" w14:textId="77777777" w:rsidTr="00B950D8">
        <w:tc>
          <w:tcPr>
            <w:tcW w:w="2245" w:type="dxa"/>
            <w:tcBorders>
              <w:top w:val="nil"/>
              <w:left w:val="single" w:sz="12" w:space="0" w:color="4EA72E" w:themeColor="accent6"/>
              <w:bottom w:val="nil"/>
              <w:right w:val="nil"/>
            </w:tcBorders>
          </w:tcPr>
          <w:p w14:paraId="09ECAA42" w14:textId="77777777" w:rsidR="00704229" w:rsidRPr="0029573F" w:rsidRDefault="00704229" w:rsidP="00B950D8">
            <w:pPr>
              <w:pStyle w:val="NoSpacing"/>
              <w:spacing w:before="0"/>
              <w:jc w:val="right"/>
              <w:rPr>
                <w:color w:val="77206D" w:themeColor="accent5" w:themeShade="BF"/>
              </w:rPr>
            </w:pPr>
            <w:r w:rsidRPr="0029573F">
              <w:rPr>
                <w:color w:val="77206D" w:themeColor="accent5" w:themeShade="BF"/>
              </w:rPr>
              <w:t>Revision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4EA72E" w:themeColor="accent6"/>
            </w:tcBorders>
          </w:tcPr>
          <w:p w14:paraId="574C67EA" w14:textId="77777777" w:rsidR="00704229" w:rsidRPr="000E7B8A" w:rsidRDefault="00704229" w:rsidP="00B950D8">
            <w:pPr>
              <w:spacing w:before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 needed, usually when I hear a section of the orchestra having trouble projecting the thrust, line, or emotional content of a part.</w:t>
            </w:r>
          </w:p>
        </w:tc>
      </w:tr>
      <w:tr w:rsidR="00704229" w:rsidRPr="00135DCB" w14:paraId="6569609D" w14:textId="77777777" w:rsidTr="00B950D8">
        <w:tc>
          <w:tcPr>
            <w:tcW w:w="2245" w:type="dxa"/>
            <w:tcBorders>
              <w:top w:val="nil"/>
              <w:left w:val="single" w:sz="12" w:space="0" w:color="4EA72E" w:themeColor="accent6"/>
              <w:bottom w:val="single" w:sz="12" w:space="0" w:color="4EA72E" w:themeColor="accent6"/>
              <w:right w:val="nil"/>
            </w:tcBorders>
          </w:tcPr>
          <w:p w14:paraId="637341D9" w14:textId="77777777" w:rsidR="00704229" w:rsidRPr="0029573F" w:rsidRDefault="00704229" w:rsidP="00B950D8">
            <w:pPr>
              <w:pStyle w:val="NoSpacing"/>
              <w:spacing w:before="0"/>
              <w:jc w:val="right"/>
              <w:rPr>
                <w:color w:val="77206D" w:themeColor="accent5" w:themeShade="BF"/>
              </w:rPr>
            </w:pPr>
            <w:r>
              <w:rPr>
                <w:color w:val="77206D" w:themeColor="accent5" w:themeShade="BF"/>
              </w:rPr>
              <w:t>Effective Communi</w:t>
            </w:r>
            <w:r w:rsidRPr="0029573F">
              <w:rPr>
                <w:color w:val="77206D" w:themeColor="accent5" w:themeShade="BF"/>
              </w:rPr>
              <w:t>cation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57B21200" w14:textId="74B90990" w:rsidR="00704229" w:rsidRPr="00135DCB" w:rsidRDefault="00704229" w:rsidP="00B950D8">
            <w:pPr>
              <w:spacing w:before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Conveying the musical intent of the original score to the players.  For example, when the original score calls for a big climax, I’ll create the illusion of large forces by altering the original dynamics and/or changing </w:t>
            </w:r>
            <w:r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texture</w:t>
            </w:r>
            <w:r>
              <w:rPr>
                <w:rFonts w:cstheme="minorHAnsi"/>
              </w:rPr>
              <w:t xml:space="preserve"> leading up to the climactic moment</w:t>
            </w:r>
            <w:r>
              <w:rPr>
                <w:rFonts w:cstheme="minorHAnsi"/>
              </w:rPr>
              <w:t>.  I also move solos around the orchestra, often dividing a given solo between two instrumentlaists as a call and answer, to create more interest and catalyze greater focus among the players.</w:t>
            </w:r>
          </w:p>
        </w:tc>
      </w:tr>
    </w:tbl>
    <w:p w14:paraId="36677C78" w14:textId="77777777" w:rsidR="00245D7F" w:rsidRDefault="00245D7F"/>
    <w:sectPr w:rsidR="0024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A"/>
    <w:rsid w:val="001E291A"/>
    <w:rsid w:val="00245D7F"/>
    <w:rsid w:val="003975B3"/>
    <w:rsid w:val="004E555B"/>
    <w:rsid w:val="006604F8"/>
    <w:rsid w:val="00704229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6657"/>
  <w15:chartTrackingRefBased/>
  <w15:docId w15:val="{F24239C8-4F85-4FC7-B91B-A920D0BC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229"/>
    <w:pPr>
      <w:spacing w:before="100" w:after="200" w:line="276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91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1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1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1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1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1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1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1A"/>
    <w:pPr>
      <w:keepNext/>
      <w:keepLines/>
      <w:spacing w:before="0"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1A"/>
    <w:pPr>
      <w:keepNext/>
      <w:keepLines/>
      <w:spacing w:before="0"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91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2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1A"/>
    <w:pPr>
      <w:numPr>
        <w:ilvl w:val="1"/>
      </w:numPr>
      <w:spacing w:before="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29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91A"/>
    <w:pPr>
      <w:spacing w:before="160" w:after="160" w:line="259" w:lineRule="auto"/>
      <w:jc w:val="center"/>
    </w:pPr>
    <w:rPr>
      <w:rFonts w:ascii="Calibri" w:eastAsiaTheme="minorHAnsi" w:hAnsi="Calibri" w:cs="Calibr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2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91A"/>
    <w:pPr>
      <w:spacing w:before="0" w:after="160" w:line="259" w:lineRule="auto"/>
      <w:ind w:left="720"/>
      <w:contextualSpacing/>
    </w:pPr>
    <w:rPr>
      <w:rFonts w:ascii="Calibri" w:eastAsiaTheme="minorHAnsi" w:hAnsi="Calibri" w:cs="Calibr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2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Calibri" w:eastAsiaTheme="minorHAnsi" w:hAnsi="Calibri" w:cs="Calibr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9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04229"/>
    <w:pPr>
      <w:spacing w:before="100"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2024-10-28T17:37:00Z</dcterms:created>
  <dcterms:modified xsi:type="dcterms:W3CDTF">2024-10-28T17:42:00Z</dcterms:modified>
</cp:coreProperties>
</file>