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7761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任务分工说明</w:t>
      </w:r>
    </w:p>
    <w:p w14:paraId="28A502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1.文档目的</w:t>
      </w:r>
    </w:p>
    <w:p w14:paraId="4A969A5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本文件用于记录团队成员信息、任务分解、责任人、工作量占比与产出物映射，作为课程交付包中的必备材料。</w:t>
      </w:r>
    </w:p>
    <w:p w14:paraId="77EDC8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2.成员及任务分工</w:t>
      </w:r>
    </w:p>
    <w:tbl>
      <w:tblPr>
        <w:tblStyle w:val="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932"/>
        <w:gridCol w:w="932"/>
        <w:gridCol w:w="932"/>
        <w:gridCol w:w="1382"/>
        <w:gridCol w:w="4344"/>
      </w:tblGrid>
      <w:tr w14:paraId="1795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932" w:type="dxa"/>
            <w:vAlign w:val="center"/>
          </w:tcPr>
          <w:p w14:paraId="1F16761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932" w:type="dxa"/>
            <w:vAlign w:val="center"/>
          </w:tcPr>
          <w:p w14:paraId="175EB6C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932" w:type="dxa"/>
            <w:vAlign w:val="center"/>
          </w:tcPr>
          <w:p w14:paraId="281E772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班级</w:t>
            </w:r>
          </w:p>
        </w:tc>
        <w:tc>
          <w:tcPr>
            <w:tcW w:w="1382" w:type="dxa"/>
            <w:vAlign w:val="center"/>
          </w:tcPr>
          <w:p w14:paraId="475886A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4344" w:type="dxa"/>
            <w:vAlign w:val="center"/>
          </w:tcPr>
          <w:p w14:paraId="2318C77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负责模块</w:t>
            </w:r>
          </w:p>
        </w:tc>
      </w:tr>
      <w:tr w14:paraId="385DF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473D13C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董容嘉</w:t>
            </w:r>
          </w:p>
        </w:tc>
        <w:tc>
          <w:tcPr>
            <w:tcW w:w="932" w:type="dxa"/>
            <w:vAlign w:val="center"/>
          </w:tcPr>
          <w:p w14:paraId="16BD3A6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712F5A3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04FC22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数据获取负责人</w:t>
            </w:r>
          </w:p>
        </w:tc>
        <w:tc>
          <w:tcPr>
            <w:tcW w:w="4344" w:type="dxa"/>
            <w:vAlign w:val="center"/>
          </w:tcPr>
          <w:p w14:paraId="7C845A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主机行为采集：Falco（采集+规则+ECS转换）</w:t>
            </w:r>
          </w:p>
        </w:tc>
      </w:tr>
      <w:tr w14:paraId="30C0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472EB3C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马民泽</w:t>
            </w:r>
          </w:p>
        </w:tc>
        <w:tc>
          <w:tcPr>
            <w:tcW w:w="932" w:type="dxa"/>
            <w:vAlign w:val="center"/>
          </w:tcPr>
          <w:p w14:paraId="7D129D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189F21E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42552E7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数据获取负责人</w:t>
            </w:r>
          </w:p>
        </w:tc>
        <w:tc>
          <w:tcPr>
            <w:tcW w:w="4344" w:type="dxa"/>
            <w:vAlign w:val="center"/>
          </w:tcPr>
          <w:p w14:paraId="0D41108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网络流量采集：Suricata（引擎+EVE解析+ECS转换）</w:t>
            </w:r>
          </w:p>
        </w:tc>
      </w:tr>
      <w:tr w14:paraId="5519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734C6A5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姜乐</w:t>
            </w:r>
          </w:p>
        </w:tc>
        <w:tc>
          <w:tcPr>
            <w:tcW w:w="932" w:type="dxa"/>
            <w:vAlign w:val="center"/>
          </w:tcPr>
          <w:p w14:paraId="34BCFBE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3E38AF6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2909AB1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数据获取负责人</w:t>
            </w:r>
          </w:p>
        </w:tc>
        <w:tc>
          <w:tcPr>
            <w:tcW w:w="4344" w:type="dxa"/>
            <w:vAlign w:val="center"/>
          </w:tcPr>
          <w:p w14:paraId="7EB452E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主机日志采集：</w:t>
            </w:r>
            <w:r>
              <w:rPr>
                <w:rStyle w:val="11"/>
                <w:rFonts w:ascii="Calibri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Filebeat</w:t>
            </w: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（认证日志+Sigma检测+ECS输出）</w:t>
            </w:r>
          </w:p>
        </w:tc>
      </w:tr>
      <w:tr w14:paraId="53AE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26FA8C4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4"/>
                <w:vertAlign w:val="baseline"/>
                <w:lang w:val="en-US" w:eastAsia="zh-CN"/>
              </w:rPr>
              <w:t>吕梓杰</w:t>
            </w:r>
          </w:p>
        </w:tc>
        <w:tc>
          <w:tcPr>
            <w:tcW w:w="932" w:type="dxa"/>
            <w:vAlign w:val="center"/>
          </w:tcPr>
          <w:p w14:paraId="6800A1B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50BC8A4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3C3E6DE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数据湖构建负责人</w:t>
            </w:r>
          </w:p>
        </w:tc>
        <w:tc>
          <w:tcPr>
            <w:tcW w:w="4344" w:type="dxa"/>
            <w:vAlign w:val="center"/>
          </w:tcPr>
          <w:p w14:paraId="652E06E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OpenSearc入库、索引治理、Store-first 检测与告警融合</w:t>
            </w:r>
          </w:p>
        </w:tc>
      </w:tr>
      <w:tr w14:paraId="1800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2888699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4"/>
                <w:vertAlign w:val="baseline"/>
                <w:lang w:val="en-US" w:eastAsia="zh-CN"/>
              </w:rPr>
              <w:t>田炎烁</w:t>
            </w:r>
          </w:p>
        </w:tc>
        <w:tc>
          <w:tcPr>
            <w:tcW w:w="932" w:type="dxa"/>
            <w:vAlign w:val="center"/>
          </w:tcPr>
          <w:p w14:paraId="7F2DFFD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6795BEC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38E6335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数据湖构建负责人</w:t>
            </w:r>
          </w:p>
        </w:tc>
        <w:tc>
          <w:tcPr>
            <w:tcW w:w="4344" w:type="dxa"/>
            <w:vAlign w:val="center"/>
          </w:tcPr>
          <w:p w14:paraId="13C128F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OpenSearch→Neo4j入图、图查询服务、写回字段对齐</w:t>
            </w:r>
          </w:p>
        </w:tc>
      </w:tr>
      <w:tr w14:paraId="30F1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57CB014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伍万圣</w:t>
            </w:r>
          </w:p>
        </w:tc>
        <w:tc>
          <w:tcPr>
            <w:tcW w:w="932" w:type="dxa"/>
            <w:vAlign w:val="center"/>
          </w:tcPr>
          <w:p w14:paraId="3B0AA33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558E19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45B5C84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全栈负责人</w:t>
            </w:r>
          </w:p>
        </w:tc>
        <w:tc>
          <w:tcPr>
            <w:tcW w:w="4344" w:type="dxa"/>
            <w:vAlign w:val="center"/>
          </w:tcPr>
          <w:p w14:paraId="3FC6EE4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客户机后端接口 + 中心机API + 前端展示与集成联调</w:t>
            </w:r>
          </w:p>
        </w:tc>
      </w:tr>
      <w:tr w14:paraId="33C32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0D5F8BF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范玉彬</w:t>
            </w:r>
          </w:p>
        </w:tc>
        <w:tc>
          <w:tcPr>
            <w:tcW w:w="932" w:type="dxa"/>
            <w:vAlign w:val="center"/>
          </w:tcPr>
          <w:p w14:paraId="281040E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73A8CBA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2B17E4F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算法负责人</w:t>
            </w:r>
          </w:p>
        </w:tc>
        <w:tc>
          <w:tcPr>
            <w:tcW w:w="4344" w:type="dxa"/>
            <w:vAlign w:val="center"/>
          </w:tcPr>
          <w:p w14:paraId="65EA62E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关联溯源：候选路径构造与评分、规则/回退链路</w:t>
            </w:r>
          </w:p>
        </w:tc>
      </w:tr>
      <w:tr w14:paraId="20E8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2F42E0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曾靖然</w:t>
            </w:r>
          </w:p>
        </w:tc>
        <w:tc>
          <w:tcPr>
            <w:tcW w:w="932" w:type="dxa"/>
            <w:vAlign w:val="center"/>
          </w:tcPr>
          <w:p w14:paraId="6E5FBDF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08A2F6A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5596CB3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算法负责人</w:t>
            </w:r>
          </w:p>
        </w:tc>
        <w:tc>
          <w:tcPr>
            <w:tcW w:w="4344" w:type="dxa"/>
            <w:vAlign w:val="center"/>
          </w:tcPr>
          <w:p w14:paraId="1ED5B1A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关联溯源：LLM 选择器、TTP相似度匹配与解释生成</w:t>
            </w:r>
          </w:p>
        </w:tc>
      </w:tr>
      <w:tr w14:paraId="0D8A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7B89CF9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王一安</w:t>
            </w:r>
          </w:p>
        </w:tc>
        <w:tc>
          <w:tcPr>
            <w:tcW w:w="932" w:type="dxa"/>
            <w:vAlign w:val="center"/>
          </w:tcPr>
          <w:p w14:paraId="0AA5220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7DC05E4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213897F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靶场负责人</w:t>
            </w:r>
          </w:p>
        </w:tc>
        <w:tc>
          <w:tcPr>
            <w:tcW w:w="4344" w:type="dxa"/>
            <w:vAlign w:val="center"/>
          </w:tcPr>
          <w:p w14:paraId="6D23704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靶场部署、APT 攻击模拟、证据点与复现脚本</w:t>
            </w:r>
          </w:p>
        </w:tc>
      </w:tr>
      <w:tr w14:paraId="638D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32" w:type="dxa"/>
            <w:vAlign w:val="center"/>
          </w:tcPr>
          <w:p w14:paraId="09DFC35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张天华</w:t>
            </w:r>
          </w:p>
        </w:tc>
        <w:tc>
          <w:tcPr>
            <w:tcW w:w="932" w:type="dxa"/>
            <w:vAlign w:val="center"/>
          </w:tcPr>
          <w:p w14:paraId="5D3D796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932" w:type="dxa"/>
            <w:vAlign w:val="center"/>
          </w:tcPr>
          <w:p w14:paraId="03061D7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待填写</w:t>
            </w:r>
          </w:p>
        </w:tc>
        <w:tc>
          <w:tcPr>
            <w:tcW w:w="1382" w:type="dxa"/>
            <w:vAlign w:val="center"/>
          </w:tcPr>
          <w:p w14:paraId="134F46F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项目教练</w:t>
            </w:r>
          </w:p>
        </w:tc>
        <w:tc>
          <w:tcPr>
            <w:tcW w:w="4344" w:type="dxa"/>
            <w:vAlign w:val="center"/>
          </w:tcPr>
          <w:p w14:paraId="0B58DE9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整体项目调试、</w:t>
            </w:r>
            <w:r>
              <w:rPr>
                <w:rFonts w:ascii="Calibri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方案把关、里程碑评审、答辩演示节奏与风险兜底</w:t>
            </w:r>
          </w:p>
        </w:tc>
      </w:tr>
    </w:tbl>
    <w:p w14:paraId="77FBF00A">
      <w:pPr>
        <w:pStyle w:val="3"/>
        <w:bidi w:val="0"/>
        <w:rPr>
          <w:rFonts w:hint="eastAsia"/>
          <w:lang w:val="en-US" w:eastAsia="zh-CN"/>
        </w:rPr>
      </w:pPr>
    </w:p>
    <w:p w14:paraId="01D957B2">
      <w:pPr>
        <w:pStyle w:val="3"/>
        <w:bidi w:val="0"/>
        <w:rPr>
          <w:rFonts w:hint="eastAsia"/>
          <w:lang w:val="en-US" w:eastAsia="zh-CN"/>
        </w:rPr>
      </w:pPr>
    </w:p>
    <w:p w14:paraId="53DB0F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3.工作量占比</w:t>
      </w:r>
    </w:p>
    <w:tbl>
      <w:tblPr>
        <w:tblStyle w:val="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963"/>
        <w:gridCol w:w="1515"/>
        <w:gridCol w:w="6044"/>
      </w:tblGrid>
      <w:tr w14:paraId="3297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963" w:type="dxa"/>
            <w:vAlign w:val="center"/>
          </w:tcPr>
          <w:p w14:paraId="55AA87F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1515" w:type="dxa"/>
            <w:vAlign w:val="center"/>
          </w:tcPr>
          <w:p w14:paraId="420BB40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工作量占比</w:t>
            </w:r>
          </w:p>
        </w:tc>
        <w:tc>
          <w:tcPr>
            <w:tcW w:w="6044" w:type="dxa"/>
            <w:vAlign w:val="center"/>
          </w:tcPr>
          <w:p w14:paraId="7C77D53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依据说明</w:t>
            </w:r>
          </w:p>
        </w:tc>
      </w:tr>
      <w:tr w14:paraId="456A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4649B99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董容嘉</w:t>
            </w:r>
          </w:p>
        </w:tc>
        <w:tc>
          <w:tcPr>
            <w:tcW w:w="1515" w:type="dxa"/>
            <w:vAlign w:val="center"/>
          </w:tcPr>
          <w:p w14:paraId="21920E0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6C07F1EF">
            <w:pPr>
              <w:pStyle w:val="7"/>
              <w:keepNext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Falco 采集链路、Telemetry 规则补齐、ECS 转换与联调（客户机三传感器之一）</w:t>
            </w:r>
          </w:p>
        </w:tc>
      </w:tr>
      <w:tr w14:paraId="223C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7642556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马民泽</w:t>
            </w:r>
          </w:p>
        </w:tc>
        <w:tc>
          <w:tcPr>
            <w:tcW w:w="1515" w:type="dxa"/>
            <w:vAlign w:val="center"/>
          </w:tcPr>
          <w:p w14:paraId="42588B8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77D465EE">
            <w:pPr>
              <w:pStyle w:val="7"/>
              <w:keepNext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Suricata 引擎配置、EVE 解析与 ECS 转换、与中心机入库联调</w:t>
            </w:r>
          </w:p>
        </w:tc>
      </w:tr>
      <w:tr w14:paraId="66D2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4E58077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姜乐</w:t>
            </w:r>
          </w:p>
        </w:tc>
        <w:tc>
          <w:tcPr>
            <w:tcW w:w="1515" w:type="dxa"/>
            <w:vAlign w:val="center"/>
          </w:tcPr>
          <w:p w14:paraId="38A3B9B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0FAD0E4D">
            <w:pPr>
              <w:pStyle w:val="7"/>
              <w:keepNext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Filebeat 认证日志采集 + Sigma 检测、ECS 输出与联调（最终落地为 Filebeat）</w:t>
            </w:r>
          </w:p>
        </w:tc>
      </w:tr>
      <w:tr w14:paraId="7CC6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645686E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吕梓杰</w:t>
            </w:r>
          </w:p>
        </w:tc>
        <w:tc>
          <w:tcPr>
            <w:tcW w:w="1515" w:type="dxa"/>
            <w:vAlign w:val="center"/>
          </w:tcPr>
          <w:p w14:paraId="4AFF561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767D7CB7">
            <w:pPr>
              <w:pStyle w:val="7"/>
              <w:keepNext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中心机主流水线：轮询拉取→OpenSearch 入库→检测→融合（系统“中枢”链路）</w:t>
            </w:r>
          </w:p>
        </w:tc>
      </w:tr>
      <w:tr w14:paraId="3AC3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7A87A9E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田炎烁</w:t>
            </w:r>
          </w:p>
        </w:tc>
        <w:tc>
          <w:tcPr>
            <w:tcW w:w="1515" w:type="dxa"/>
            <w:vAlign w:val="center"/>
          </w:tcPr>
          <w:p w14:paraId="09C8907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4E652C9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入图与图查询：ECS→Graph、Neo4j schema/查询/写回对齐（承载跨源关联与结果展示）</w:t>
            </w:r>
          </w:p>
        </w:tc>
      </w:tr>
      <w:tr w14:paraId="5E55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5B39063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伍万圣</w:t>
            </w:r>
          </w:p>
        </w:tc>
        <w:tc>
          <w:tcPr>
            <w:tcW w:w="1515" w:type="dxa"/>
            <w:vAlign w:val="center"/>
          </w:tcPr>
          <w:p w14:paraId="65156A7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773ADD7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全栈：客户机/中心机 API 贯通 + 前端可视化 + 系统集成演示闭环</w:t>
            </w:r>
          </w:p>
        </w:tc>
      </w:tr>
      <w:tr w14:paraId="2CFB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76EB2BE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范玉彬</w:t>
            </w:r>
          </w:p>
        </w:tc>
        <w:tc>
          <w:tcPr>
            <w:tcW w:w="1515" w:type="dxa"/>
            <w:vAlign w:val="center"/>
          </w:tcPr>
          <w:p w14:paraId="0F235AA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4C7DFDC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溯源算法核心：候选路径构造与评分、任务框架与稳定回退策略</w:t>
            </w:r>
          </w:p>
        </w:tc>
      </w:tr>
      <w:tr w14:paraId="54AD3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2E722B7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曾靖然</w:t>
            </w:r>
          </w:p>
        </w:tc>
        <w:tc>
          <w:tcPr>
            <w:tcW w:w="1515" w:type="dxa"/>
            <w:vAlign w:val="center"/>
          </w:tcPr>
          <w:p w14:paraId="0C61DC24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7F77754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 选择器与 TTP 相似度匹配、解释生成（算法侧关键能力）</w:t>
            </w:r>
          </w:p>
        </w:tc>
      </w:tr>
      <w:tr w14:paraId="2C1E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63F1D02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王一安</w:t>
            </w:r>
          </w:p>
        </w:tc>
        <w:tc>
          <w:tcPr>
            <w:tcW w:w="1515" w:type="dxa"/>
            <w:vAlign w:val="center"/>
          </w:tcPr>
          <w:p w14:paraId="3DC3E7F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6044" w:type="dxa"/>
            <w:vAlign w:val="center"/>
          </w:tcPr>
          <w:p w14:paraId="5777128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靶场与复现：≥5 节点部署、攻击模拟、证据点闭环与可重复演示</w:t>
            </w:r>
          </w:p>
        </w:tc>
      </w:tr>
      <w:tr w14:paraId="3356C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3579CB5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张天华</w:t>
            </w:r>
          </w:p>
        </w:tc>
        <w:tc>
          <w:tcPr>
            <w:tcW w:w="1515" w:type="dxa"/>
            <w:vAlign w:val="center"/>
          </w:tcPr>
          <w:p w14:paraId="3FDAA75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6044" w:type="dxa"/>
            <w:shd w:val="clear" w:color="auto" w:fill="auto"/>
            <w:vAlign w:val="center"/>
          </w:tcPr>
          <w:p w14:paraId="778160E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Fonts w:hint="default" w:ascii="宋体" w:eastAsia="宋体" w:hAnsiTheme="minorHAnsi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整体项目调试、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方案把关、里程碑评审、答辩演示节奏与风险兜底</w:t>
            </w:r>
          </w:p>
        </w:tc>
      </w:tr>
    </w:tbl>
    <w:p w14:paraId="73D8EED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产出物映射</w:t>
      </w:r>
      <w:bookmarkStart w:id="0" w:name="_GoBack"/>
      <w:bookmarkEnd w:id="0"/>
    </w:p>
    <w:p w14:paraId="1D28E99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1. </w:t>
      </w:r>
      <w:r>
        <w:rPr>
          <w:rFonts w:hint="default"/>
          <w:sz w:val="24"/>
          <w:szCs w:val="32"/>
          <w:lang w:val="en-US" w:eastAsia="zh-CN"/>
        </w:rPr>
        <w:t>董容嘉｜数据获取（主机行为：Falco）</w:t>
      </w:r>
    </w:p>
    <w:p w14:paraId="6592E849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Falco ECS 转换链路：client/sensor/falco/（含转换脚本）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客户机 Falco 采集与 ECS 转换的详细设计内容（对应“客户机模块/Falco”章节索引）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Falco 行为事件能被采集→转换→进入队列→被中心机拉取的证据链路</w:t>
      </w:r>
    </w:p>
    <w:p w14:paraId="5E30100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2. </w:t>
      </w:r>
      <w:r>
        <w:rPr>
          <w:rFonts w:hint="default"/>
          <w:sz w:val="24"/>
          <w:szCs w:val="32"/>
          <w:lang w:val="en-US" w:eastAsia="zh-CN"/>
        </w:rPr>
        <w:t>马民泽｜数据获取（网络流量：Suricata）</w:t>
      </w:r>
    </w:p>
    <w:p w14:paraId="6BC46146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Suricata 引擎与导出：client/sensor/suricata/engine/、client/sensor/suricata/exporter/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客户机 Suricata 采集与 ECS 转换的详细设计内容（对应“客户机模块/Suricata”章节索引）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Suricata EVE → ECS → 队列 → 拉取接口链路证据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11BD267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3. </w:t>
      </w:r>
      <w:r>
        <w:rPr>
          <w:rFonts w:hint="default"/>
          <w:sz w:val="24"/>
          <w:szCs w:val="32"/>
          <w:lang w:val="en-US" w:eastAsia="zh-CN"/>
        </w:rPr>
        <w:t>姜乐｜数据获取（主机日志：Filebeat 侧）</w:t>
      </w:r>
    </w:p>
    <w:p w14:paraId="16B42B1A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Filebeat/Sigma 检测与投递：client/sensor/filebeat/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客户机 Filebeat 采集与 ECS 转换的详细设计内容（对应“客户机模块/Filebeat”章节索引）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Filebeat 事件入队与接口拉取可用</w:t>
      </w:r>
    </w:p>
    <w:p w14:paraId="231A779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4. </w:t>
      </w:r>
      <w:r>
        <w:rPr>
          <w:rFonts w:hint="default"/>
          <w:sz w:val="24"/>
          <w:szCs w:val="32"/>
          <w:lang w:val="en-US" w:eastAsia="zh-CN"/>
        </w:rPr>
        <w:t>吕梓杰｜数据湖构建（负责 OpenSearch Security Analytics）</w:t>
      </w:r>
    </w:p>
    <w:p w14:paraId="1798708C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中心机流水线 Step2/Step3：OpenSearch 入库、检测、告警融合（体系结构中 Step2/Step3 与 OS 索引层对齐）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OpenSearch 相关脚本入口与规范对齐（曾有 backend/app/services/opensearch/scripts/README.md 入口并被合并进索引规范文档的说明）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详细设计：中心机 OpenSearch 存储与索引治理、检测与告警融合两部分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Raw Findings / Canonical Findings 形成、检索与展示链路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F0B398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5. </w:t>
      </w:r>
      <w:r>
        <w:rPr>
          <w:rFonts w:hint="default"/>
          <w:sz w:val="24"/>
          <w:szCs w:val="32"/>
          <w:lang w:val="en-US" w:eastAsia="zh-CN"/>
        </w:rPr>
        <w:t>田炎烁｜数据湖构建（已交换：负责 OpenSearch → Neo4j 实体转化）</w:t>
      </w:r>
    </w:p>
    <w:p w14:paraId="0B4E770D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Neo4j 入图与图查询相关实现（文档明确“以 backend/app/services/neo4j/实现对齐”为口径）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中心机流水线 Step4：Neo4j 入图（体系结构中 Step4）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详细设计：Neo4j 入图与图查询、图谱回标与边属性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图查询接口动作与返回结构可演示（图查询统一入口与动作集合）</w:t>
      </w:r>
    </w:p>
    <w:p w14:paraId="359CC55C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6. </w:t>
      </w:r>
      <w:r>
        <w:rPr>
          <w:rFonts w:hint="default"/>
          <w:sz w:val="24"/>
          <w:szCs w:val="32"/>
          <w:lang w:val="en-US" w:eastAsia="zh-CN"/>
        </w:rPr>
        <w:t>伍万圣｜客户机、中心机全栈（含前端展示）</w:t>
      </w:r>
    </w:p>
    <w:p w14:paraId="58B51331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客户机侧“拉取 API（Gin）”容器与代码入口：client/backend/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中心机对外 API 与前端页面联调（前端请求后端，后端分别查 OpenSearch/Neo4j 的链路）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概要设计中“系统组成/架构图/数据流”叙事的集成视角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前端模块详细设计对应章节产出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PPT 内容与现场演示脚本对齐（08 的来源文档入口已固定）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端到端 UI 证据：事件时间线、图谱展示、溯源任务创建与结果展示（含 task_id 流程）</w:t>
      </w:r>
    </w:p>
    <w:p w14:paraId="69A4620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7. </w:t>
      </w:r>
      <w:r>
        <w:rPr>
          <w:rFonts w:hint="default"/>
          <w:sz w:val="24"/>
          <w:szCs w:val="32"/>
          <w:lang w:val="en-US" w:eastAsia="zh-CN"/>
        </w:rPr>
        <w:t>范玉彬｜关联溯源算法</w:t>
      </w:r>
    </w:p>
    <w:p w14:paraId="31D54937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Analysis 异步溯源任务：围绕“读取 Neo4j 子图 → 算法分析 → 写回边属性”的链路实现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分析模块章节产出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写回结构的权威口径用于保证前端展示/报告导出一致 测试报告中覆盖“算法主路径 + 失败回退路径”</w:t>
      </w:r>
    </w:p>
    <w:p w14:paraId="707D5F9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8. </w:t>
      </w:r>
      <w:r>
        <w:rPr>
          <w:rFonts w:hint="default"/>
          <w:sz w:val="24"/>
          <w:szCs w:val="32"/>
          <w:lang w:val="en-US" w:eastAsia="zh-CN"/>
        </w:rPr>
        <w:t>曾靖然｜关联溯源算法</w:t>
      </w:r>
    </w:p>
    <w:p w14:paraId="7839A554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与范玉彬共同完成候选路径构造、评分、TTP 相似度或回退策略等子模块（分析链路同样围绕 Neo4j 读写闭环）文档/测试产出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分析模块详细设计对应章节（70-73）与测试用例、结果明细支撑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7C18B8C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9. </w:t>
      </w:r>
      <w:r>
        <w:rPr>
          <w:rFonts w:hint="default"/>
          <w:sz w:val="24"/>
          <w:szCs w:val="32"/>
          <w:lang w:val="en-US" w:eastAsia="zh-CN"/>
        </w:rPr>
        <w:t>王一安｜靶场环境（部署靶机 + 发起模拟 APT 攻击）</w:t>
      </w:r>
    </w:p>
    <w:p w14:paraId="44F94600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环境与运维产出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靶场/运维权威文档及其可复现操作口径，作为现场演示与交付依据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一键编排中“多客户机实例运行目录/软链接/环境变量/端口规划”落地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至少 5 节点靶场 + 攻击链触发 + 证据点出现（课程要求的测试环境与节点约束）</w:t>
      </w:r>
    </w:p>
    <w:p w14:paraId="6B049C06"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10. </w:t>
      </w:r>
      <w:r>
        <w:rPr>
          <w:rFonts w:hint="default"/>
          <w:sz w:val="24"/>
          <w:szCs w:val="32"/>
          <w:lang w:val="en-US" w:eastAsia="zh-CN"/>
        </w:rPr>
        <w:t>张天华｜项目教练</w:t>
      </w:r>
    </w:p>
    <w:p w14:paraId="7F51545C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统一口径与最终一致性把关：规范类文档为“唯一权威口径”，其余文档必须引用不重复（用于消除打架与答辩风险）项目整体调试：确保端到端闭环可跑、演示链路稳定、PPT/演示脚本/录像证据点与实际行为一致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559A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B971E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B971E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8632D2"/>
    <w:rsid w:val="3B6420AD"/>
    <w:rsid w:val="4EEB19A6"/>
    <w:rsid w:val="4F2C2F2C"/>
    <w:rsid w:val="6BDA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1880</Words>
  <Characters>2554</Characters>
  <Lines>0</Lines>
  <Paragraphs>0</Paragraphs>
  <TotalTime>0</TotalTime>
  <ScaleCrop>false</ScaleCrop>
  <LinksUpToDate>false</LinksUpToDate>
  <CharactersWithSpaces>2685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2026-01-15T23:56:00Z</dcterms:created>
  <dc:creator>22879</dc:creator>
  <cp:lastModifiedBy>田炎烁</cp:lastModifiedBy>
  <dcterms:modified xsi:type="dcterms:W3CDTF">2026-01-16T01:12:21Z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KSOTemplateDocerSaveRecord">
    <vt:lpwstr>eyJoZGlkIjoiNjFhNmY1MGQ3MjZmMDk4NjZmOWY0NjYyN2ZhMDg2NWIiLCJ1c2VySWQiOiIxNzY0NzQzMDI5In0=</vt:lpwstr>
  </property>
  <property fmtid="{D5CDD505-2E9C-101B-9397-08002B2CF9AE}" pid="4" name="ICV">
    <vt:lpwstr>C6DB2A73F8414D37B932812DC7A275EA_12</vt:lpwstr>
  </property>
</Properties>
</file>