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3A6DD" w14:textId="77777777" w:rsidR="006327FE" w:rsidRPr="006327FE" w:rsidRDefault="006327FE" w:rsidP="00CB0F92">
      <w:pPr>
        <w:spacing w:before="100" w:beforeAutospacing="1" w:after="100" w:afterAutospacing="1" w:line="360" w:lineRule="auto"/>
        <w:outlineLvl w:val="0"/>
        <w:rPr>
          <w:rFonts w:ascii="Times New Roman" w:eastAsia="Times New Roman" w:hAnsi="Times New Roman" w:cs="Times New Roman"/>
          <w:b/>
          <w:bCs/>
          <w:kern w:val="36"/>
          <w:sz w:val="48"/>
          <w:szCs w:val="48"/>
        </w:rPr>
      </w:pPr>
      <w:r w:rsidRPr="006327FE">
        <w:rPr>
          <w:rFonts w:ascii="Times New Roman" w:eastAsia="Times New Roman" w:hAnsi="Times New Roman" w:cs="Times New Roman"/>
          <w:b/>
          <w:bCs/>
          <w:kern w:val="36"/>
          <w:sz w:val="48"/>
          <w:szCs w:val="48"/>
        </w:rPr>
        <w:t>Property &amp; Casualty Insurance</w:t>
      </w:r>
    </w:p>
    <w:p w14:paraId="775530D7" w14:textId="77777777" w:rsidR="006327FE" w:rsidRPr="006327FE" w:rsidRDefault="006327FE" w:rsidP="00CB0F92">
      <w:pPr>
        <w:spacing w:before="100" w:beforeAutospacing="1" w:after="100" w:afterAutospacing="1" w:line="360" w:lineRule="auto"/>
        <w:outlineLvl w:val="1"/>
        <w:rPr>
          <w:rFonts w:ascii="Times New Roman" w:eastAsia="Times New Roman" w:hAnsi="Times New Roman" w:cs="Times New Roman"/>
          <w:b/>
          <w:bCs/>
          <w:sz w:val="36"/>
          <w:szCs w:val="36"/>
        </w:rPr>
      </w:pPr>
      <w:r w:rsidRPr="006327FE">
        <w:rPr>
          <w:rFonts w:ascii="Times New Roman" w:eastAsia="Times New Roman" w:hAnsi="Times New Roman" w:cs="Times New Roman"/>
          <w:b/>
          <w:bCs/>
          <w:sz w:val="36"/>
          <w:szCs w:val="36"/>
        </w:rPr>
        <w:t>Industry Context: Stabilization After Years of Volatility</w:t>
      </w:r>
    </w:p>
    <w:p w14:paraId="1A3FB007"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i/>
          <w:iCs/>
          <w:sz w:val="24"/>
          <w:szCs w:val="24"/>
        </w:rPr>
        <w:t>Managing catastrophe exposure, profitability pressures, and operational transformation</w:t>
      </w:r>
    </w:p>
    <w:p w14:paraId="1850C30E"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The property and casualty insurance industry is entering a period of relative stabilization after years of severe rate increases and market hardening. The U.S. P&amp;C industry recorded net underwriting income of $11.5 billion in the first half of 2025, signaling improved profitability after challenging years marked by catastrophe losses and inflation pressures.¹ However, stability doesn't mean the challenges have disappeared. Catastrophe losses remain elevated—the Los Angeles wildfires in early 2025 generated insured losses estimated between $16 billion and $25 billion, serving as a stark reminder of growing climate-related exposure.²</w:t>
      </w:r>
    </w:p>
    <w:p w14:paraId="6D57A0A3"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For executives leading P&amp;C carriers—whether commercial lines, personal lines, specialty insurers, or regional mutuals—the operational environment remains complex. You're managing the tension between growth and underwriting discipline. You're navigating catastrophe modeling uncertainty and reinsurance cost pressures. You're investing in technology modernization while maintaining profitability. And you're dealing with social inflation that continues to drive up claims costs, particularly in liability lines where nuclear verdicts (damages exceeding $10 million) are increasingly common.³</w:t>
      </w:r>
    </w:p>
    <w:p w14:paraId="55BA8207"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The carriers that will succeed in this environment aren't just those with strong balance sheets—they're the ones with efficient operations, agile organizational structures, and the ability to execute strategic change effectively.</w:t>
      </w:r>
    </w:p>
    <w:p w14:paraId="6F1B2746" w14:textId="77777777" w:rsidR="006327FE" w:rsidRPr="006327FE" w:rsidRDefault="006327FE" w:rsidP="00CB0F92">
      <w:pPr>
        <w:spacing w:before="100" w:beforeAutospacing="1" w:after="100" w:afterAutospacing="1" w:line="360" w:lineRule="auto"/>
        <w:outlineLvl w:val="1"/>
        <w:rPr>
          <w:rFonts w:ascii="Times New Roman" w:eastAsia="Times New Roman" w:hAnsi="Times New Roman" w:cs="Times New Roman"/>
          <w:b/>
          <w:bCs/>
          <w:sz w:val="36"/>
          <w:szCs w:val="36"/>
        </w:rPr>
      </w:pPr>
      <w:r w:rsidRPr="006327FE">
        <w:rPr>
          <w:rFonts w:ascii="Times New Roman" w:eastAsia="Times New Roman" w:hAnsi="Times New Roman" w:cs="Times New Roman"/>
          <w:b/>
          <w:bCs/>
          <w:sz w:val="36"/>
          <w:szCs w:val="36"/>
        </w:rPr>
        <w:t>Common Operational Challenges</w:t>
      </w:r>
    </w:p>
    <w:p w14:paraId="7FBE955F"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i/>
          <w:iCs/>
          <w:sz w:val="24"/>
          <w:szCs w:val="24"/>
        </w:rPr>
        <w:t>Catastrophe exposure, claims inflation, technology debt, and workforce dynamics</w:t>
      </w:r>
    </w:p>
    <w:p w14:paraId="4D7561C2"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Catastrophe Exposure and Reinsurance Costs</w:t>
      </w:r>
      <w:r w:rsidRPr="006327FE">
        <w:rPr>
          <w:rFonts w:ascii="Times New Roman" w:eastAsia="Times New Roman" w:hAnsi="Times New Roman" w:cs="Times New Roman"/>
          <w:sz w:val="24"/>
          <w:szCs w:val="24"/>
        </w:rPr>
        <w:br/>
        <w:t xml:space="preserve">Climate-related losses continue to escalate. Over the past five years, natural disasters costing at </w:t>
      </w:r>
      <w:r w:rsidRPr="006327FE">
        <w:rPr>
          <w:rFonts w:ascii="Times New Roman" w:eastAsia="Times New Roman" w:hAnsi="Times New Roman" w:cs="Times New Roman"/>
          <w:sz w:val="24"/>
          <w:szCs w:val="24"/>
        </w:rPr>
        <w:lastRenderedPageBreak/>
        <w:t>least $1 billion have averaged 18 per year.⁴ Hurricanes, wildfires, severe convective storms, and flooding are becoming more frequent and severe. Homeowners insurers have been particularly affected, with many carriers pulling out of high-risk states like California and Florida or dramatically reducing exposure. Reinsurance costs have increased substantially, and attachment points have risen, meaning carriers retain more risk. Managing catastrophe exposure requires sophisticated modeling, disciplined underwriting, and strategic reinsurance purchasing—but it also requires operational agility to adjust strategies quickly as conditions change.</w:t>
      </w:r>
    </w:p>
    <w:p w14:paraId="2B34403F"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Social Inflation and Rising Claims Costs</w:t>
      </w:r>
      <w:r w:rsidRPr="006327FE">
        <w:rPr>
          <w:rFonts w:ascii="Times New Roman" w:eastAsia="Times New Roman" w:hAnsi="Times New Roman" w:cs="Times New Roman"/>
          <w:sz w:val="24"/>
          <w:szCs w:val="24"/>
        </w:rPr>
        <w:br/>
        <w:t>Social inflation—the trend of increasing litigation, larger jury awards, and expanding liability interpretations—has pushed U.S. casualty claims costs up 57% since 2013 according to Swiss Re.⁵ Commercial auto, general liability, and professional liability lines are particularly vulnerable. Nuclear verdicts are no longer rare outliers; they're becoming more common. Insurers must manage reserves conservatively, price for this risk, and defend claims aggressively. But they also need operational processes that identify potentially high-severity claims early and manage them effectively throughout the litigation lifecycle.</w:t>
      </w:r>
    </w:p>
    <w:p w14:paraId="0E917287"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Legacy Technology and Data Fragmentation</w:t>
      </w:r>
      <w:r w:rsidRPr="006327FE">
        <w:rPr>
          <w:rFonts w:ascii="Times New Roman" w:eastAsia="Times New Roman" w:hAnsi="Times New Roman" w:cs="Times New Roman"/>
          <w:sz w:val="24"/>
          <w:szCs w:val="24"/>
        </w:rPr>
        <w:br/>
        <w:t>Many P&amp;C carriers still operate on core policy administration and claims systems built decades ago. These platforms work, but they're inflexible. Launching new products takes months. Integrating data from multiple sources—underwriting, claims, billing, third-party data providers—is complex. Real-time pricing, advanced analytics, and digital customer experiences require modern technology stacks. Replacing core systems is expensive and risky, but delaying modernization creates competitive disadvantages. Carriers must balance investment in technology with operational stability and profitability.</w:t>
      </w:r>
    </w:p>
    <w:p w14:paraId="7CE35D03"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Regulatory Complexity Across Jurisdictions</w:t>
      </w:r>
      <w:r w:rsidRPr="006327FE">
        <w:rPr>
          <w:rFonts w:ascii="Times New Roman" w:eastAsia="Times New Roman" w:hAnsi="Times New Roman" w:cs="Times New Roman"/>
          <w:sz w:val="24"/>
          <w:szCs w:val="24"/>
        </w:rPr>
        <w:br/>
        <w:t xml:space="preserve">P&amp;C insurers operate in a fragmented regulatory environment. Each state has its own insurance department, rate filing requirements, and consumer protection regulations. Form and rate approvals can take months. Regulatory expectations around cybersecurity, data privacy, market conduct, and climate risk disclosure are increasing. Compliance infrastructure must be robust enough to manage these requirements without slowing business operations or innovation. For </w:t>
      </w:r>
      <w:r w:rsidRPr="006327FE">
        <w:rPr>
          <w:rFonts w:ascii="Times New Roman" w:eastAsia="Times New Roman" w:hAnsi="Times New Roman" w:cs="Times New Roman"/>
          <w:sz w:val="24"/>
          <w:szCs w:val="24"/>
        </w:rPr>
        <w:lastRenderedPageBreak/>
        <w:t>regional and national carriers, coordinating compliance across multiple jurisdictions adds operational complexity.</w:t>
      </w:r>
    </w:p>
    <w:p w14:paraId="3974303B"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Distribution Model Evolution</w:t>
      </w:r>
      <w:r w:rsidRPr="006327FE">
        <w:rPr>
          <w:rFonts w:ascii="Times New Roman" w:eastAsia="Times New Roman" w:hAnsi="Times New Roman" w:cs="Times New Roman"/>
          <w:sz w:val="24"/>
          <w:szCs w:val="24"/>
        </w:rPr>
        <w:br/>
        <w:t>The independent agent channel remains dominant in P&amp;C, but digital distribution is growing. Carriers must support agents effectively while also investing in direct-to-consumer capabilities. This creates tension—agents worry about disintermediation, and carriers struggle to balance channel investments. At the same time, agent demographics are shifting. Many experienced agents are nearing retirement, and recruiting younger talent to insurance agencies is difficult. Carriers must manage these distribution relationships strategically while modernizing systems and processes that agents use daily.</w:t>
      </w:r>
    </w:p>
    <w:p w14:paraId="396B0FBD"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Workforce Capacity and Expertise</w:t>
      </w:r>
      <w:r w:rsidRPr="006327FE">
        <w:rPr>
          <w:rFonts w:ascii="Times New Roman" w:eastAsia="Times New Roman" w:hAnsi="Times New Roman" w:cs="Times New Roman"/>
          <w:sz w:val="24"/>
          <w:szCs w:val="24"/>
        </w:rPr>
        <w:br/>
        <w:t>P&amp;C insurers need specialized talent: underwriters, claims adjusters, actuaries, catastrophe modelers, data scientists. Competition for this talent is intense. Claims adjusters, in particular, face high burnout rates due to workload pressures and emotionally difficult work. When catastrophes hit, carriers need surge capacity to handle claims volume. Building a workforce that can execute daily operations while also scaling for catastrophic events requires thoughtful workforce planning, training, and organizational design.</w:t>
      </w:r>
    </w:p>
    <w:p w14:paraId="5B47AA5D" w14:textId="77777777" w:rsidR="006327FE" w:rsidRPr="006327FE" w:rsidRDefault="006327FE" w:rsidP="00CB0F92">
      <w:pPr>
        <w:spacing w:before="100" w:beforeAutospacing="1" w:after="100" w:afterAutospacing="1" w:line="360" w:lineRule="auto"/>
        <w:outlineLvl w:val="1"/>
        <w:rPr>
          <w:rFonts w:ascii="Times New Roman" w:eastAsia="Times New Roman" w:hAnsi="Times New Roman" w:cs="Times New Roman"/>
          <w:b/>
          <w:bCs/>
          <w:sz w:val="36"/>
          <w:szCs w:val="36"/>
        </w:rPr>
      </w:pPr>
      <w:r w:rsidRPr="006327FE">
        <w:rPr>
          <w:rFonts w:ascii="Times New Roman" w:eastAsia="Times New Roman" w:hAnsi="Times New Roman" w:cs="Times New Roman"/>
          <w:b/>
          <w:bCs/>
          <w:sz w:val="36"/>
          <w:szCs w:val="36"/>
        </w:rPr>
        <w:t>Where Executives Get Stuck</w:t>
      </w:r>
    </w:p>
    <w:p w14:paraId="675F906B"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i/>
          <w:iCs/>
          <w:sz w:val="24"/>
          <w:szCs w:val="24"/>
        </w:rPr>
        <w:t>Common friction points in organizational performance</w:t>
      </w:r>
    </w:p>
    <w:p w14:paraId="58344285"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You can't see where critical underwriting and claims expertise resides.</w:t>
      </w:r>
      <w:r w:rsidRPr="006327FE">
        <w:rPr>
          <w:rFonts w:ascii="Times New Roman" w:eastAsia="Times New Roman" w:hAnsi="Times New Roman" w:cs="Times New Roman"/>
          <w:sz w:val="24"/>
          <w:szCs w:val="24"/>
        </w:rPr>
        <w:br/>
        <w:t>Org charts show reporting lines, but they don't reveal which underwriters informally mentor the team, which claims adjusters handle the most complex cases, or which actuaries connect risk management and underwriting. When you restructure or lose key people, you discover how much institutional knowledge was invisible. Identifying these critical knowledge holders before you lose them is essential—but most carriers don't have visibility into these informal networks.</w:t>
      </w:r>
    </w:p>
    <w:p w14:paraId="67E8C680"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Change initiatives don't stick.</w:t>
      </w:r>
      <w:r w:rsidRPr="006327FE">
        <w:rPr>
          <w:rFonts w:ascii="Times New Roman" w:eastAsia="Times New Roman" w:hAnsi="Times New Roman" w:cs="Times New Roman"/>
          <w:sz w:val="24"/>
          <w:szCs w:val="24"/>
        </w:rPr>
        <w:br/>
        <w:t xml:space="preserve">You implemented a new claims system designed to improve efficiency and customer experience. </w:t>
      </w:r>
      <w:r w:rsidRPr="006327FE">
        <w:rPr>
          <w:rFonts w:ascii="Times New Roman" w:eastAsia="Times New Roman" w:hAnsi="Times New Roman" w:cs="Times New Roman"/>
          <w:sz w:val="24"/>
          <w:szCs w:val="24"/>
        </w:rPr>
        <w:lastRenderedPageBreak/>
        <w:t>You invested in training and communications. Six months later, adjusters are still using workarounds because "the old system was faster." If employees don't adopt new tools and processes, transformation efforts fail. The technology works when people use it—and getting people to change behavior requires more than training. It requires understanding resistance, addressing concerns, and managing the human side of change.</w:t>
      </w:r>
    </w:p>
    <w:p w14:paraId="681402B3"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Processes are inconsistent across regions and lines of business.</w:t>
      </w:r>
      <w:r w:rsidRPr="006327FE">
        <w:rPr>
          <w:rFonts w:ascii="Times New Roman" w:eastAsia="Times New Roman" w:hAnsi="Times New Roman" w:cs="Times New Roman"/>
          <w:sz w:val="24"/>
          <w:szCs w:val="24"/>
        </w:rPr>
        <w:br/>
        <w:t>Underwriting processes vary by region. Claims handling differs by office. Some teams have efficient workflows; others are buried in manual tasks. When processes evolve organically over years, inefficiency and inconsistency become embedded. You know standardization would improve results, but mapping current state across multiple locations and redesigning workflows feels overwhelming. Without a structured approach, improvement efforts stall.</w:t>
      </w:r>
    </w:p>
    <w:p w14:paraId="62B883F0"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Mergers and acquisitions don't deliver projected synergies.</w:t>
      </w:r>
      <w:r w:rsidRPr="006327FE">
        <w:rPr>
          <w:rFonts w:ascii="Times New Roman" w:eastAsia="Times New Roman" w:hAnsi="Times New Roman" w:cs="Times New Roman"/>
          <w:sz w:val="24"/>
          <w:szCs w:val="24"/>
        </w:rPr>
        <w:br/>
        <w:t>P&amp;C M&amp;A is common—carriers acquire specialty insurers, expand geographically, or consolidate for scale. But integration is difficult. Systems remain separate. Duplicate roles persist in underwriting, claims, and operations. Cultural friction is obvious. The cost savings and revenue synergies you projected? Still theoretical two years later. Integration requires more than combining premium volumes—it requires aligning people, processes, technology, and culture.</w:t>
      </w:r>
    </w:p>
    <w:p w14:paraId="5BAA7224"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Catastrophe response and claims surge capacity are inconsistent.</w:t>
      </w:r>
      <w:r w:rsidRPr="006327FE">
        <w:rPr>
          <w:rFonts w:ascii="Times New Roman" w:eastAsia="Times New Roman" w:hAnsi="Times New Roman" w:cs="Times New Roman"/>
          <w:sz w:val="24"/>
          <w:szCs w:val="24"/>
        </w:rPr>
        <w:br/>
        <w:t>When catastrophes hit, claims volume spikes. Some offices handle the surge well; others get overwhelmed. Adjusters work excessive hours. Customer service suffers. You bring in independent adjusters, but they don't know your processes or systems. Response effectiveness varies widely depending on location and leadership. Building surge capacity that's both cost-effective and operationally sound requires planning, training, and organizational flexibility—but most carriers haven't systematically addressed this.</w:t>
      </w:r>
    </w:p>
    <w:p w14:paraId="34E9B4C2" w14:textId="77777777" w:rsidR="006327FE" w:rsidRPr="006327FE" w:rsidRDefault="006327FE" w:rsidP="00CB0F92">
      <w:pPr>
        <w:spacing w:before="100" w:beforeAutospacing="1" w:after="100" w:afterAutospacing="1" w:line="360" w:lineRule="auto"/>
        <w:outlineLvl w:val="1"/>
        <w:rPr>
          <w:rFonts w:ascii="Times New Roman" w:eastAsia="Times New Roman" w:hAnsi="Times New Roman" w:cs="Times New Roman"/>
          <w:b/>
          <w:bCs/>
          <w:sz w:val="36"/>
          <w:szCs w:val="36"/>
        </w:rPr>
      </w:pPr>
      <w:r w:rsidRPr="006327FE">
        <w:rPr>
          <w:rFonts w:ascii="Times New Roman" w:eastAsia="Times New Roman" w:hAnsi="Times New Roman" w:cs="Times New Roman"/>
          <w:b/>
          <w:bCs/>
          <w:sz w:val="36"/>
          <w:szCs w:val="36"/>
        </w:rPr>
        <w:t>How Rooted Helps Property &amp; Casualty Insurance Leaders</w:t>
      </w:r>
    </w:p>
    <w:p w14:paraId="04C83C9D"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i/>
          <w:iCs/>
          <w:sz w:val="24"/>
          <w:szCs w:val="24"/>
        </w:rPr>
        <w:t>Our approach to organizational strategy and transformation</w:t>
      </w:r>
    </w:p>
    <w:p w14:paraId="10CA071D"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lastRenderedPageBreak/>
        <w:t>Rooted Advisory Group works with property and casualty insurance carriers—commercial lines, personal lines, specialty insurers, and regional mutuals—to address operational and organizational challenges. We bring senior-level expertise in organizational strategy, change management, process optimization, and organizational development. Our approach is practical, data-driven, and designed to deliver measurable results without the overhead of Big 5 consulting engagements.</w:t>
      </w:r>
    </w:p>
    <w:p w14:paraId="317FA03A" w14:textId="77777777" w:rsidR="006327FE" w:rsidRPr="006327FE" w:rsidRDefault="006327FE" w:rsidP="00CB0F92">
      <w:pPr>
        <w:spacing w:before="100" w:beforeAutospacing="1" w:after="100" w:afterAutospacing="1" w:line="360" w:lineRule="auto"/>
        <w:outlineLvl w:val="2"/>
        <w:rPr>
          <w:rFonts w:ascii="Times New Roman" w:eastAsia="Times New Roman" w:hAnsi="Times New Roman" w:cs="Times New Roman"/>
          <w:b/>
          <w:bCs/>
          <w:sz w:val="27"/>
          <w:szCs w:val="27"/>
        </w:rPr>
      </w:pPr>
      <w:r w:rsidRPr="006327FE">
        <w:rPr>
          <w:rFonts w:ascii="Times New Roman" w:eastAsia="Times New Roman" w:hAnsi="Times New Roman" w:cs="Times New Roman"/>
          <w:b/>
          <w:bCs/>
          <w:sz w:val="27"/>
          <w:szCs w:val="27"/>
        </w:rPr>
        <w:t>Organizational Network Analysis: See How Work Really Happens</w:t>
      </w:r>
    </w:p>
    <w:p w14:paraId="0832AFDC"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i/>
          <w:iCs/>
          <w:sz w:val="24"/>
          <w:szCs w:val="24"/>
        </w:rPr>
        <w:t>Understanding informal networks, knowledge flows, and collaboration patterns</w:t>
      </w:r>
    </w:p>
    <w:p w14:paraId="1B9135C9"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P&amp;C carriers are complex organizations where expertise is distributed across regions, lines of business, and functions. Organizational Network Analysis (ONA) reveals the informal networks that drive performance—who people turn to for help, where knowledge resides, and where silos create friction.</w:t>
      </w:r>
    </w:p>
    <w:p w14:paraId="2CC90F9A"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Before workforce reductions, protect critical expertise.</w:t>
      </w:r>
      <w:r w:rsidRPr="006327FE">
        <w:rPr>
          <w:rFonts w:ascii="Times New Roman" w:eastAsia="Times New Roman" w:hAnsi="Times New Roman" w:cs="Times New Roman"/>
          <w:sz w:val="24"/>
          <w:szCs w:val="24"/>
        </w:rPr>
        <w:br/>
        <w:t>When cost pressures force layoffs or restructuring, you need to know who holds critical knowledge. ONA shows which underwriters informally train others, which claims adjusters are go-to resources for complex losses, and which actuaries connect risk management with pricing. You can make reduction decisions strategically—not just by title or tenure—and avoid accidentally cutting the people who make everything work.</w:t>
      </w:r>
    </w:p>
    <w:p w14:paraId="38684789"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During mergers, map integration risks before they become problems.</w:t>
      </w:r>
      <w:r w:rsidRPr="006327FE">
        <w:rPr>
          <w:rFonts w:ascii="Times New Roman" w:eastAsia="Times New Roman" w:hAnsi="Times New Roman" w:cs="Times New Roman"/>
          <w:sz w:val="24"/>
          <w:szCs w:val="24"/>
        </w:rPr>
        <w:br/>
        <w:t>You've acquired another carrier or specialty insurer. On paper, the org structure looks clean. In reality, both organizations have informal leaders with influence. ONA helps you see these networks before integration. You can identify bridge-builders who can connect cultures, spot potential resistance points, and design integration plans based on how people actually collaborate—not just how the new org chart says they should.</w:t>
      </w:r>
    </w:p>
    <w:p w14:paraId="138D1C47"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When new systems don't get adopted, understand why.</w:t>
      </w:r>
      <w:r w:rsidRPr="006327FE">
        <w:rPr>
          <w:rFonts w:ascii="Times New Roman" w:eastAsia="Times New Roman" w:hAnsi="Times New Roman" w:cs="Times New Roman"/>
          <w:sz w:val="24"/>
          <w:szCs w:val="24"/>
        </w:rPr>
        <w:br/>
        <w:t xml:space="preserve">You launched a new policy administration system or claims platform, but usage is inconsistent. ONA can reveal informal influencers among your underwriters and claims staff. If experienced </w:t>
      </w:r>
      <w:r w:rsidRPr="006327FE">
        <w:rPr>
          <w:rFonts w:ascii="Times New Roman" w:eastAsia="Times New Roman" w:hAnsi="Times New Roman" w:cs="Times New Roman"/>
          <w:sz w:val="24"/>
          <w:szCs w:val="24"/>
        </w:rPr>
        <w:lastRenderedPageBreak/>
        <w:t>employees aren't using the tool, others won't either. By identifying these key influencers and addressing their concerns first, you turn resistance into advocacy and drive adoption across the organization.</w:t>
      </w:r>
    </w:p>
    <w:p w14:paraId="27828A8A"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Improve collaboration between underwriting, claims, and actuarial teams.</w:t>
      </w:r>
      <w:r w:rsidRPr="006327FE">
        <w:rPr>
          <w:rFonts w:ascii="Times New Roman" w:eastAsia="Times New Roman" w:hAnsi="Times New Roman" w:cs="Times New Roman"/>
          <w:sz w:val="24"/>
          <w:szCs w:val="24"/>
        </w:rPr>
        <w:br/>
        <w:t>Silos kill efficiency in P&amp;C. Underwriting doesn't talk to claims. Actuarial operates separately from risk management. Product development doesn't understand underwriting constraints. ONA maps communication patterns across functions and highlights where collaboration breaks down. Once you see the gaps, you can design interventions—cross-functional working groups, process redesigns, leadership alignment—that connect the right people.</w:t>
      </w:r>
    </w:p>
    <w:p w14:paraId="56099331" w14:textId="77777777" w:rsidR="006327FE" w:rsidRPr="006327FE" w:rsidRDefault="006327FE" w:rsidP="00CB0F92">
      <w:pPr>
        <w:spacing w:before="100" w:beforeAutospacing="1" w:after="100" w:afterAutospacing="1" w:line="360" w:lineRule="auto"/>
        <w:outlineLvl w:val="2"/>
        <w:rPr>
          <w:rFonts w:ascii="Times New Roman" w:eastAsia="Times New Roman" w:hAnsi="Times New Roman" w:cs="Times New Roman"/>
          <w:b/>
          <w:bCs/>
          <w:sz w:val="27"/>
          <w:szCs w:val="27"/>
        </w:rPr>
      </w:pPr>
      <w:r w:rsidRPr="006327FE">
        <w:rPr>
          <w:rFonts w:ascii="Times New Roman" w:eastAsia="Times New Roman" w:hAnsi="Times New Roman" w:cs="Times New Roman"/>
          <w:b/>
          <w:bCs/>
          <w:sz w:val="27"/>
          <w:szCs w:val="27"/>
        </w:rPr>
        <w:t>Change Management: Make Transformation Stick</w:t>
      </w:r>
    </w:p>
    <w:p w14:paraId="4860AE72"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i/>
          <w:iCs/>
          <w:sz w:val="24"/>
          <w:szCs w:val="24"/>
        </w:rPr>
        <w:t>Structured approaches to adoption and behavior change</w:t>
      </w:r>
    </w:p>
    <w:p w14:paraId="4011179E"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Change management is about designing structured approaches to help people understand, accept, and adopt new ways of working. P&amp;C carriers face constant change—regulatory shifts, technology implementations, process redesigns, catastrophe response improvements, M&amp;A integrations. Organizations that execute change well maintain competitive advantage. Those that don't waste resources on initiatives that never deliver results.</w:t>
      </w:r>
    </w:p>
    <w:p w14:paraId="6AC3D7D2"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Rooted uses proven frameworks (Prosci ADKAR, Lean principles, behavioral science) to guide P&amp;C leaders through transformation. We focus on the human side of change—because if people don't change, nothing else does.</w:t>
      </w:r>
    </w:p>
    <w:p w14:paraId="763B81CE"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Technology implementations that underwriters and claims staff actually use.</w:t>
      </w:r>
      <w:r w:rsidRPr="006327FE">
        <w:rPr>
          <w:rFonts w:ascii="Times New Roman" w:eastAsia="Times New Roman" w:hAnsi="Times New Roman" w:cs="Times New Roman"/>
          <w:sz w:val="24"/>
          <w:szCs w:val="24"/>
        </w:rPr>
        <w:br/>
        <w:t>You're implementing a new policy administration system, claims platform, or underwriting workbench. Technical implementation is critical—but so is adoption. Rooted partners with your IT and operations teams to ensure end users are engaged from day one. We develop role-specific training (underwriters need different skills than claims adjusters), build feedback loops to address pain points quickly, and create sustainability plans so people don't revert to old workarounds.</w:t>
      </w:r>
    </w:p>
    <w:p w14:paraId="63EFB8F7"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lastRenderedPageBreak/>
        <w:t>Catastrophe response and surge capacity improvements.</w:t>
      </w:r>
      <w:r w:rsidRPr="006327FE">
        <w:rPr>
          <w:rFonts w:ascii="Times New Roman" w:eastAsia="Times New Roman" w:hAnsi="Times New Roman" w:cs="Times New Roman"/>
          <w:sz w:val="24"/>
          <w:szCs w:val="24"/>
        </w:rPr>
        <w:br/>
        <w:t>When catastrophes hit, your organization needs to scale quickly. Rooted helps you design catastrophe response protocols that are clear, efficient, and well-practiced. We facilitate tabletop exercises where teams practice coordination and decision-making. We help you build surge capacity plans that include independent adjuster onboarding, temporary staffing protocols, and communication strategies. When the next event hits, your team executes smoothly because they've prepared.</w:t>
      </w:r>
    </w:p>
    <w:p w14:paraId="7E97C29B"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Cultural integration after mergers and acquisitions.</w:t>
      </w:r>
      <w:r w:rsidRPr="006327FE">
        <w:rPr>
          <w:rFonts w:ascii="Times New Roman" w:eastAsia="Times New Roman" w:hAnsi="Times New Roman" w:cs="Times New Roman"/>
          <w:sz w:val="24"/>
          <w:szCs w:val="24"/>
        </w:rPr>
        <w:br/>
        <w:t>When two carriers merge, you're combining cultures. One might be underwriting-focused and conservative. The other might be growth-oriented and entrepreneurial. If you don't actively manage cultural integration, friction becomes dysfunction. Rooted facilitates workshops where leadership teams define shared values and operating principles. We help design integration plans that respect both legacies while creating a unified identity, and we monitor employee sentiment throughout to spot issues before they escalate.</w:t>
      </w:r>
    </w:p>
    <w:p w14:paraId="1F119D36"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Preparing the organization for regulatory change.</w:t>
      </w:r>
      <w:r w:rsidRPr="006327FE">
        <w:rPr>
          <w:rFonts w:ascii="Times New Roman" w:eastAsia="Times New Roman" w:hAnsi="Times New Roman" w:cs="Times New Roman"/>
          <w:sz w:val="24"/>
          <w:szCs w:val="24"/>
        </w:rPr>
        <w:br/>
        <w:t>When new state regulations, data privacy laws, or climate risk disclosure requirements take effect, compliance teams understand the mandates—but the broader organization doesn't always know what's changing or why. Rooted helps you communicate the business rationale for compliance, train affected teams on new processes, and embed regulatory awareness into daily operations. This isn't just about passing examinations—it's about building a culture where compliance and business objectives align.</w:t>
      </w:r>
    </w:p>
    <w:p w14:paraId="01C8DF7C" w14:textId="77777777" w:rsidR="006327FE" w:rsidRPr="006327FE" w:rsidRDefault="006327FE" w:rsidP="00CB0F92">
      <w:pPr>
        <w:spacing w:before="100" w:beforeAutospacing="1" w:after="100" w:afterAutospacing="1" w:line="360" w:lineRule="auto"/>
        <w:outlineLvl w:val="2"/>
        <w:rPr>
          <w:rFonts w:ascii="Times New Roman" w:eastAsia="Times New Roman" w:hAnsi="Times New Roman" w:cs="Times New Roman"/>
          <w:b/>
          <w:bCs/>
          <w:sz w:val="27"/>
          <w:szCs w:val="27"/>
        </w:rPr>
      </w:pPr>
      <w:r w:rsidRPr="006327FE">
        <w:rPr>
          <w:rFonts w:ascii="Times New Roman" w:eastAsia="Times New Roman" w:hAnsi="Times New Roman" w:cs="Times New Roman"/>
          <w:b/>
          <w:bCs/>
          <w:sz w:val="27"/>
          <w:szCs w:val="27"/>
        </w:rPr>
        <w:t>Business Process Engineering: Optimize How Work Gets Done</w:t>
      </w:r>
    </w:p>
    <w:p w14:paraId="12325ABC"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i/>
          <w:iCs/>
          <w:sz w:val="24"/>
          <w:szCs w:val="24"/>
        </w:rPr>
        <w:t>Process mapping, redesign, and operational efficiency</w:t>
      </w:r>
    </w:p>
    <w:p w14:paraId="30CFAB1A"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Inefficient processes cost P&amp;C carriers millions in wasted time, increased loss adjustment expenses, and poor customer and agent experiences. Business Process Engineering (BPE) is about mapping current-state workflows, identifying bottlenecks and redundancies, and redesigning processes for efficiency and effectiveness.</w:t>
      </w:r>
    </w:p>
    <w:p w14:paraId="29E3D5E5"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lastRenderedPageBreak/>
        <w:t>Rooted's BPE approach combines Lean Six Sigma with a people-centered lens. We don't just streamline processes on paper—we ensure they work in practice, because real employees have to execute them every day.</w:t>
      </w:r>
    </w:p>
    <w:p w14:paraId="249176AE"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Underwriting process optimization.</w:t>
      </w:r>
      <w:r w:rsidRPr="006327FE">
        <w:rPr>
          <w:rFonts w:ascii="Times New Roman" w:eastAsia="Times New Roman" w:hAnsi="Times New Roman" w:cs="Times New Roman"/>
          <w:sz w:val="24"/>
          <w:szCs w:val="24"/>
        </w:rPr>
        <w:br/>
        <w:t>Underwriting workflows often involve multiple handoffs, redundant reviews, and system limitations. Rooted maps your end-to-end underwriting process—from submission to bind—and identifies where time is lost. Are submissions sitting in queues? Are underwriters re-entering data across systems? Are approval workflows creating unnecessary delays? We redesign processes to eliminate waste, standardize decision criteria, introduce automation where appropriate, and empower underwriters to move faster on straightforward risks while escalating complex submissions appropriately.</w:t>
      </w:r>
    </w:p>
    <w:p w14:paraId="7B82A56F"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Claims handling and settlement efficiency.</w:t>
      </w:r>
      <w:r w:rsidRPr="006327FE">
        <w:rPr>
          <w:rFonts w:ascii="Times New Roman" w:eastAsia="Times New Roman" w:hAnsi="Times New Roman" w:cs="Times New Roman"/>
          <w:sz w:val="24"/>
          <w:szCs w:val="24"/>
        </w:rPr>
        <w:br/>
        <w:t>Claims are where operational efficiency and customer experience converge. Rooted analyzes your claims workflow—from first notice of loss to settlement—to find inefficiencies. Are adjusters spending too much time on administrative tasks? Are vendor management processes creating delays? Is communication with policyholders and claimants unclear? We redesign processes to reduce cycle time, improve consistency, and create better experiences while maintaining appropriate loss control.</w:t>
      </w:r>
    </w:p>
    <w:p w14:paraId="5E118451"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New business quoting and binding.</w:t>
      </w:r>
      <w:r w:rsidRPr="006327FE">
        <w:rPr>
          <w:rFonts w:ascii="Times New Roman" w:eastAsia="Times New Roman" w:hAnsi="Times New Roman" w:cs="Times New Roman"/>
          <w:sz w:val="24"/>
          <w:szCs w:val="24"/>
        </w:rPr>
        <w:br/>
        <w:t>Speed matters in P&amp;C distribution. If quoting takes too long, agents and customers go elsewhere. Rooted maps your quoting and binding workflows to identify delays. Are rating engines slow? Are underwriting referrals creating bottlenecks? Is policy issuance manual when it could be automated? We redesign processes to accelerate quoting, reduce underwriting touches for straightforward risks, and improve agent satisfaction.</w:t>
      </w:r>
    </w:p>
    <w:p w14:paraId="610DEDF7"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Catastrophe claims surge response.</w:t>
      </w:r>
      <w:r w:rsidRPr="006327FE">
        <w:rPr>
          <w:rFonts w:ascii="Times New Roman" w:eastAsia="Times New Roman" w:hAnsi="Times New Roman" w:cs="Times New Roman"/>
          <w:sz w:val="24"/>
          <w:szCs w:val="24"/>
        </w:rPr>
        <w:br/>
        <w:t xml:space="preserve">When catastrophes hit, claims volume spikes. Rooted helps you design surge response processes that are efficient and scalable. We map current-state response protocols, identify gaps in coordination and communication, and redesign workflows to handle high-volume claims </w:t>
      </w:r>
      <w:r w:rsidRPr="006327FE">
        <w:rPr>
          <w:rFonts w:ascii="Times New Roman" w:eastAsia="Times New Roman" w:hAnsi="Times New Roman" w:cs="Times New Roman"/>
          <w:sz w:val="24"/>
          <w:szCs w:val="24"/>
        </w:rPr>
        <w:lastRenderedPageBreak/>
        <w:t>effectively. This includes independent adjuster onboarding, field coordination, vendor management, and policyholder communication. When the next event hits, your team executes efficiently because the processes are clear and practiced.</w:t>
      </w:r>
    </w:p>
    <w:p w14:paraId="6E6F1510" w14:textId="77777777" w:rsidR="006327FE" w:rsidRPr="006327FE" w:rsidRDefault="006327FE" w:rsidP="00CB0F92">
      <w:pPr>
        <w:spacing w:before="100" w:beforeAutospacing="1" w:after="100" w:afterAutospacing="1" w:line="360" w:lineRule="auto"/>
        <w:outlineLvl w:val="2"/>
        <w:rPr>
          <w:rFonts w:ascii="Times New Roman" w:eastAsia="Times New Roman" w:hAnsi="Times New Roman" w:cs="Times New Roman"/>
          <w:b/>
          <w:bCs/>
          <w:sz w:val="27"/>
          <w:szCs w:val="27"/>
        </w:rPr>
      </w:pPr>
      <w:r w:rsidRPr="006327FE">
        <w:rPr>
          <w:rFonts w:ascii="Times New Roman" w:eastAsia="Times New Roman" w:hAnsi="Times New Roman" w:cs="Times New Roman"/>
          <w:b/>
          <w:bCs/>
          <w:sz w:val="27"/>
          <w:szCs w:val="27"/>
        </w:rPr>
        <w:t>Organizational Development &amp; Effectiveness: Build a Stronger Foundation</w:t>
      </w:r>
    </w:p>
    <w:p w14:paraId="3687FC14"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i/>
          <w:iCs/>
          <w:sz w:val="24"/>
          <w:szCs w:val="24"/>
        </w:rPr>
        <w:t>Structure, strategy, culture, and leadership alignment</w:t>
      </w:r>
    </w:p>
    <w:p w14:paraId="19DE4916"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Organizational Development &amp; Effectiveness (OD&amp;E) is about aligning structure, strategy, and culture so your P&amp;C carrier can execute at a high level. For P&amp;C leaders, OD&amp;E addresses fundamental questions: Is our operating model efficient? Do we have the right leadership pipeline? Are we building a culture that supports our strategy?</w:t>
      </w:r>
    </w:p>
    <w:p w14:paraId="7FA67ED8"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Rooted's OD&amp;E services help P&amp;C carriers build sustainable, high-performing organizations.</w:t>
      </w:r>
    </w:p>
    <w:p w14:paraId="315D2AF7"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Operating model redesign for efficiency and agility.</w:t>
      </w:r>
      <w:r w:rsidRPr="006327FE">
        <w:rPr>
          <w:rFonts w:ascii="Times New Roman" w:eastAsia="Times New Roman" w:hAnsi="Times New Roman" w:cs="Times New Roman"/>
          <w:sz w:val="24"/>
          <w:szCs w:val="24"/>
        </w:rPr>
        <w:br/>
        <w:t>Many P&amp;C carriers are organized by geography or line of business with functional silos. This structure made sense historically, but it creates friction in today's environment. Cross-functional collaboration is slow. Decision-making is bureaucratic. Customer and agent needs fall through the cracks. Rooted works with leadership teams to evaluate alternative models—such as centralized shared services, product-line structures, or matrix organizations—that balance local presence with operational efficiency. We help you design structures that support your strategy, then guide implementation so restructuring doesn't create chaos.</w:t>
      </w:r>
    </w:p>
    <w:p w14:paraId="5E46215E"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Leadership development and succession planning.</w:t>
      </w:r>
      <w:r w:rsidRPr="006327FE">
        <w:rPr>
          <w:rFonts w:ascii="Times New Roman" w:eastAsia="Times New Roman" w:hAnsi="Times New Roman" w:cs="Times New Roman"/>
          <w:sz w:val="24"/>
          <w:szCs w:val="24"/>
        </w:rPr>
        <w:br/>
        <w:t>P&amp;C has a leadership pipeline challenge. Experienced underwriters, claims leaders, and actuaries are retiring, and there aren't enough prepared successors. Rooted uses ONA to identify emerging leaders—people who already have influence and credibility, even if they're not in formal leadership roles. We design development programs that build strategic and operational capabilities, and we help you create succession plans that include coaching, mentoring, and thoughtful transitions.</w:t>
      </w:r>
    </w:p>
    <w:p w14:paraId="437AF29B"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lastRenderedPageBreak/>
        <w:t>Post-merger operating model integration.</w:t>
      </w:r>
      <w:r w:rsidRPr="006327FE">
        <w:rPr>
          <w:rFonts w:ascii="Times New Roman" w:eastAsia="Times New Roman" w:hAnsi="Times New Roman" w:cs="Times New Roman"/>
          <w:sz w:val="24"/>
          <w:szCs w:val="24"/>
        </w:rPr>
        <w:br/>
        <w:t>After an acquisition, you need to decide which teams, processes, and systems to keep, which to retire, and which to blend. Rooted facilitates operating model design sessions where leadership defines the future state: how should underwriting work? How should claims be structured? What shared services make sense? We help you make these decisions based on data (what's working) and strategy (where you're going), then build implementation roadmaps that sequence changes logically.</w:t>
      </w:r>
    </w:p>
    <w:p w14:paraId="5EBA0DE2"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Culture and values alignment.</w:t>
      </w:r>
      <w:r w:rsidRPr="006327FE">
        <w:rPr>
          <w:rFonts w:ascii="Times New Roman" w:eastAsia="Times New Roman" w:hAnsi="Times New Roman" w:cs="Times New Roman"/>
          <w:sz w:val="24"/>
          <w:szCs w:val="24"/>
        </w:rPr>
        <w:br/>
        <w:t>Culture drives behavior, and behavior drives results. If your stated values are "underwriting discipline" but your incentives reward premium growth over profitability, there's a disconnect. Rooted helps leadership teams define authentic values that reflect the carrier you're building, then translate those values into tangible behaviors and decision-making criteria. We work with managers to embed culture into hiring, performance management, and daily leadership, so it becomes how you operate—not just what you say.</w:t>
      </w:r>
    </w:p>
    <w:p w14:paraId="22B36E52" w14:textId="77777777" w:rsidR="006327FE" w:rsidRPr="006327FE" w:rsidRDefault="006327FE" w:rsidP="00CB0F92">
      <w:pPr>
        <w:spacing w:before="100" w:beforeAutospacing="1" w:after="100" w:afterAutospacing="1" w:line="360" w:lineRule="auto"/>
        <w:outlineLvl w:val="1"/>
        <w:rPr>
          <w:rFonts w:ascii="Times New Roman" w:eastAsia="Times New Roman" w:hAnsi="Times New Roman" w:cs="Times New Roman"/>
          <w:b/>
          <w:bCs/>
          <w:sz w:val="36"/>
          <w:szCs w:val="36"/>
        </w:rPr>
      </w:pPr>
      <w:r w:rsidRPr="006327FE">
        <w:rPr>
          <w:rFonts w:ascii="Times New Roman" w:eastAsia="Times New Roman" w:hAnsi="Times New Roman" w:cs="Times New Roman"/>
          <w:b/>
          <w:bCs/>
          <w:sz w:val="36"/>
          <w:szCs w:val="36"/>
        </w:rPr>
        <w:t>Why Mid-Market P&amp;C Carriers Work With Rooted</w:t>
      </w:r>
    </w:p>
    <w:p w14:paraId="589C03BF"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i/>
          <w:iCs/>
          <w:sz w:val="24"/>
          <w:szCs w:val="24"/>
        </w:rPr>
        <w:t>Key differentiators and value proposition</w:t>
      </w:r>
    </w:p>
    <w:p w14:paraId="7448ACEC"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You get senior advisors, not junior analysts.</w:t>
      </w:r>
      <w:r w:rsidRPr="006327FE">
        <w:rPr>
          <w:rFonts w:ascii="Times New Roman" w:eastAsia="Times New Roman" w:hAnsi="Times New Roman" w:cs="Times New Roman"/>
          <w:sz w:val="24"/>
          <w:szCs w:val="24"/>
        </w:rPr>
        <w:br/>
        <w:t>When you engage Rooted, you work directly with experienced consultants who understand P&amp;C operations, catastrophe management, and regulatory environments. We don't staff projects with recent graduates. Our team includes advisors with backgrounds in organizational psychology, operations, and change leadership—people who've solved problems like yours before. You get strategic thinking and hands-on execution from day one.</w:t>
      </w:r>
    </w:p>
    <w:p w14:paraId="231EC136"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We move faster than the Big 5.</w:t>
      </w:r>
      <w:r w:rsidRPr="006327FE">
        <w:rPr>
          <w:rFonts w:ascii="Times New Roman" w:eastAsia="Times New Roman" w:hAnsi="Times New Roman" w:cs="Times New Roman"/>
          <w:sz w:val="24"/>
          <w:szCs w:val="24"/>
        </w:rPr>
        <w:br/>
        <w:t xml:space="preserve">Big consulting firms love multi-year transformation programs with governance structures, stage gates, and extensive documentation. Sometimes that's necessary. Often, it's not. Rooted operates with agility. We scope projects to deliver value quickly—maybe a 90-day ONA diagnostic or a </w:t>
      </w:r>
      <w:r w:rsidRPr="006327FE">
        <w:rPr>
          <w:rFonts w:ascii="Times New Roman" w:eastAsia="Times New Roman" w:hAnsi="Times New Roman" w:cs="Times New Roman"/>
          <w:sz w:val="24"/>
          <w:szCs w:val="24"/>
        </w:rPr>
        <w:lastRenderedPageBreak/>
        <w:t>focused process redesign that shows results in six months. We're not trying to sell you a multi-year engagement. We're trying to solve your problem.</w:t>
      </w:r>
    </w:p>
    <w:p w14:paraId="6DE7089C"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We're priced for mid-market realities.</w:t>
      </w:r>
      <w:r w:rsidRPr="006327FE">
        <w:rPr>
          <w:rFonts w:ascii="Times New Roman" w:eastAsia="Times New Roman" w:hAnsi="Times New Roman" w:cs="Times New Roman"/>
          <w:sz w:val="24"/>
          <w:szCs w:val="24"/>
        </w:rPr>
        <w:br/>
        <w:t>A Big 5 engagement can cost millions before you see results. That's out of reach for regional carriers and specialty insurers. Rooted offers the same caliber of expertise at pricing that makes sense for your business. We're transparent about costs, we scope projects realistically, and we deliver ROI you can measure.</w:t>
      </w:r>
    </w:p>
    <w:p w14:paraId="53423A43"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We understand P&amp;C operations and market dynamics.</w:t>
      </w:r>
      <w:r w:rsidRPr="006327FE">
        <w:rPr>
          <w:rFonts w:ascii="Times New Roman" w:eastAsia="Times New Roman" w:hAnsi="Times New Roman" w:cs="Times New Roman"/>
          <w:sz w:val="24"/>
          <w:szCs w:val="24"/>
        </w:rPr>
        <w:br/>
        <w:t>Underwriting discipline. Catastrophe modeling. Reinsurance structures. Claims management. Rate filings. We've worked in and with P&amp;C carriers, and we speak your language. You don't have to explain why combined ratios matter or why catastrophe response is challenging. We get it, and we design solutions that fit your reality—not some consultant's idealized vision.</w:t>
      </w:r>
    </w:p>
    <w:p w14:paraId="2EC20444"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We're independent.</w:t>
      </w:r>
      <w:r w:rsidRPr="006327FE">
        <w:rPr>
          <w:rFonts w:ascii="Times New Roman" w:eastAsia="Times New Roman" w:hAnsi="Times New Roman" w:cs="Times New Roman"/>
          <w:sz w:val="24"/>
          <w:szCs w:val="24"/>
        </w:rPr>
        <w:br/>
        <w:t>We don't sell software. We're not pushing a proprietary platform or trying to upsell IT services. Our only agenda is helping you improve organizational performance. If your problem requires better processes, we'll redesign processes. If it requires culture work, we'll do that. We recommend what you need—not what we sell.</w:t>
      </w:r>
    </w:p>
    <w:p w14:paraId="642A7C11" w14:textId="77777777" w:rsidR="006327FE" w:rsidRPr="006327FE" w:rsidRDefault="006327FE" w:rsidP="00CB0F92">
      <w:pPr>
        <w:spacing w:before="100" w:beforeAutospacing="1" w:after="100" w:afterAutospacing="1" w:line="360" w:lineRule="auto"/>
        <w:outlineLvl w:val="1"/>
        <w:rPr>
          <w:rFonts w:ascii="Times New Roman" w:eastAsia="Times New Roman" w:hAnsi="Times New Roman" w:cs="Times New Roman"/>
          <w:b/>
          <w:bCs/>
          <w:sz w:val="36"/>
          <w:szCs w:val="36"/>
        </w:rPr>
      </w:pPr>
      <w:r w:rsidRPr="006327FE">
        <w:rPr>
          <w:rFonts w:ascii="Times New Roman" w:eastAsia="Times New Roman" w:hAnsi="Times New Roman" w:cs="Times New Roman"/>
          <w:b/>
          <w:bCs/>
          <w:sz w:val="36"/>
          <w:szCs w:val="36"/>
        </w:rPr>
        <w:t>Common Scenarios Where Rooted Adds Value</w:t>
      </w:r>
    </w:p>
    <w:p w14:paraId="4CE6906F"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i/>
          <w:iCs/>
          <w:sz w:val="24"/>
          <w:szCs w:val="24"/>
        </w:rPr>
        <w:t>Practical applications and client outcomes</w:t>
      </w:r>
    </w:p>
    <w:p w14:paraId="443FE09E"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Scenario: Claims handling is inconsistent across regional offices, and loss adjustment expenses are high.</w:t>
      </w:r>
      <w:r w:rsidRPr="006327FE">
        <w:rPr>
          <w:rFonts w:ascii="Times New Roman" w:eastAsia="Times New Roman" w:hAnsi="Times New Roman" w:cs="Times New Roman"/>
          <w:sz w:val="24"/>
          <w:szCs w:val="24"/>
        </w:rPr>
        <w:br/>
        <w:t xml:space="preserve">A regional P&amp;C carrier with operations in eight states is experiencing wide variation in claims handling. Some offices settle claims quickly with low expenses; others have long cycle times and high loss adjustment expenses (LAE). The Chief Claims Officer knows performance should be more consistent but doesn't know where to start. Rooted maps claims workflows across all regions, shadowing adjusters and analyzing data. The analysis reveals that high-performing offices use standardized triage protocols and empower adjusters to settle straightforward claims </w:t>
      </w:r>
      <w:r w:rsidRPr="006327FE">
        <w:rPr>
          <w:rFonts w:ascii="Times New Roman" w:eastAsia="Times New Roman" w:hAnsi="Times New Roman" w:cs="Times New Roman"/>
          <w:sz w:val="24"/>
          <w:szCs w:val="24"/>
        </w:rPr>
        <w:lastRenderedPageBreak/>
        <w:t>quickly, while struggling offices require excessive approvals and lack clear guidance on vendor management. Rooted redesigns the claims process: implement standardized triage and settlement authority guidelines, create vendor management protocols, and provide targeted training to struggling offices. After implementation, average claims cycle time drops by 28%, LAE decreases by 18%, and customer satisfaction improves.</w:t>
      </w:r>
    </w:p>
    <w:p w14:paraId="6198F59F"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Scenario: A new underwriting workbench has low adoption, and underwriters are frustrated.</w:t>
      </w:r>
      <w:r w:rsidRPr="006327FE">
        <w:rPr>
          <w:rFonts w:ascii="Times New Roman" w:eastAsia="Times New Roman" w:hAnsi="Times New Roman" w:cs="Times New Roman"/>
          <w:sz w:val="24"/>
          <w:szCs w:val="24"/>
        </w:rPr>
        <w:br/>
        <w:t>A commercial lines carrier invested $6M in a modern underwriting workbench designed to improve efficiency and risk selection. Twelve months post-launch, adoption among underwriters is at 35%, and many are still using spreadsheets and legacy systems. Leadership is frustrated—the system works, so why aren't people using it? Rooted conducts discovery interviews and an ONA of the underwriting team. The analysis reveals that senior underwriters (who have the most influence) find the workbench slower than their existing process for routine submissions and lacking key functionality they need. They've told junior underwriters to "just use the old way." Rooted designs a targeted change program: bring influential underwriters into a feedback group to address functionality gaps, create streamlined workflows for common submission types, and identify early adopters as champions. Within five months, adoption rises to 80%, and underwriting turnaround time improves by 15%.</w:t>
      </w:r>
    </w:p>
    <w:p w14:paraId="4413C800"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Scenario: Two carriers merged, but integration has stalled 20 months later.</w:t>
      </w:r>
      <w:r w:rsidRPr="006327FE">
        <w:rPr>
          <w:rFonts w:ascii="Times New Roman" w:eastAsia="Times New Roman" w:hAnsi="Times New Roman" w:cs="Times New Roman"/>
          <w:sz w:val="24"/>
          <w:szCs w:val="24"/>
        </w:rPr>
        <w:br/>
        <w:t>A commercial lines carrier acquired a specialty insurer to expand product offerings. The deal closed 20 months ago, but integration is slow. Systems remain separate, duplicate roles exist in underwriting and claims, and cultural friction is visible. The CEO needs to accelerate progress. Rooted maps the current state: we conduct ONA to understand informal networks in both organizations, facilitate leadership alignment sessions to define the future operating model, and build a phased integration roadmap. We prioritize quick wins (consolidating underwriting guidelines, aligning claims protocols) while sequencing complex changes (policy administration migration, product rationalization) realistically. Twelve months later, cost synergies are on track, employee engagement has improved, and the combined carrier is operating as one organization.</w:t>
      </w:r>
    </w:p>
    <w:p w14:paraId="45EC8FC7"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lastRenderedPageBreak/>
        <w:t>Scenario: Catastrophe response is inefficient, and policyholder complaints spike after events.</w:t>
      </w:r>
      <w:r w:rsidRPr="006327FE">
        <w:rPr>
          <w:rFonts w:ascii="Times New Roman" w:eastAsia="Times New Roman" w:hAnsi="Times New Roman" w:cs="Times New Roman"/>
          <w:sz w:val="24"/>
          <w:szCs w:val="24"/>
        </w:rPr>
        <w:br/>
        <w:t>A personal lines carrier with exposure in hurricane-prone states struggles with catastrophe response. After each event, claims volume overwhelms adjusters, independent adjuster onboarding is chaotic, and policyholder complaints spike due to slow response. The Chief Operating Officer knows response needs to improve but isn't sure how to build surge capacity effectively. Rooted conducts a catastrophe response assessment: we review past events, interview claims leadership and adjusters, and analyze response data. The analysis reveals that independent adjuster onboarding takes too long, coordination between field and office is unclear, and policyholder communication is inconsistent. Rooted redesigns the catastrophe response process: create pre-event contracts with independent adjusting firms, develop standardized onboarding protocols, implement field coordination technology, and design policyholder communication templates. We facilitate tabletop exercises so teams practice the new protocols. After the next hurricane, claims handling efficiency improves by 40%, policyholder complaints decrease by 55%, and employee stress is more manageable.</w:t>
      </w:r>
    </w:p>
    <w:p w14:paraId="1F548EBA" w14:textId="77777777" w:rsidR="006327FE" w:rsidRPr="006327FE" w:rsidRDefault="006327FE" w:rsidP="00CB0F92">
      <w:pPr>
        <w:spacing w:before="100" w:beforeAutospacing="1" w:after="100" w:afterAutospacing="1" w:line="360" w:lineRule="auto"/>
        <w:outlineLvl w:val="1"/>
        <w:rPr>
          <w:rFonts w:ascii="Times New Roman" w:eastAsia="Times New Roman" w:hAnsi="Times New Roman" w:cs="Times New Roman"/>
          <w:b/>
          <w:bCs/>
          <w:sz w:val="36"/>
          <w:szCs w:val="36"/>
        </w:rPr>
      </w:pPr>
      <w:r w:rsidRPr="006327FE">
        <w:rPr>
          <w:rFonts w:ascii="Times New Roman" w:eastAsia="Times New Roman" w:hAnsi="Times New Roman" w:cs="Times New Roman"/>
          <w:b/>
          <w:bCs/>
          <w:sz w:val="36"/>
          <w:szCs w:val="36"/>
        </w:rPr>
        <w:t>Let's Talk About What's Next</w:t>
      </w:r>
    </w:p>
    <w:p w14:paraId="09F42959"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If you're leading a property and casualty carrier and dealing with operational inefficiency, catastrophe response challenges, integration complexity, or change management needs, Rooted can help. We're not here to sell you a transformation roadmap that sits on a shelf. We're here to understand your specific challenges and design solutions that work for your organization.</w:t>
      </w:r>
    </w:p>
    <w:p w14:paraId="76E30283"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Let's start a conversation.</w:t>
      </w:r>
    </w:p>
    <w:p w14:paraId="7DE44ADB" w14:textId="77777777" w:rsidR="006327FE" w:rsidRPr="006327FE" w:rsidRDefault="002E1441" w:rsidP="00CB0F92">
      <w:pPr>
        <w:spacing w:after="0" w:line="360" w:lineRule="auto"/>
        <w:rPr>
          <w:rFonts w:ascii="Times New Roman" w:eastAsia="Times New Roman" w:hAnsi="Times New Roman" w:cs="Times New Roman"/>
          <w:sz w:val="24"/>
          <w:szCs w:val="24"/>
        </w:rPr>
      </w:pPr>
      <w:r w:rsidRPr="002E1441">
        <w:rPr>
          <w:rFonts w:ascii="Times New Roman" w:eastAsia="Times New Roman" w:hAnsi="Times New Roman" w:cs="Times New Roman"/>
          <w:noProof/>
          <w:sz w:val="24"/>
          <w:szCs w:val="24"/>
        </w:rPr>
        <w:pict w14:anchorId="37801677">
          <v:rect id="_x0000_i1026" alt="" style="width:468pt;height:.05pt;mso-width-percent:0;mso-height-percent:0;mso-width-percent:0;mso-height-percent:0" o:hralign="center" o:hrstd="t" o:hr="t" fillcolor="#a0a0a0" stroked="f"/>
        </w:pict>
      </w:r>
    </w:p>
    <w:p w14:paraId="3A18A9B9"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Sources:</w:t>
      </w:r>
    </w:p>
    <w:p w14:paraId="5F33E2EA" w14:textId="77777777" w:rsidR="006327FE" w:rsidRPr="006327FE" w:rsidRDefault="006327FE" w:rsidP="00CB0F92">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 xml:space="preserve">Insurance Journal. (2025, September 4). </w:t>
      </w:r>
      <w:r w:rsidRPr="006327FE">
        <w:rPr>
          <w:rFonts w:ascii="Times New Roman" w:eastAsia="Times New Roman" w:hAnsi="Times New Roman" w:cs="Times New Roman"/>
          <w:i/>
          <w:iCs/>
          <w:sz w:val="24"/>
          <w:szCs w:val="24"/>
        </w:rPr>
        <w:t>The U.S. property/casualty insurance industry recorded a net underwriting gain of $11.5 billion and net income of $49.1 billion for the first-half of 2025</w:t>
      </w:r>
      <w:r w:rsidRPr="006327FE">
        <w:rPr>
          <w:rFonts w:ascii="Times New Roman" w:eastAsia="Times New Roman" w:hAnsi="Times New Roman" w:cs="Times New Roman"/>
          <w:sz w:val="24"/>
          <w:szCs w:val="24"/>
        </w:rPr>
        <w:t xml:space="preserve">. </w:t>
      </w:r>
      <w:hyperlink r:id="rId5" w:history="1">
        <w:r w:rsidRPr="006327FE">
          <w:rPr>
            <w:rFonts w:ascii="Times New Roman" w:eastAsia="Times New Roman" w:hAnsi="Times New Roman" w:cs="Times New Roman"/>
            <w:color w:val="0000FF"/>
            <w:sz w:val="24"/>
            <w:szCs w:val="24"/>
            <w:u w:val="single"/>
          </w:rPr>
          <w:t>https://www.insurancejournal.com/property-casualty</w:t>
        </w:r>
      </w:hyperlink>
    </w:p>
    <w:p w14:paraId="64951A80" w14:textId="77777777" w:rsidR="006327FE" w:rsidRPr="006327FE" w:rsidRDefault="006327FE" w:rsidP="00CB0F92">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lastRenderedPageBreak/>
        <w:t xml:space="preserve">IMA Financial Group. (2025, April 22). </w:t>
      </w:r>
      <w:r w:rsidRPr="006327FE">
        <w:rPr>
          <w:rFonts w:ascii="Times New Roman" w:eastAsia="Times New Roman" w:hAnsi="Times New Roman" w:cs="Times New Roman"/>
          <w:i/>
          <w:iCs/>
          <w:sz w:val="24"/>
          <w:szCs w:val="24"/>
        </w:rPr>
        <w:t>Property &amp; Casualty Markets In Focus Q1 2025</w:t>
      </w:r>
      <w:r w:rsidRPr="006327FE">
        <w:rPr>
          <w:rFonts w:ascii="Times New Roman" w:eastAsia="Times New Roman" w:hAnsi="Times New Roman" w:cs="Times New Roman"/>
          <w:sz w:val="24"/>
          <w:szCs w:val="24"/>
        </w:rPr>
        <w:t xml:space="preserve">. </w:t>
      </w:r>
      <w:hyperlink r:id="rId6" w:history="1">
        <w:r w:rsidRPr="006327FE">
          <w:rPr>
            <w:rFonts w:ascii="Times New Roman" w:eastAsia="Times New Roman" w:hAnsi="Times New Roman" w:cs="Times New Roman"/>
            <w:color w:val="0000FF"/>
            <w:sz w:val="24"/>
            <w:szCs w:val="24"/>
            <w:u w:val="single"/>
          </w:rPr>
          <w:t>https://imacorp.com/insights/property-casualty-markets-in-focus-q1-2025</w:t>
        </w:r>
      </w:hyperlink>
    </w:p>
    <w:p w14:paraId="47268521" w14:textId="77777777" w:rsidR="006327FE" w:rsidRPr="006327FE" w:rsidRDefault="006327FE" w:rsidP="00CB0F92">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 xml:space="preserve">Woodruff Sawyer. (2025). </w:t>
      </w:r>
      <w:r w:rsidRPr="006327FE">
        <w:rPr>
          <w:rFonts w:ascii="Times New Roman" w:eastAsia="Times New Roman" w:hAnsi="Times New Roman" w:cs="Times New Roman"/>
          <w:i/>
          <w:iCs/>
          <w:sz w:val="24"/>
          <w:szCs w:val="24"/>
        </w:rPr>
        <w:t>P&amp;C Looking Ahead Guide for 2025</w:t>
      </w:r>
      <w:r w:rsidRPr="006327FE">
        <w:rPr>
          <w:rFonts w:ascii="Times New Roman" w:eastAsia="Times New Roman" w:hAnsi="Times New Roman" w:cs="Times New Roman"/>
          <w:sz w:val="24"/>
          <w:szCs w:val="24"/>
        </w:rPr>
        <w:t xml:space="preserve">. </w:t>
      </w:r>
      <w:hyperlink r:id="rId7" w:history="1">
        <w:r w:rsidRPr="006327FE">
          <w:rPr>
            <w:rFonts w:ascii="Times New Roman" w:eastAsia="Times New Roman" w:hAnsi="Times New Roman" w:cs="Times New Roman"/>
            <w:color w:val="0000FF"/>
            <w:sz w:val="24"/>
            <w:szCs w:val="24"/>
            <w:u w:val="single"/>
          </w:rPr>
          <w:t>https://woodruffsawyer.com/insights/property-casualty-looking-ahead-guide</w:t>
        </w:r>
      </w:hyperlink>
    </w:p>
    <w:p w14:paraId="2BCE1AA8" w14:textId="77777777" w:rsidR="006327FE" w:rsidRPr="006327FE" w:rsidRDefault="006327FE" w:rsidP="00CB0F92">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 xml:space="preserve">IMA Financial Group. (2025, April 22). </w:t>
      </w:r>
      <w:r w:rsidRPr="006327FE">
        <w:rPr>
          <w:rFonts w:ascii="Times New Roman" w:eastAsia="Times New Roman" w:hAnsi="Times New Roman" w:cs="Times New Roman"/>
          <w:i/>
          <w:iCs/>
          <w:sz w:val="24"/>
          <w:szCs w:val="24"/>
        </w:rPr>
        <w:t>Property &amp; Casualty Markets In Focus Q1 2025</w:t>
      </w:r>
      <w:r w:rsidRPr="006327FE">
        <w:rPr>
          <w:rFonts w:ascii="Times New Roman" w:eastAsia="Times New Roman" w:hAnsi="Times New Roman" w:cs="Times New Roman"/>
          <w:sz w:val="24"/>
          <w:szCs w:val="24"/>
        </w:rPr>
        <w:t xml:space="preserve">. </w:t>
      </w:r>
      <w:hyperlink r:id="rId8" w:history="1">
        <w:r w:rsidRPr="006327FE">
          <w:rPr>
            <w:rFonts w:ascii="Times New Roman" w:eastAsia="Times New Roman" w:hAnsi="Times New Roman" w:cs="Times New Roman"/>
            <w:color w:val="0000FF"/>
            <w:sz w:val="24"/>
            <w:szCs w:val="24"/>
            <w:u w:val="single"/>
          </w:rPr>
          <w:t>https://imacorp.com/insights/property-casualty-markets-in-focus-q1-2025</w:t>
        </w:r>
      </w:hyperlink>
    </w:p>
    <w:p w14:paraId="1CE16671" w14:textId="77777777" w:rsidR="006327FE" w:rsidRPr="006327FE" w:rsidRDefault="006327FE" w:rsidP="00CB0F92">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 xml:space="preserve">Woodruff Sawyer. (2025). </w:t>
      </w:r>
      <w:r w:rsidRPr="006327FE">
        <w:rPr>
          <w:rFonts w:ascii="Times New Roman" w:eastAsia="Times New Roman" w:hAnsi="Times New Roman" w:cs="Times New Roman"/>
          <w:i/>
          <w:iCs/>
          <w:sz w:val="24"/>
          <w:szCs w:val="24"/>
        </w:rPr>
        <w:t>P&amp;C Looking Ahead Guide for 2025</w:t>
      </w:r>
      <w:r w:rsidRPr="006327FE">
        <w:rPr>
          <w:rFonts w:ascii="Times New Roman" w:eastAsia="Times New Roman" w:hAnsi="Times New Roman" w:cs="Times New Roman"/>
          <w:sz w:val="24"/>
          <w:szCs w:val="24"/>
        </w:rPr>
        <w:t xml:space="preserve">. </w:t>
      </w:r>
      <w:hyperlink r:id="rId9" w:history="1">
        <w:r w:rsidRPr="006327FE">
          <w:rPr>
            <w:rFonts w:ascii="Times New Roman" w:eastAsia="Times New Roman" w:hAnsi="Times New Roman" w:cs="Times New Roman"/>
            <w:color w:val="0000FF"/>
            <w:sz w:val="24"/>
            <w:szCs w:val="24"/>
            <w:u w:val="single"/>
          </w:rPr>
          <w:t>https://woodruffsawyer.com/insights/property-casualty-looking-ahead-guide</w:t>
        </w:r>
      </w:hyperlink>
    </w:p>
    <w:p w14:paraId="0E23B480" w14:textId="77777777" w:rsidR="006327FE" w:rsidRPr="006327FE" w:rsidRDefault="002E1441" w:rsidP="00CB0F92">
      <w:pPr>
        <w:spacing w:after="0" w:line="360" w:lineRule="auto"/>
        <w:rPr>
          <w:rFonts w:ascii="Times New Roman" w:eastAsia="Times New Roman" w:hAnsi="Times New Roman" w:cs="Times New Roman"/>
          <w:sz w:val="24"/>
          <w:szCs w:val="24"/>
        </w:rPr>
      </w:pPr>
      <w:r w:rsidRPr="002E1441">
        <w:rPr>
          <w:rFonts w:ascii="Times New Roman" w:eastAsia="Times New Roman" w:hAnsi="Times New Roman" w:cs="Times New Roman"/>
          <w:noProof/>
          <w:sz w:val="24"/>
          <w:szCs w:val="24"/>
        </w:rPr>
        <w:pict w14:anchorId="2EF57E5A">
          <v:rect id="_x0000_i1025" alt="" style="width:468pt;height:.05pt;mso-width-percent:0;mso-height-percent:0;mso-width-percent:0;mso-height-percent:0" o:hralign="center" o:hrstd="t" o:hr="t" fillcolor="#a0a0a0" stroked="f"/>
        </w:pict>
      </w:r>
    </w:p>
    <w:p w14:paraId="0AD055DD" w14:textId="77777777" w:rsidR="006327FE" w:rsidRPr="006327FE" w:rsidRDefault="006327FE" w:rsidP="00CB0F92">
      <w:p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b/>
          <w:bCs/>
          <w:sz w:val="24"/>
          <w:szCs w:val="24"/>
        </w:rPr>
        <w:t>SEO Keywords &amp; Semantic Terms Used:</w:t>
      </w:r>
    </w:p>
    <w:p w14:paraId="757ABE12" w14:textId="77777777" w:rsidR="006327FE" w:rsidRPr="006327FE" w:rsidRDefault="006327FE" w:rsidP="00CB0F92">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Property casualty insurance consulting</w:t>
      </w:r>
    </w:p>
    <w:p w14:paraId="00DAC0FD" w14:textId="77777777" w:rsidR="006327FE" w:rsidRPr="006327FE" w:rsidRDefault="006327FE" w:rsidP="00CB0F92">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P&amp;C carrier operations optimization</w:t>
      </w:r>
    </w:p>
    <w:p w14:paraId="632A548B" w14:textId="77777777" w:rsidR="006327FE" w:rsidRPr="006327FE" w:rsidRDefault="006327FE" w:rsidP="00CB0F92">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Commercial lines insurance advisory</w:t>
      </w:r>
    </w:p>
    <w:p w14:paraId="69FA3FE5" w14:textId="77777777" w:rsidR="006327FE" w:rsidRPr="006327FE" w:rsidRDefault="006327FE" w:rsidP="00CB0F92">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Personal lines insurance consulting</w:t>
      </w:r>
    </w:p>
    <w:p w14:paraId="407232F8" w14:textId="77777777" w:rsidR="006327FE" w:rsidRPr="006327FE" w:rsidRDefault="006327FE" w:rsidP="00CB0F92">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Insurance underwriting process improvement</w:t>
      </w:r>
    </w:p>
    <w:p w14:paraId="781A3AD1" w14:textId="77777777" w:rsidR="006327FE" w:rsidRPr="006327FE" w:rsidRDefault="006327FE" w:rsidP="00CB0F92">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Claims handling optimization</w:t>
      </w:r>
    </w:p>
    <w:p w14:paraId="214F6541" w14:textId="77777777" w:rsidR="006327FE" w:rsidRPr="006327FE" w:rsidRDefault="006327FE" w:rsidP="00CB0F92">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Catastrophe response planning</w:t>
      </w:r>
    </w:p>
    <w:p w14:paraId="7DEC35B7" w14:textId="77777777" w:rsidR="006327FE" w:rsidRPr="006327FE" w:rsidRDefault="006327FE" w:rsidP="00CB0F92">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Insurance merger integration</w:t>
      </w:r>
    </w:p>
    <w:p w14:paraId="69D5BC24" w14:textId="77777777" w:rsidR="006327FE" w:rsidRPr="006327FE" w:rsidRDefault="006327FE" w:rsidP="00CB0F92">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P&amp;C organizational development</w:t>
      </w:r>
    </w:p>
    <w:p w14:paraId="479FAB49" w14:textId="77777777" w:rsidR="006327FE" w:rsidRPr="006327FE" w:rsidRDefault="006327FE" w:rsidP="00CB0F92">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Insurance change management</w:t>
      </w:r>
    </w:p>
    <w:p w14:paraId="537AF32C" w14:textId="77777777" w:rsidR="006327FE" w:rsidRPr="006327FE" w:rsidRDefault="006327FE" w:rsidP="00CB0F92">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Underwriting efficiency improvement</w:t>
      </w:r>
    </w:p>
    <w:p w14:paraId="2ECFCF27" w14:textId="77777777" w:rsidR="006327FE" w:rsidRPr="006327FE" w:rsidRDefault="006327FE" w:rsidP="00CB0F92">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Claims operations consulting</w:t>
      </w:r>
    </w:p>
    <w:p w14:paraId="754AE1C8" w14:textId="77777777" w:rsidR="006327FE" w:rsidRPr="006327FE" w:rsidRDefault="006327FE" w:rsidP="00CB0F92">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Regional insurance carrier advisory</w:t>
      </w:r>
    </w:p>
    <w:p w14:paraId="54C4B4F5" w14:textId="77777777" w:rsidR="006327FE" w:rsidRPr="006327FE" w:rsidRDefault="006327FE" w:rsidP="00CB0F92">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Mid-market P&amp;C consulting</w:t>
      </w:r>
    </w:p>
    <w:p w14:paraId="195F0C39" w14:textId="77777777" w:rsidR="006327FE" w:rsidRPr="006327FE" w:rsidRDefault="006327FE" w:rsidP="00CB0F92">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6327FE">
        <w:rPr>
          <w:rFonts w:ascii="Times New Roman" w:eastAsia="Times New Roman" w:hAnsi="Times New Roman" w:cs="Times New Roman"/>
          <w:sz w:val="24"/>
          <w:szCs w:val="24"/>
        </w:rPr>
        <w:t>Insurance operational efficiency</w:t>
      </w:r>
    </w:p>
    <w:p w14:paraId="74B8FFA4" w14:textId="77777777" w:rsidR="005114B4" w:rsidRDefault="005114B4" w:rsidP="00CB0F92">
      <w:pPr>
        <w:spacing w:line="360" w:lineRule="auto"/>
      </w:pPr>
    </w:p>
    <w:sectPr w:rsidR="005114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ngie Sans Std">
    <w:panose1 w:val="02010504040101020102"/>
    <w:charset w:val="00"/>
    <w:family w:val="auto"/>
    <w:notTrueType/>
    <w:pitch w:val="variable"/>
    <w:sig w:usb0="A00000EF" w:usb1="5000606B" w:usb2="00000000" w:usb3="00000000" w:csb0="00000093"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ngie Sans Std Demi">
    <w:panose1 w:val="02010704040101020102"/>
    <w:charset w:val="00"/>
    <w:family w:val="auto"/>
    <w:notTrueType/>
    <w:pitch w:val="variable"/>
    <w:sig w:usb0="A00000EF" w:usb1="5000606B" w:usb2="00000000" w:usb3="00000000" w:csb0="00000093" w:csb1="00000000"/>
  </w:font>
  <w:font w:name="Times New Roman (Headings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B4DE9"/>
    <w:multiLevelType w:val="multilevel"/>
    <w:tmpl w:val="66E2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CEE1C2B"/>
    <w:multiLevelType w:val="multilevel"/>
    <w:tmpl w:val="9C96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8233575">
    <w:abstractNumId w:val="0"/>
  </w:num>
  <w:num w:numId="2" w16cid:durableId="401370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7FE"/>
    <w:rsid w:val="00125CEE"/>
    <w:rsid w:val="0023645A"/>
    <w:rsid w:val="002D1BA6"/>
    <w:rsid w:val="002E1441"/>
    <w:rsid w:val="005114B4"/>
    <w:rsid w:val="00534A85"/>
    <w:rsid w:val="00616C0B"/>
    <w:rsid w:val="006327FE"/>
    <w:rsid w:val="00773819"/>
    <w:rsid w:val="00B156BB"/>
    <w:rsid w:val="00CA069C"/>
    <w:rsid w:val="00CB0F92"/>
    <w:rsid w:val="00CF52E9"/>
    <w:rsid w:val="00CF5BF1"/>
    <w:rsid w:val="00E23931"/>
    <w:rsid w:val="00E769E1"/>
    <w:rsid w:val="00F14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AB230"/>
  <w15:chartTrackingRefBased/>
  <w15:docId w15:val="{62546112-108D-DB46-A091-0BA1E9CF2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ngie Sans Std" w:eastAsiaTheme="minorHAnsi" w:hAnsi="Angie Sans Std" w:cs="Times New Roman (Body CS)"/>
        <w:sz w:val="21"/>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645A"/>
    <w:rPr>
      <w:rFonts w:asciiTheme="minorHAnsi" w:hAnsiTheme="minorHAnsi"/>
    </w:rPr>
  </w:style>
  <w:style w:type="paragraph" w:styleId="Heading1">
    <w:name w:val="heading 1"/>
    <w:basedOn w:val="Normal"/>
    <w:next w:val="Normal"/>
    <w:link w:val="Heading1Char"/>
    <w:autoRedefine/>
    <w:uiPriority w:val="9"/>
    <w:qFormat/>
    <w:rsid w:val="0023645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645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6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645A"/>
    <w:pPr>
      <w:keepNext/>
      <w:keepLines/>
      <w:spacing w:before="80" w:after="40"/>
      <w:outlineLvl w:val="3"/>
    </w:pPr>
    <w:rPr>
      <w:rFonts w:ascii="Angie Sans Std Demi" w:eastAsiaTheme="majorEastAsia" w:hAnsi="Angie Sans Std Demi" w:cstheme="majorBidi"/>
      <w:b/>
      <w:i/>
      <w:iCs/>
      <w:color w:val="0F4761" w:themeColor="accent1" w:themeShade="BF"/>
      <w:sz w:val="24"/>
    </w:rPr>
  </w:style>
  <w:style w:type="paragraph" w:styleId="Heading5">
    <w:name w:val="heading 5"/>
    <w:basedOn w:val="Normal"/>
    <w:next w:val="Normal"/>
    <w:link w:val="Heading5Char"/>
    <w:uiPriority w:val="9"/>
    <w:unhideWhenUsed/>
    <w:qFormat/>
    <w:rsid w:val="0023645A"/>
    <w:pPr>
      <w:keepNext/>
      <w:keepLines/>
      <w:spacing w:before="80" w:after="40"/>
      <w:outlineLvl w:val="4"/>
    </w:pPr>
    <w:rPr>
      <w:rFonts w:eastAsiaTheme="majorEastAsia" w:cstheme="majorBidi"/>
      <w:color w:val="0F4761" w:themeColor="accent1" w:themeShade="BF"/>
      <w:sz w:val="22"/>
    </w:rPr>
  </w:style>
  <w:style w:type="paragraph" w:styleId="Heading6">
    <w:name w:val="heading 6"/>
    <w:basedOn w:val="Normal"/>
    <w:next w:val="Normal"/>
    <w:link w:val="Heading6Char"/>
    <w:uiPriority w:val="9"/>
    <w:semiHidden/>
    <w:unhideWhenUsed/>
    <w:qFormat/>
    <w:rsid w:val="002364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4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4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4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rsid w:val="0023645A"/>
    <w:pPr>
      <w:spacing w:after="120"/>
    </w:pPr>
  </w:style>
  <w:style w:type="character" w:customStyle="1" w:styleId="BodyTextChar">
    <w:name w:val="Body Text Char"/>
    <w:basedOn w:val="DefaultParagraphFont"/>
    <w:link w:val="BodyText"/>
    <w:uiPriority w:val="99"/>
    <w:rsid w:val="0023645A"/>
    <w:rPr>
      <w:rFonts w:asciiTheme="minorHAnsi" w:hAnsiTheme="minorHAnsi"/>
      <w:b w:val="0"/>
      <w:i w:val="0"/>
      <w:sz w:val="22"/>
    </w:rPr>
  </w:style>
  <w:style w:type="character" w:customStyle="1" w:styleId="Heading1Char">
    <w:name w:val="Heading 1 Char"/>
    <w:basedOn w:val="DefaultParagraphFont"/>
    <w:link w:val="Heading1"/>
    <w:uiPriority w:val="9"/>
    <w:rsid w:val="0023645A"/>
    <w:rPr>
      <w:rFonts w:asciiTheme="minorHAnsi" w:eastAsiaTheme="majorEastAsia" w:hAnsiTheme="minorHAnsi" w:cstheme="majorBidi"/>
      <w:b w:val="0"/>
      <w:i w:val="0"/>
      <w:color w:val="0F4761" w:themeColor="accent1" w:themeShade="BF"/>
      <w:sz w:val="40"/>
      <w:szCs w:val="40"/>
    </w:rPr>
  </w:style>
  <w:style w:type="character" w:customStyle="1" w:styleId="Heading2Char">
    <w:name w:val="Heading 2 Char"/>
    <w:basedOn w:val="DefaultParagraphFont"/>
    <w:link w:val="Heading2"/>
    <w:uiPriority w:val="9"/>
    <w:rsid w:val="0023645A"/>
    <w:rPr>
      <w:rFonts w:asciiTheme="minorHAnsi" w:eastAsiaTheme="majorEastAsia" w:hAnsiTheme="minorHAnsi" w:cstheme="majorBidi"/>
      <w:b w:val="0"/>
      <w:i w:val="0"/>
      <w:color w:val="0F4761" w:themeColor="accent1" w:themeShade="BF"/>
      <w:sz w:val="32"/>
      <w:szCs w:val="32"/>
    </w:rPr>
  </w:style>
  <w:style w:type="character" w:customStyle="1" w:styleId="Heading3Char">
    <w:name w:val="Heading 3 Char"/>
    <w:basedOn w:val="DefaultParagraphFont"/>
    <w:link w:val="Heading3"/>
    <w:uiPriority w:val="9"/>
    <w:rsid w:val="0023645A"/>
    <w:rPr>
      <w:rFonts w:asciiTheme="minorHAnsi" w:eastAsiaTheme="majorEastAsia" w:hAnsiTheme="minorHAnsi" w:cstheme="majorBidi"/>
      <w:b w:val="0"/>
      <w:i w:val="0"/>
      <w:color w:val="0F4761" w:themeColor="accent1" w:themeShade="BF"/>
      <w:sz w:val="28"/>
      <w:szCs w:val="28"/>
    </w:rPr>
  </w:style>
  <w:style w:type="character" w:customStyle="1" w:styleId="Heading4Char">
    <w:name w:val="Heading 4 Char"/>
    <w:basedOn w:val="DefaultParagraphFont"/>
    <w:link w:val="Heading4"/>
    <w:uiPriority w:val="9"/>
    <w:rsid w:val="0023645A"/>
    <w:rPr>
      <w:rFonts w:ascii="Angie Sans Std Demi" w:eastAsiaTheme="majorEastAsia" w:hAnsi="Angie Sans Std Demi" w:cstheme="majorBidi"/>
      <w:b/>
      <w:i/>
      <w:iCs/>
      <w:color w:val="0F4761" w:themeColor="accent1" w:themeShade="BF"/>
      <w:sz w:val="24"/>
    </w:rPr>
  </w:style>
  <w:style w:type="character" w:customStyle="1" w:styleId="Heading5Char">
    <w:name w:val="Heading 5 Char"/>
    <w:basedOn w:val="DefaultParagraphFont"/>
    <w:link w:val="Heading5"/>
    <w:uiPriority w:val="9"/>
    <w:rsid w:val="0023645A"/>
    <w:rPr>
      <w:rFonts w:asciiTheme="minorHAnsi" w:eastAsiaTheme="majorEastAsia" w:hAnsiTheme="minorHAnsi" w:cstheme="majorBidi"/>
      <w:b w:val="0"/>
      <w:i w:val="0"/>
      <w:color w:val="0F4761" w:themeColor="accent1" w:themeShade="BF"/>
      <w:sz w:val="22"/>
    </w:rPr>
  </w:style>
  <w:style w:type="character" w:customStyle="1" w:styleId="Heading6Char">
    <w:name w:val="Heading 6 Char"/>
    <w:basedOn w:val="DefaultParagraphFont"/>
    <w:link w:val="Heading6"/>
    <w:uiPriority w:val="9"/>
    <w:semiHidden/>
    <w:rsid w:val="0023645A"/>
    <w:rPr>
      <w:rFonts w:asciiTheme="minorHAnsi" w:eastAsiaTheme="majorEastAsia" w:hAnsiTheme="minorHAnsi" w:cstheme="majorBidi"/>
      <w:b w:val="0"/>
      <w:i/>
      <w:iCs/>
      <w:color w:val="595959" w:themeColor="text1" w:themeTint="A6"/>
      <w:sz w:val="22"/>
    </w:rPr>
  </w:style>
  <w:style w:type="character" w:customStyle="1" w:styleId="Heading7Char">
    <w:name w:val="Heading 7 Char"/>
    <w:basedOn w:val="DefaultParagraphFont"/>
    <w:link w:val="Heading7"/>
    <w:uiPriority w:val="9"/>
    <w:semiHidden/>
    <w:rsid w:val="0023645A"/>
    <w:rPr>
      <w:rFonts w:asciiTheme="minorHAnsi" w:eastAsiaTheme="majorEastAsia" w:hAnsiTheme="minorHAnsi" w:cstheme="majorBidi"/>
      <w:b w:val="0"/>
      <w:i w:val="0"/>
      <w:color w:val="595959" w:themeColor="text1" w:themeTint="A6"/>
      <w:sz w:val="22"/>
    </w:rPr>
  </w:style>
  <w:style w:type="character" w:customStyle="1" w:styleId="Heading8Char">
    <w:name w:val="Heading 8 Char"/>
    <w:basedOn w:val="DefaultParagraphFont"/>
    <w:link w:val="Heading8"/>
    <w:uiPriority w:val="9"/>
    <w:semiHidden/>
    <w:rsid w:val="0023645A"/>
    <w:rPr>
      <w:rFonts w:asciiTheme="minorHAnsi" w:eastAsiaTheme="majorEastAsia" w:hAnsiTheme="minorHAnsi" w:cstheme="majorBidi"/>
      <w:b w:val="0"/>
      <w:i/>
      <w:iCs/>
      <w:color w:val="272727" w:themeColor="text1" w:themeTint="D8"/>
      <w:sz w:val="22"/>
    </w:rPr>
  </w:style>
  <w:style w:type="character" w:customStyle="1" w:styleId="Heading9Char">
    <w:name w:val="Heading 9 Char"/>
    <w:basedOn w:val="DefaultParagraphFont"/>
    <w:link w:val="Heading9"/>
    <w:uiPriority w:val="9"/>
    <w:semiHidden/>
    <w:rsid w:val="0023645A"/>
    <w:rPr>
      <w:rFonts w:asciiTheme="minorHAnsi" w:eastAsiaTheme="majorEastAsia" w:hAnsiTheme="minorHAnsi" w:cstheme="majorBidi"/>
      <w:b w:val="0"/>
      <w:i w:val="0"/>
      <w:color w:val="272727" w:themeColor="text1" w:themeTint="D8"/>
      <w:sz w:val="22"/>
    </w:rPr>
  </w:style>
  <w:style w:type="paragraph" w:styleId="Title">
    <w:name w:val="Title"/>
    <w:basedOn w:val="Normal"/>
    <w:next w:val="Normal"/>
    <w:link w:val="TitleChar"/>
    <w:autoRedefine/>
    <w:uiPriority w:val="10"/>
    <w:qFormat/>
    <w:rsid w:val="0023645A"/>
    <w:pPr>
      <w:spacing w:after="80"/>
      <w:contextualSpacing/>
    </w:pPr>
    <w:rPr>
      <w:rFonts w:eastAsiaTheme="majorEastAsia" w:cs="Times New Roman (Headings CS)"/>
      <w:spacing w:val="-10"/>
      <w:kern w:val="28"/>
      <w:sz w:val="56"/>
      <w:szCs w:val="56"/>
    </w:rPr>
  </w:style>
  <w:style w:type="character" w:customStyle="1" w:styleId="TitleChar">
    <w:name w:val="Title Char"/>
    <w:basedOn w:val="DefaultParagraphFont"/>
    <w:link w:val="Title"/>
    <w:uiPriority w:val="10"/>
    <w:rsid w:val="0023645A"/>
    <w:rPr>
      <w:rFonts w:asciiTheme="minorHAnsi" w:eastAsiaTheme="majorEastAsia" w:hAnsiTheme="minorHAnsi" w:cs="Times New Roman (Headings CS)"/>
      <w:b w:val="0"/>
      <w:i w:val="0"/>
      <w:spacing w:val="-10"/>
      <w:kern w:val="28"/>
      <w:sz w:val="56"/>
      <w:szCs w:val="56"/>
    </w:rPr>
  </w:style>
  <w:style w:type="paragraph" w:styleId="Subtitle">
    <w:name w:val="Subtitle"/>
    <w:basedOn w:val="Normal"/>
    <w:next w:val="Normal"/>
    <w:link w:val="SubtitleChar"/>
    <w:uiPriority w:val="11"/>
    <w:qFormat/>
    <w:rsid w:val="00236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45A"/>
    <w:rPr>
      <w:rFonts w:asciiTheme="minorHAnsi" w:eastAsiaTheme="majorEastAsia" w:hAnsiTheme="minorHAnsi" w:cstheme="majorBidi"/>
      <w:b w:val="0"/>
      <w:i w:val="0"/>
      <w:color w:val="595959" w:themeColor="text1" w:themeTint="A6"/>
      <w:spacing w:val="15"/>
      <w:sz w:val="28"/>
      <w:szCs w:val="28"/>
    </w:rPr>
  </w:style>
  <w:style w:type="character" w:styleId="Strong">
    <w:name w:val="Strong"/>
    <w:basedOn w:val="DefaultParagraphFont"/>
    <w:uiPriority w:val="22"/>
    <w:qFormat/>
    <w:rsid w:val="0023645A"/>
    <w:rPr>
      <w:rFonts w:asciiTheme="minorHAnsi" w:hAnsiTheme="minorHAnsi"/>
      <w:b/>
      <w:bCs/>
      <w:i w:val="0"/>
      <w:sz w:val="22"/>
    </w:rPr>
  </w:style>
  <w:style w:type="character" w:styleId="Emphasis">
    <w:name w:val="Emphasis"/>
    <w:basedOn w:val="DefaultParagraphFont"/>
    <w:uiPriority w:val="20"/>
    <w:qFormat/>
    <w:rsid w:val="0023645A"/>
    <w:rPr>
      <w:rFonts w:asciiTheme="minorHAnsi" w:hAnsiTheme="minorHAnsi"/>
      <w:b w:val="0"/>
      <w:i/>
      <w:iCs/>
      <w:sz w:val="22"/>
    </w:rPr>
  </w:style>
  <w:style w:type="paragraph" w:styleId="NoSpacing">
    <w:name w:val="No Spacing"/>
    <w:basedOn w:val="Normal"/>
    <w:uiPriority w:val="1"/>
    <w:qFormat/>
    <w:rsid w:val="0023645A"/>
  </w:style>
  <w:style w:type="paragraph" w:styleId="ListParagraph">
    <w:name w:val="List Paragraph"/>
    <w:basedOn w:val="Normal"/>
    <w:uiPriority w:val="34"/>
    <w:qFormat/>
    <w:rsid w:val="0023645A"/>
    <w:pPr>
      <w:ind w:left="720"/>
      <w:contextualSpacing/>
    </w:pPr>
  </w:style>
  <w:style w:type="paragraph" w:styleId="Quote">
    <w:name w:val="Quote"/>
    <w:basedOn w:val="Normal"/>
    <w:next w:val="Normal"/>
    <w:link w:val="QuoteChar"/>
    <w:uiPriority w:val="29"/>
    <w:qFormat/>
    <w:rsid w:val="0023645A"/>
    <w:pPr>
      <w:spacing w:before="160"/>
      <w:jc w:val="center"/>
    </w:pPr>
    <w:rPr>
      <w:i/>
      <w:iCs/>
      <w:color w:val="404040" w:themeColor="text1" w:themeTint="BF"/>
    </w:rPr>
  </w:style>
  <w:style w:type="character" w:customStyle="1" w:styleId="QuoteChar">
    <w:name w:val="Quote Char"/>
    <w:basedOn w:val="DefaultParagraphFont"/>
    <w:link w:val="Quote"/>
    <w:uiPriority w:val="29"/>
    <w:rsid w:val="0023645A"/>
    <w:rPr>
      <w:rFonts w:asciiTheme="minorHAnsi" w:hAnsiTheme="minorHAnsi"/>
      <w:b w:val="0"/>
      <w:i/>
      <w:iCs/>
      <w:color w:val="404040" w:themeColor="text1" w:themeTint="BF"/>
      <w:sz w:val="22"/>
    </w:rPr>
  </w:style>
  <w:style w:type="paragraph" w:styleId="IntenseQuote">
    <w:name w:val="Intense Quote"/>
    <w:basedOn w:val="Normal"/>
    <w:next w:val="Normal"/>
    <w:link w:val="IntenseQuoteChar"/>
    <w:uiPriority w:val="30"/>
    <w:qFormat/>
    <w:rsid w:val="00236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45A"/>
    <w:rPr>
      <w:rFonts w:asciiTheme="minorHAnsi" w:hAnsiTheme="minorHAnsi"/>
      <w:b w:val="0"/>
      <w:i/>
      <w:iCs/>
      <w:color w:val="0F4761" w:themeColor="accent1" w:themeShade="BF"/>
      <w:sz w:val="22"/>
    </w:rPr>
  </w:style>
  <w:style w:type="character" w:styleId="IntenseEmphasis">
    <w:name w:val="Intense Emphasis"/>
    <w:basedOn w:val="DefaultParagraphFont"/>
    <w:uiPriority w:val="21"/>
    <w:qFormat/>
    <w:rsid w:val="0023645A"/>
    <w:rPr>
      <w:rFonts w:asciiTheme="minorHAnsi" w:hAnsiTheme="minorHAnsi"/>
      <w:b w:val="0"/>
      <w:i/>
      <w:iCs/>
      <w:color w:val="0F4761" w:themeColor="accent1" w:themeShade="BF"/>
      <w:sz w:val="22"/>
    </w:rPr>
  </w:style>
  <w:style w:type="character" w:styleId="IntenseReference">
    <w:name w:val="Intense Reference"/>
    <w:basedOn w:val="DefaultParagraphFont"/>
    <w:uiPriority w:val="32"/>
    <w:qFormat/>
    <w:rsid w:val="0023645A"/>
    <w:rPr>
      <w:rFonts w:asciiTheme="minorHAnsi" w:hAnsiTheme="minorHAnsi"/>
      <w:b/>
      <w:bCs/>
      <w:i w:val="0"/>
      <w:smallCaps/>
      <w:color w:val="0F4761" w:themeColor="accent1" w:themeShade="BF"/>
      <w:spacing w:val="5"/>
      <w:sz w:val="22"/>
    </w:rPr>
  </w:style>
  <w:style w:type="paragraph" w:customStyle="1" w:styleId="whitespace-normal">
    <w:name w:val="whitespace-normal"/>
    <w:basedOn w:val="Normal"/>
    <w:rsid w:val="006327F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327F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acorp.com/insights/property-casualty-markets-in-focus-q1-2025" TargetMode="External"/><Relationship Id="rId3" Type="http://schemas.openxmlformats.org/officeDocument/2006/relationships/settings" Target="settings.xml"/><Relationship Id="rId7" Type="http://schemas.openxmlformats.org/officeDocument/2006/relationships/hyperlink" Target="https://woodruffsawyer.com/insights/property-casualty-looking-ahead-gui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macorp.com/insights/property-casualty-markets-in-focus-q1-2025" TargetMode="External"/><Relationship Id="rId11" Type="http://schemas.openxmlformats.org/officeDocument/2006/relationships/theme" Target="theme/theme1.xml"/><Relationship Id="rId5" Type="http://schemas.openxmlformats.org/officeDocument/2006/relationships/hyperlink" Target="https://www.insurancejournal.com/property-casualty"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oodruffsawyer.com/insights/property-casualty-looking-ahead-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4282</Words>
  <Characters>24413</Characters>
  <Application>Microsoft Office Word</Application>
  <DocSecurity>0</DocSecurity>
  <Lines>203</Lines>
  <Paragraphs>57</Paragraphs>
  <ScaleCrop>false</ScaleCrop>
  <Company/>
  <LinksUpToDate>false</LinksUpToDate>
  <CharactersWithSpaces>28638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Nate Attalla</dc:creator>
  <cp:keywords/>
  <dc:description/>
  <cp:lastModifiedBy>Nate Attalla</cp:lastModifiedBy>
  <cp:revision>2</cp:revision>
  <dcterms:created xsi:type="dcterms:W3CDTF">2025-10-22T18:23:00Z</dcterms:created>
  <dcterms:modified xsi:type="dcterms:W3CDTF">2025-10-22T18:25:00Z</dcterms:modified>
</cp:coreProperties>
</file>