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สัญญาข้อกำหนดและเงื่อนไขเงินกู้</w:t>
      </w:r>
    </w:p>
    <w:p>
      <w:pPr/>
      <w:r>
        <w:rPr/>
        <w:t xml:space="preserve">สัญญาข้อกำหนดและเงื่อนไขเงินกู้ฉบับนี้ </w:t>
      </w:r>
      <w:r>
        <w:rPr>
          <w:b w:val="1"/>
          <w:bCs w:val="1"/>
        </w:rPr>
        <w:t xml:space="preserve">("สัญญาฯ")</w:t>
      </w:r>
      <w:r>
        <w:rPr/>
        <w:t xml:space="preserve"> ทำขึ้นในวันที่ 22 ธันวาคม 2566 โดยและระหว่าง</w:t>
      </w:r>
    </w:p>
    <w:p>
      <w:pPr>
        <w:jc w:val="start"/>
      </w:pPr>
      <w:r>
        <w:rPr/>
        <w:t xml:space="preserve">ก.	</w:t>
      </w:r>
      <w:r>
        <w:rPr>
          <w:b w:val="1"/>
          <w:bCs w:val="1"/>
        </w:rPr>
        <w:t xml:space="preserve">บริษัท สยาม เซย์ซอน จำกัด</w:t>
      </w:r>
      <w:r>
        <w:rPr/>
        <w:t xml:space="preserve"> บริษัทจัดตั้งขึ้นภายใต้กฎหมายของประเทศไทย โดยมีสำนักงานใหญ่ตามทะเบียนตั้งอยู่ที่ เลขที่ 1 ถนนปูนซิเมนต์ไทย แขวงบางซื่อ เขตบางซื่อ กรุงเทพมหานคร (ต่อไปในสัญญาฯ เรียกว่า “บริษัทฯ” ) และ</w:t>
      </w:r>
    </w:p>
    <w:p>
      <w:pPr>
        <w:jc w:val="both"/>
      </w:pPr>
      <w:r>
        <w:rPr/>
        <w:t xml:space="preserve"> ข.	</w:t>
      </w:r>
      <w:r>
        <w:rPr>
          <w:b w:val="1"/>
          <w:bCs w:val="1"/>
        </w:rPr>
        <w:t xml:space="preserve">บริษัท เมทัล คอปเปอร์ จำกัด</w:t>
      </w:r>
      <w:r>
        <w:rPr/>
        <w:t xml:space="preserve"> บริษัทจัดตั้งขึ้นภายใต้กฎหมายของประเทศไทย โดยมีสำนักงานใหญ่ </w:t>
      </w:r>
    </w:p>
    <w:p>
      <w:pPr/>
      <w:r>
        <w:rPr/>
        <w:t xml:space="preserve">        เลขที่ 666 ถนนสุวินทวงศ์ แขวงแสนแสบ เขตมีนบุรี กรุงเทพมหานคร (ต่อไปในสัญญาฯ เรียกว่า “ผู้กู้”)        โดยที่ ผู้กู้ประสงค์จะกู้ยืมเงินจากบริษัทฯ และบริษัทฯ ประสงค์ที่จะให้ผู้กู้กู้ยืมเงิน โดยผู้กู้ตกลงที่จะชำระเงินกู้คืนทั้งหมดให้แก่บริษัทฯ ภายในระยะเวลาที่กำหนดไว้ ดังนั้น ผู้กู้และบริษัทฯ จึงประสงค์ที่จะเข้าทำสัญญาฯ ฉบับนี้เพื่อตกลงข้อกำหนดและเงื่อนไขในการกู้ยืมเงินอันมีสาระสำคัญดังต่อไปนี้        1.	คำนิยาม        1.1	คำต่อไปนี้ให้มีความหมายดังต่อไปนี้ เว้นแต่จะระบุไว้เป็นอย่างอื่น        “เงินกู้” หมายถึง เงินที่บริษัทฯ ให้ผู้กู้ยืมภายใต้การกู้ในแต่ละครั้ง        “ดอกเบี้ยเงินกู้” หมายถึง ดอกเบี้ยของเงินกู้ในอัตราที่บริษัทฯ กำหนดสำหรับเงินกู้ภายใต้การเบิกใช้เงินกู้นั้น ๆ        “วันเวลาทำการ” หมายถึง ช่วงเวลาเริ่มตั้งแต่ 8 นาฬิกา 30 นาที ถึง 17 นาฬิกา 30 นาที ของทุกวันจันทร์ถึงวันศุกร์ยกเว้นวันหยุดราชการและวันหยุดนักขัตฤกษ์        “ค่าธรรมเนียม Roll Over” หมายถึง ค่าธรรมเนียมเงินกู้ที่บริษัทฯ เรียกเก็บจากผู้กู้ในกรณีที่ผู้กู้ประสงค์จะยกยอดเงินกู้คงค้างเดิมเพื่อไปทำสัญญาข้อกำหนดและเงื่อนไขเงินกู้ฉบับใหม่นอกเหนือจากสัญญาฯฉบับนี้ ทั้งนี้บริษัทฯ มีสิทธิที่จะอนุมัติหรือปฏิเสธความประสงค์ดังกล่าวของผู้กู้ได้ตามที่บริษัทฯเห็นสมควร        2.	ข้อตกลงทั่วไปเกี่ยวกับเงินกู้        2.1.	บริษัทฯ ตกลงให้ผู้กู้ยืมเงินกู้ และผู้กู้ตกลงยืมเงินกู้จากบริษัทฯ เป็นจำนวนเงินที่ได้ระบุไว้ในเอกสารแนบท้ายสัญญาฯฉบับนี้ ทั้งนี้บริษัทฯ มีสิทธิที่จะอนุมัติหรือปฏิเสธการให้เงินกู้ของผู้กู้ ตามที่บริษัทฯ เห็นสมควรได้        2.2.	บริษัทฯจะทำการโอนเงินกู้ให้แก่ผู้กู้ภายในวันตามที่ได้ระบุไว้ในเอกสารแนบท้ายสัญญาฯฉบับนี้                        3.	ระยะเวลาชำระเงินกู้        บริษัทฯ เป็นผู้กำหนดระยะเวลาในการชำระเงินกู้ และผู้กู้ตกลงที่จะชำระเงินกู้คืนทั้งหมดให้แก่บริษัทฯภายในระยะเวลาดังกล่าว รายละเอียดตามที่ระบุในเอกสารแนบท้ายสัญญาฯฉบับนี้        4.	วิธีการโอนเงินกู้        ผู้กู้ตกลงให้บริษัทฯ ทำการโอนเงินผ่านระบบเข้าบัญชีและภายในกำหนดระยะเวลาที่ได้กำหนด โดยผู้กู้ขอรับรองและรับผิดชอบตามที่บริษัทฯ ได้ดำเนินการตามประสงค์ของผู้กู้ดังกล่าวข้างต้นทุกประการ ทั้งนี้ให้ถือว่าผู้กู้ได้รับเงินแล้วอย่างครบถ้วนตามรายละเอียดบัญชี จำนวนและวันที่ได้ระบุในเอกสารแนบท้ายสัญญาฯฉบับนี้        5.	ดอกเบี้ยเงินกู้        5.1.	ผู้กู้ตกลงชำระดอกเบี้ยเงินกู้ตามอัตราที่บริษัทฯ กำหนดไว้ในเอกสารแนบท้ายสัญญาฯฉบับนี้          5.2.	การคำนวณดอกเบี้ยเงินกู้ให้คำนวณด้วยวิธีการคำนวณแบบลดต้นลดดอก (effective rate)        6.	เบี้ยปรับ         ในกรณีที่ผู้กู้ผิดนัดชำระหนี้หรือชำระหนี้ไม่ถูกต้อง ผู้กู้ตกลงชำระเบี้ยปรับให้แก่บริษัทฯ ในอัตราร้อยละ 5 ต่อปีนับตั้งแต่วันที่ผู้กู้ผิดนัดชำระหนี้หรือชำระหนี้ไม่ถูกต้องจนกว่าจะชำระหนี้ให้แก่บริษัทฯจนหมดสิ้น ทั้งนี้เพื่อให้ปราศจากข้อสงสัย เบี้ยปรับภายใต้ข้อสัญญานี้ให้แยกจากดอกเบี้ยผิดนัดในกรณีที่ผู้กู้ผิดนัดชำระหนี้        7.	ค่าธรรมเนียมและค่าใช้จ่าย        7.1.	ผู้กู้ตกลงชำระค่าธรรมเนียม Roll Over (หากมี) ให้แก่บริษัทฯ ตามอัตราร้อยละ 0.5 ของยอดเงินกู้ที่ยังคงค้างอยู่        7.2.	ผู้กู้ตกลงรับผิดชอบค่าใช้จ่ายและภาระทางภาษีทั้งหมดที่เกิดขึ้นจากหรือเกี่ยวเนื่องกับเงินกู้ ซึ่งรวมถึงแต่ไม่จำกัดเพียงค่าอากรแสตมป์        8.	วิธีการชำระเงินกู้        ในการชำระเงินกู้ ผู้กู้จะต้องชำระเงินกู้ให้แก่บริษัทฯ ในวันครบกำหนดชำระเงินตามจำนวนที่ได้ระบุไว้ในเอกสารแนบท้ายสัญญาฯฉบับนี้ โดยโอนเงินเข้าบัญชีตามรายละเอียดบัญชีที่ได้ระบุไว้ในเอกสารแนบท้ายสัญญาฯฉบับนี้                        9.	การเปลี่ยนแปลงข้อมูล        ในกรณีที่ผู้กู้ได้ทำการเปลี่ยนแปลงข้อมูลเกี่ยวกับที่อยู่ ผู้ติดต่อ ที่อยู่ของผู้ติดต่อ กรรมการผู้มีอำนาจ หมายเลขโทรศัพท์ อีเมล หรือข้อมูลสำคัญอื่นใดที่บริษัทฯจำต้องรับทราบเพื่อใช้ในการติดต่อผู้กู้ได้นั้น ผู้กู้จะต้องแจ้งให้แก่บริษัทฯทราบถึงการเปลี่ยนแปลงข้อมูลดังกล่าวภายใน 3 วันนับแต่ได้ทำการเปลี่ยนแปลงดังกล่าว        10.	การเร่งให้ชำระหนี้ทันที        หากมีกรณีใดดังต่อไปนี้เกิดขึ้นกับผู้กู้ ผู้กู้จะสูญเสียสิทธิในเงื่อนเวลาแห่งการชำระเงินทั้งหมดอย่างหลีกเลี่ยงไม่ได้ และผู้กู้จะต้องชำระเงินกู้ทั้งหมดคืนให้แก่บริษัทฯ ให้ครบถ้วนทันที        (ก)	หากไม่มีการชำระดอกเบี้ยหรือชำระดอกเบี้ยอย่างไม่ถูกต้องตามจำนวนและภายในระยะเวลาที่ระบุไว้ในเอกสารแนบท้ายสัญญาฯฉบับนี้        (ข)	หากไม่มีการชำระเงินตามตั๋วสัญญาใช้เงินหรือเช็คที่ออกโดยผู้กู้ต่อบริษัทฯหรือเจ้าหนี้รายอื่นของผู้กู้ หรือมีการระงับการชำระเงินตามตั๋วสัญญาใช้เงินหรือเช็คดังกล่าว        (ค)	หากมีการยึดทรัพย์ ยึดทรัพย์ชั่วคราว พิทักษ์ทรัพย์ หรือมีคำสั่งห้ามชั่วคราว หรือมีการลงโทษสำหรับการชำระเงินล่าช้า         (ง)	หากมีคำสั่งให้ผู้กู้ หรือบุคคลอื่นที่เกี่ยวข้องล้มละลาย ฟื้นฟูกิจการ ชำระบัญชี หรือปรับโครงสร้างบริษัทฯ         (จ)	หากผู้กู้ไม่สามารถชำระหนี้ของตนต่อบริษัทฯหรือเจ้าหนี้รายอื่นของผู้กู้ได้โดยทั่วไป เมื่อหนี้นั้นถึงกำหนดชำระ        (ฉ)	หากมีการบอกเลิกสัญญาอื่นที่ได้มีการทำระหว่างบริษัทฯ และผู้กู้        (ช)         ความน่าเชื่อถือของผู้กู้ลดลง        (ซ)	หากผู้กู้ละเลยที่จะแจ้งถึงการเปลี่ยนแปลงข้อมูลตามที่ได้ระบุไว้ในข้อ 9 แห่งสัญญาฯฉบับนี้แก่บริษัทฯ        (ฌ)	หากมีเหตุอันควรที่บริษัทฯ คาดเห็นได้ว่ามีความเป็นไปได้ที่จะเกิดเหตุใดเหตุหนึ่งดังที่ระบุไว้ข้างต้นในข้อ (ก) ถึง (ช)        11.	เบ็ดเตล็ด        11.1.	มิให้ถือว่าข้อความใด ๆ ในสัญญาฯ นี้เป็นการเข้าทำกิจการร่วมค้า การเข้าเป็นหุ้นส่วน หรือการเข้ารวมกลุ่มในรูปแบบใด ๆ และไม่มีคู่สัญญาใดมีอำนาจในการกระทำการเป็นผู้แทนหรือตัวการของคู่สัญญาอีกฝ่ายหนึ่ง         11.2.	ให้สัญญาฯ นี้ผูกพันและเป็นประโยชน์แก่คู่สัญญาทั้งสองฝ่าย ผู้สืบสิทธิ และผู้รับโอนสิทธิของคู่สัญญานั้น ๆ ไม่มีข้อสัญญาใดในสัญญาฯ นี้ ไม่ว่าโดยชัดแจ้งหรือโดยปริยาย ที่ถือว่าเป็นการให้สิทธิ ประโยชน์ หรือสิทธิในการเยียวยาแก้ไขแก่บุคคลหรือนิติบุคคลใด ๆ ภายใต้หรือโดยเหตุแห่งสัญญาฯ นี้        11.3.	การแก้ไข เพิ่มเติม ยกเลิก หรือเปลี่ยนแปลงใดของสัญญาฯ นี้ย่อมไม่มีผล เว้นแต่จะได้ทำเป็นลายลักษณ์อักษรและลงนามโดยคู่สัญญาทั้งหลาย พร้อมทั้งประทับตราสำคัญของบริษัทฯ (หากมีข้อกำหนด) ไว้        11.4.	การที่บริษัทฯ ไม่ได้ใช้สิทธิหรือล่าช้าในการใช้สิทธิหรือการเยียวยาแก้ไขใด ๆ จะไม่มีผลเป็นการสละสิทธิใด ๆ หรือสิทธิที่จะได้รับการเยียวยาแก้ไขตามกฎหมายหรือตามสัญญาฯ ฉบับนี้ อีกทั้งการใช้สิทธิหรือสิทธิในการเยียวยาแก้ไขดังกล่าวครั้งหนึ่งหรือเพียงบางส่วน ไม่ถือเป็นการจำกัดมิให้ใช้สิทธิต่อไปหรือมิให้ใช้สิทธิโดยทางอื่น หรือมิให้ใช้สิทธิอื่นหรือการเยียวยาแก้ไขอื่นได้อีก        11.5.	ในกรณีที่สัญญาฯ ฉบับนี้ทำขึ้นเป็นทั้งภาษาไทยและภาษาอังกฤษ เมื่อมีข้อแตกต่างหรือข้อซึ่งขัดหรือแย้งกัน ให้ยึดถือเอาสัญญาฯ ฉบับภาษาไทยเป็นหลักในการตีความสัญญาฯ ฉบับนี้        11.6.	สัญญาฯ ฉบับนี้ และเอกสารผนวกแนบท้ายสัญญา ตารางรายการ และเอกสารแนบท้ายต่าง ๆ ซึ่งอ้างถึงไว้ในสัญญาฯ ฉบับนี้ให้ประกอบเป็นข้อตกลงทั้งหมดและความเข้าใจเกี่ยวกับเรื่องนี้ระหว่างคู่สัญญา        11.7.	เงื่อนไขและข้อสัญญาที่ได้ระบุไว้ในแต่ละข้อภายใต้สัญญาฯ ฉบับนี้ให้บังคับใช้แยกต่างหากจากข้ออื่น ๆ ในสัญญาฯ นี้ และข้อสัญญาที่ไม่สมบูรณ์ ไม่ชอบด้วยกฎหมาย หรือบังคับใช้ไม่ได้ในเขตอำนาจใด ๆ ย่อมไม่กระทบกระเทือนถึงความสมบูรณ์ ความชอบด้วยกฎหมาย และการมีผลบังคับใช้ของข้อสัญญาข้ออื่น เมื่อมีการพิจารณาว่าเงื่อนไขหรือข้อสัญญาใดไม่สมบูรณ์ ไม่ชอบด้วยกฎหมาย หรือบังคับใช้ไม่ได้ คู่สัญญาจะต้องปรึกษาหารือกันด้วยความสุจริต เพื่อแก้ไขสัญญาฯ ฉบับนี้ให้มีผลใกล้เคียงกับเจตนารมณ์ที่แท้จริงของคู่สัญญาให้มากที่สุดเท่าที่จะเป็นไปได้ เพื่อให้การทำธุรกรรมต่าง ๆ ที่กำหนดไว้ในสัญญาฯ นี้มีผลสมบูรณ์ตามความมุ่งหมายที่แท้จริงมากที่สุดเท่าที่จะเป็นไปได้        11.8.	สัญญาฯ นี้ให้ใช้และตีความตามกฎหมายแห่งประเทศไทย กรณีที่เกิดข้อพิพาทที่เกิดจากหรือเกี่ยวข้องกับสัญญาฯ นี้ ให้นำคดีขึ้นสู่ศาลที่มีเขตอำนาจในประเทศไทย        สัญญาฯ ฉบับนี้ทำขึ้นเป็นสอง (2) ฉบับ มีข้อความถูกต้องตรงกัน โดยคู่สัญญาทั้งสองได้อ่าน เข้าใจ และเห็นชอบข้อความซึ่งได้ระบุไว้ในนี้แล้ว จึงได้ลงลายมือชื่อและประทับตราสำคัญของบริษัทฯ (ถ้ามีข้อกำหนดไว้) ต่อหน้าพยานในวันที่ตามที่ได้ระบุไว้ข้างต้น        (ส่วนนี้เว้นไว้เพื่อให้คู่สัญญาลงนามในหน้าถัดไป)                บริษัทฯ:        เพื่อและในนามของ:        บริษัท สยาม เซย์ซอน จำกัด                โดย: ____________________________        ชื่อ : นายจิรพันธ์ สกุลวงศ์        ตำแหน่ง: กรรมการ                พยาน        ___________________________        ชื่อ :                เอกสารแนบลำดับที่ 1        เงื่อนไขและรายละเอียดของการกู้                1.	ประเภทเงินกู้		: เงินกู้ระยะสั้น        2.	จำนวนเงิน		: 5,000,000 บาท (ห้าล้านบาทถ้วน)			        3.	จุดประสงค์เงินกู้		: ไม่ระบุจุดประสงค์		        4.	ระยะเวลาการกู้		: 180 วัน			        5.	ดอกเบี้ยเงินกู้		: ร้อยละ 8 ต่อปี		        6.	การชำระดอกเบี้ย		: ชำระทุก 30 วัน		        7.	หลักประกัน		: ไม่มี        8.	ค่าธรรมเนียม		: ค่า Roll Over 0.5% จากเงินต้นคงค้าง		        9.	เงื่อนไขการใช้วงเงิน	: ไม่มี        10.	วันที่ได้รับเงินกู้		: 3 มกราคม 2567        11.	ตารางกำหนดการชำระเงินกู้   :                                                 ลายเซ็นกรรมการผู้มีอำนาจกระทำการแทนนิติบุคคลพร้อมตราประทับ (ถ้ามี)...........................................                เอกสารแนบลำดับที่ 2        ช่องทางการโอนเงินกู้และชำระเงินกู้        วิธีการโอนเงินกู้        ผู้กู้ตกลงให้บริษัทฯ ทำการโอนเงินผ่านระบบเข้าบัญชีตามรายละเอียดที่ระบุด้านล่าง โดยผู้กู้ขอรับรองและรับผิดชอบตามที่บริษัทฯ ได้ดำเนินการตามประสงค์ของผู้กู้ดังกล่าวข้างต้นทุกประการ ทั้งนี้ให้ถือว่าผู้กู้ได้รับเงินแล้วอย่างครบถ้วนตามจำนวนและวันที่ได้ระบุตามรายละเอียดดังต่อไปนี้        ธนาคาร ธนาคารไทยพาณิชย์ จำกัด (มหาชน)                  ชื่อบัญชี บริษัท เมทัล คอปเปอร์ จำกัด         ประเภทบัญชี กระแสรายวัน        สำนักงานใหญ่/สาขา ถนนเสรีไทย (สวนสยาม)        เลขที่บัญชี 109-3023275                วิธีการชำระเงินกู้        ในการชำระเงินกู้ ผู้กู้จะต้องชำระเงินกู้ให้แก่บริษัทฯ ในวันครบกำหนดชำระเงินตามจำนวนที่ได้ระบุไว้ในเอกสารแนบท้ายลำดับที่ 1 โดยโอนเงินเข้าบัญชีตามรายละเอียดบัญชีที่ได้ระบุไว้ดังต่อไปนี้        ธนาคาร ไทยพาณิชย์ จำกัด (มหาชน)         ชื่อบัญชี บริษัท สยาม เซย์ซอน จำกัด        ประเภทบัญชี เดินสะพัด         สำนักงานใหญ่/สาขา รัชโยธิน        เลขที่บัญชี 111-3-93830-0                        ลายเซ็นกรรมการผู้มีอำนาจกระทำการแทนนิติบุคคลพร้อมตราประทับ (ถ้ามี)...........................................                </w:t>
      </w:r>
    </w:p>
    <w:p>
      <w:pPr/>
      <w:r>
        <w:rPr/>
        <w:t xml:space="preserve">Some well-formed HTML snippet needs to be used</w:t>
      </w:r>
    </w:p>
    <w:p>
      <w:pPr/>
      <w:r>
        <w:rPr/>
        <w:t xml:space="preserve">With for example </w:t>
      </w:r>
      <w:r>
        <w:rPr>
          <w:b w:val="1"/>
          <w:bCs w:val="1"/>
        </w:rPr>
        <w:t xml:space="preserve">some</w:t>
      </w:r>
      <w:r>
        <w:rPr>
          <w:b w:val="1"/>
          <w:bCs w:val="1"/>
          <w:vertAlign w:val="superscript"/>
        </w:rPr>
        <w:t xml:space="preserve">1</w:t>
      </w:r>
      <w:r>
        <w:rPr>
          <w:b w:val="1"/>
          <w:bCs w:val="1"/>
        </w:rPr>
        <w:t xml:space="preserve"> </w:t>
      </w:r>
      <w:r>
        <w:rPr>
          <w:b w:val="1"/>
          <w:bCs w:val="1"/>
          <w:i w:val="1"/>
          <w:iCs w:val="1"/>
        </w:rPr>
        <w:t xml:space="preserve">inline</w:t>
      </w:r>
      <w:r>
        <w:rPr>
          <w:b w:val="1"/>
          <w:bCs w:val="1"/>
        </w:rPr>
        <w:t xml:space="preserve"> formatting</w:t>
      </w:r>
      <w:r>
        <w:rPr>
          <w:vertAlign w:val="subscript"/>
        </w:rPr>
        <w:t xml:space="preserve">1</w:t>
      </w:r>
    </w:p>
    <w:p>
      <w:pPr/>
      <w:r>
        <w:rPr/>
        <w:t xml:space="preserve">A link to </w:t>
      </w:r>
      <w:hyperlink r:id="rId7" w:history="1">
        <w:r>
          <w:rPr>
            <w:u w:val="single"/>
          </w:rPr>
          <w:t xml:space="preserve">Read the docs</w:t>
        </w:r>
      </w:hyperlink>
    </w:p>
    <w:p>
      <w:pPr>
        <w:jc w:val="start"/>
        <w:bidi/>
      </w:pPr>
      <w:r>
        <w:rPr>
          <w:lang w:val="he-IL" w:bidi="he-IL"/>
          <w:rtl/>
        </w:rPr>
        <w:t xml:space="preserve">היי, זה פסקה מימין לשמאל</w:t>
      </w:r>
    </w:p>
    <w:p>
      <w:pPr>
        <w:spacing w:before="4800"/>
      </w:pPr>
      <w:r>
        <w:rPr/>
        <w:t xml:space="preserve">Unordered (bulleted) list:</w:t>
      </w:r>
    </w:p>
    <w:p>
      <w:pPr>
        <w:numPr>
          <w:ilvl w:val="0"/>
          <w:numId w:val="2"/>
        </w:numPr>
      </w:pPr>
      <w:r>
        <w:rPr/>
        <w:t xml:space="preserve">Item 1</w:t>
      </w:r>
    </w:p>
    <w:p>
      <w:pPr>
        <w:numPr>
          <w:ilvl w:val="0"/>
          <w:numId w:val="2"/>
        </w:numPr>
      </w:pPr>
      <w:r>
        <w:rPr/>
        <w:t xml:space="preserve">Item 2</w:t>
      </w:r>
    </w:p>
    <w:p>
      <w:pPr>
        <w:numPr>
          <w:ilvl w:val="1"/>
          <w:numId w:val="2"/>
        </w:numPr>
      </w:pPr>
      <w:r>
        <w:rPr/>
        <w:t xml:space="preserve">Item 2.1</w:t>
      </w:r>
    </w:p>
    <w:p>
      <w:pPr>
        <w:numPr>
          <w:ilvl w:val="1"/>
          <w:numId w:val="2"/>
        </w:numPr>
      </w:pPr>
      <w:r>
        <w:rPr/>
        <w:t xml:space="preserve">Item 2.1</w:t>
      </w:r>
    </w:p>
    <w:p>
      <w:pPr>
        <w:spacing w:before="4800"/>
      </w:pPr>
      <w:r>
        <w:rPr/>
        <w:t xml:space="preserve">1.5 line height with first line text indent:</w:t>
      </w:r>
    </w:p>
    <w:p>
      <w:pPr>
        <w:jc w:val="both"/>
        <w:ind w:left="0" w:right="0" w:firstLine="1418"/>
        <w:spacing w:line="360" w:lineRule="auto"/>
      </w:pPr>
      <w:r>
        <w:rPr/>
        <w:t xml:space="preserve">Lorem ipsum dolor sit amet, </w:t>
      </w:r>
      <w:r>
        <w:rPr>
          <w:b w:val="1"/>
          <w:bCs w:val="1"/>
        </w:rPr>
        <w:t xml:space="preserve">consectetur adipiscing elit</w:t>
      </w:r>
      <w:r>
        <w:rPr/>
        <w:t xml:space="preserve">,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rPr/>
        <w:t xml:space="preserve">centered title</w:t>
      </w:r>
    </w:p>
    <w:p>
      <w:pPr>
        <w:spacing w:before="4800"/>
      </w:pPr>
      <w:r>
        <w:rPr/>
        <w:t xml:space="preserve">Ordered (numbered) list:</w:t>
      </w:r>
    </w:p>
    <w:p>
      <w:pPr>
        <w:numPr>
          <w:ilvl w:val="0"/>
          <w:numId w:val="3"/>
        </w:numPr>
      </w:pPr>
      <w:r>
        <w:rPr>
          <w:b w:val="1"/>
          <w:bCs w:val="1"/>
        </w:rPr>
        <w:t xml:space="preserve">List 1 item 1</w:t>
      </w:r>
    </w:p>
    <w:p>
      <w:pPr>
        <w:numPr>
          <w:ilvl w:val="0"/>
          <w:numId w:val="3"/>
        </w:numPr>
      </w:pPr>
      <w:r>
        <w:rPr/>
        <w:t xml:space="preserve">List 1 item 2</w:t>
      </w:r>
    </w:p>
    <w:p>
      <w:pPr>
        <w:numPr>
          <w:ilvl w:val="1"/>
          <w:numId w:val="3"/>
        </w:numPr>
      </w:pPr>
      <w:r>
        <w:rPr/>
        <w:t xml:space="preserve">sub list 1</w:t>
      </w:r>
    </w:p>
    <w:p>
      <w:pPr>
        <w:numPr>
          <w:ilvl w:val="1"/>
          <w:numId w:val="3"/>
        </w:numPr>
      </w:pPr>
      <w:r>
        <w:rPr/>
        <w:t xml:space="preserve">sub list 2</w:t>
      </w:r>
    </w:p>
    <w:p>
      <w:pPr>
        <w:numPr>
          <w:ilvl w:val="0"/>
          <w:numId w:val="3"/>
        </w:numPr>
      </w:pPr>
      <w:r>
        <w:rPr/>
        <w:t xml:space="preserve">List 1 item 3</w:t>
      </w:r>
    </w:p>
    <w:p>
      <w:pPr/>
      <w:r>
        <w:rPr/>
        <w:t xml:space="preserve">            </w:t>
      </w:r>
    </w:p>
    <w:p>
      <w:pPr>
        <w:spacing w:before="225"/>
      </w:pPr>
      <w:r>
        <w:rPr/>
        <w:t xml:space="preserve">A second list, numbering should restart</w:t>
      </w:r>
    </w:p>
    <w:p>
      <w:pPr/>
      <w:r>
        <w:rPr/>
        <w:t xml:space="preserve">            </w:t>
      </w:r>
    </w:p>
    <w:p>
      <w:pPr>
        <w:numPr>
          <w:ilvl w:val="0"/>
          <w:numId w:val="4"/>
        </w:numPr>
      </w:pPr>
      <w:r>
        <w:rPr/>
        <w:t xml:space="preserve">List 2 item 1</w:t>
      </w:r>
    </w:p>
    <w:p>
      <w:pPr>
        <w:numPr>
          <w:ilvl w:val="0"/>
          <w:numId w:val="4"/>
        </w:numPr>
      </w:pPr>
      <w:r>
        <w:rPr/>
        <w:t xml:space="preserve">List 2 item 2</w:t>
      </w:r>
    </w:p>
    <w:p>
      <w:pPr>
        <w:numPr>
          <w:ilvl w:val="0"/>
          <w:numId w:val="4"/>
        </w:numPr>
      </w:pPr>
    </w:p>
    <w:p>
      <w:pPr>
        <w:numPr>
          <w:ilvl w:val="1"/>
          <w:numId w:val="4"/>
        </w:numPr>
      </w:pPr>
      <w:r>
        <w:rPr/>
        <w:t xml:space="preserve">sub list 1</w:t>
      </w:r>
    </w:p>
    <w:p>
      <w:pPr>
        <w:numPr>
          <w:ilvl w:val="1"/>
          <w:numId w:val="4"/>
        </w:numPr>
      </w:pPr>
      <w:r>
        <w:rPr/>
        <w:t xml:space="preserve">sub list 2</w:t>
      </w:r>
    </w:p>
    <w:p>
      <w:pPr>
        <w:numPr>
          <w:ilvl w:val="0"/>
          <w:numId w:val="4"/>
        </w:numPr>
      </w:pPr>
      <w:r>
        <w:rPr/>
        <w:t xml:space="preserve">List 2 item 3</w:t>
      </w:r>
    </w:p>
    <w:p>
      <w:pPr>
        <w:numPr>
          <w:ilvl w:val="1"/>
          <w:numId w:val="4"/>
        </w:numPr>
      </w:pPr>
      <w:r>
        <w:rPr/>
        <w:t xml:space="preserve">sub list 1, restarts with a</w:t>
      </w:r>
    </w:p>
    <w:p>
      <w:pPr>
        <w:numPr>
          <w:ilvl w:val="1"/>
          <w:numId w:val="4"/>
        </w:numPr>
      </w:pPr>
      <w:r>
        <w:rPr/>
        <w:t xml:space="preserve">sub list 2</w:t>
      </w:r>
    </w:p>
    <w:p>
      <w:pPr>
        <w:spacing w:before="4800"/>
      </w:pPr>
      <w:r>
        <w:rPr/>
        <w:t xml:space="preserve">List with formatted content:</w:t>
      </w:r>
    </w:p>
    <w:p>
      <w:pPr>
        <w:numPr>
          <w:ilvl w:val="0"/>
          <w:numId w:val="5"/>
        </w:numPr>
      </w:pPr>
      <w:r>
        <w:rPr>
          <w:rFonts w:ascii="Arial" w:hAnsi="Arial" w:eastAsia="Arial" w:cs="Arial"/>
          <w:sz w:val="24"/>
          <w:szCs w:val="24"/>
        </w:rPr>
        <w:t xml:space="preserve">big list item1</w:t>
      </w:r>
    </w:p>
    <w:p>
      <w:pPr>
        <w:numPr>
          <w:ilvl w:val="0"/>
          <w:numId w:val="5"/>
        </w:numPr>
      </w:pPr>
      <w:r>
        <w:rPr>
          <w:rFonts w:ascii="Arial" w:hAnsi="Arial" w:eastAsia="Arial" w:cs="Arial"/>
          <w:sz w:val="15"/>
          <w:szCs w:val="15"/>
          <w:b w:val="1"/>
          <w:bCs w:val="1"/>
        </w:rPr>
        <w:t xml:space="preserve">list item2 in bold</w:t>
      </w:r>
    </w:p>
    <w:p>
      <w:pPr>
        <w:spacing w:before="4800"/>
      </w:pPr>
      <w:r>
        <w:rPr/>
        <w:t xml:space="preserve">A table with formatting:</w:t>
      </w:r>
    </w:p>
    <w:tbl>
      <w:tblGrid>
        <w:gridCol w:w="1000" w:type="dxa"/>
        <w:gridCol w:w="50" w:type="dxa"/>
        <w:gridCol w:w="2500" w:type="dxa"/>
      </w:tblGrid>
      <w:tblPr>
        <w:jc w:val="center"/>
        <w:tblW w:w="2500" w:type="pct"/>
        <w:tblLayout w:type="autofit"/>
        <w:tblBorders>
          <w:top w:val="single" w:sz="45" w:color="0000FF"/>
          <w:left w:val="single" w:sz="45" w:color="0000FF"/>
          <w:right w:val="single" w:sz="45" w:color="0000FF"/>
          <w:bottom w:val="single" w:sz="45" w:color="0000FF"/>
          <w:insideH w:val="single" w:sz="45" w:color="0000FF"/>
          <w:insideV w:val="single" w:sz="45" w:color="0000FF"/>
        </w:tblBorders>
      </w:tblPr>
      <w:tr>
        <w:trPr>
          <w:tblHeader w:val="1"/>
        </w:trPr>
        <w:tc>
          <w:tcPr>
            <w:tcW w:w="1000" w:type="dxa"/>
            <w:shd w:val="clear" w:fill="FF0000"/>
            <w:noWrap/>
          </w:tcPr>
          <w:p>
            <w:pPr/>
            <w:r>
              <w:rPr>
                <w:color w:val="FFFFFF"/>
                <w:b w:val="1"/>
                <w:bCs w:val="1"/>
                <w:shd w:val="clear" w:fill="FF0000"/>
              </w:rPr>
              <w:t xml:space="preserve">header a</w:t>
            </w:r>
          </w:p>
        </w:tc>
        <w:tc>
          <w:tcPr>
            <w:tcW w:w="50" w:type="auto"/>
            <w:shd w:val="clear" w:fill="FF0000"/>
            <w:noWrap/>
          </w:tcPr>
          <w:p>
            <w:pPr/>
            <w:r>
              <w:rPr>
                <w:color w:val="FFFFFF"/>
                <w:b w:val="1"/>
                <w:bCs w:val="1"/>
                <w:shd w:val="clear" w:fill="FF0000"/>
              </w:rPr>
              <w:t xml:space="preserve">header          b</w:t>
            </w:r>
          </w:p>
        </w:tc>
        <w:tc>
          <w:tcPr>
            <w:tcW w:w="2500" w:type="pct"/>
            <w:tcBorders>
              <w:top w:val="single" w:sz="9" w:color="000000"/>
              <w:left w:val="single" w:sz="9" w:color="000000"/>
              <w:right w:val="single" w:sz="9" w:color="000000"/>
              <w:bottom w:val="single" w:sz="9" w:color="000000"/>
            </w:tcBorders>
            <w:shd w:val="clear" w:fill="FFFF00"/>
            <w:noWrap/>
          </w:tcPr>
          <w:p>
            <w:pPr/>
            <w:r>
              <w:rPr>
                <w:color w:val="FFFFFF"/>
                <w:b w:val="1"/>
                <w:bCs w:val="1"/>
                <w:shd w:val="clear" w:fill="00FF00"/>
              </w:rPr>
              <w:t xml:space="preserve">header c</w:t>
            </w:r>
          </w:p>
        </w:tc>
      </w:tr>
      <w:tr>
        <w:trPr/>
        <w:tc>
          <w:tcPr>
            <w:tcW w:w="2500" w:type="pct"/>
            <w:noWrap/>
          </w:tcPr>
          <w:p>
            <w:pPr/>
            <w:r>
              <w:rPr/>
              <w:t xml:space="preserve">1</w:t>
            </w:r>
          </w:p>
        </w:tc>
        <w:tc>
          <w:tcPr>
            <w:tcW w:w="2500" w:type="pct"/>
            <w:gridSpan w:val="2"/>
            <w:noWrap/>
          </w:tcPr>
          <w:p>
            <w:pPr/>
            <w:r>
              <w:rPr/>
              <w:t xml:space="preserve">2</w:t>
            </w:r>
          </w:p>
        </w:tc>
      </w:tr>
      <w:tr>
        <w:trPr/>
        <w:tc>
          <w:tcPr>
            <w:tcW w:w="2500" w:type="pct"/>
            <w:noWrap/>
          </w:tcPr>
          <w:p>
            <w:pPr/>
            <w:r>
              <w:rPr/>
              <w:t xml:space="preserve">This is </w:t>
            </w:r>
            <w:r>
              <w:rPr>
                <w:b w:val="1"/>
                <w:bCs w:val="1"/>
              </w:rPr>
              <w:t xml:space="preserve">bold</w:t>
            </w:r>
            <w:r>
              <w:rPr/>
              <w:t xml:space="preserve"> text</w:t>
            </w:r>
          </w:p>
        </w:tc>
        <w:tc>
          <w:tcPr>
            <w:tcW w:w="2500" w:type="pct"/>
            <w:noWrap/>
          </w:tcPr>
          <w:p>
            <w:pPr/>
          </w:p>
        </w:tc>
        <w:tc>
          <w:tcPr>
            <w:tcW w:w="2500" w:type="pct"/>
            <w:noWrap/>
          </w:tcPr>
          <w:p>
            <w:pPr/>
            <w:r>
              <w:rPr/>
              <w:t xml:space="preserve">6</w:t>
            </w:r>
          </w:p>
        </w:tc>
      </w:tr>
    </w:tbl>
    <w:p>
      <w:pPr>
        <w:spacing w:before="4800"/>
      </w:pPr>
      <w:r>
        <w:rPr/>
        <w:t xml:space="preserve">Table inside another table:</w:t>
      </w:r>
    </w:p>
    <w:tbl>
      <w:tblGrid>
        <w:gridCol w:w="4000" w:type="dxa"/>
      </w:tblGrid>
      <w:tblPr>
        <w:jc w:val="center"/>
        <w:tblW w:w="4000" w:type="pct"/>
        <w:tblLayout w:type="autofit"/>
        <w:tblBorders>
          <w:top w:val="single" w:sz="45" w:color="0000FF"/>
          <w:left w:val="single" w:sz="45" w:color="0000FF"/>
          <w:right w:val="single" w:sz="45" w:color="0000FF"/>
          <w:bottom w:val="single" w:sz="45" w:color="0000FF"/>
          <w:insideH w:val="single" w:sz="45" w:color="0000FF"/>
          <w:insideV w:val="single" w:sz="45" w:color="0000FF"/>
        </w:tblBorders>
      </w:tblPr>
      <w:tr>
        <w:trPr/>
        <w:tc>
          <w:tcPr>
            <w:tcW w:w="4000" w:type="pct"/>
            <w:noWrap/>
          </w:tcPr>
          <w:tbl>
            <w:tblGrid>
              <w:gridCol w:w="5000" w:type="dxa"/>
              <w:gridCol w:w="5000" w:type="dxa"/>
            </w:tblGrid>
            <w:tblPr>
              <w:tblW w:w="5000" w:type="pct"/>
              <w:tblLayout w:type="autofit"/>
              <w:tblBorders>
                <w:top w:val="single" w:sz="30" w:color="FF0000"/>
                <w:left w:val="single" w:sz="30" w:color="FF0000"/>
                <w:right w:val="single" w:sz="30" w:color="FF0000"/>
                <w:bottom w:val="single" w:sz="30" w:color="FF0000"/>
                <w:insideH w:val="single" w:sz="30" w:color="FF0000"/>
                <w:insideV w:val="single" w:sz="30" w:color="FF0000"/>
              </w:tblBorders>
            </w:tblPr>
            <w:tr>
              <w:trPr/>
              <w:tc>
                <w:tcPr>
                  <w:tcW w:w="5000" w:type="pct"/>
                  <w:noWrap/>
                </w:tcPr>
                <w:p>
                  <w:pPr/>
                  <w:r>
                    <w:rPr/>
                    <w:t xml:space="preserve">column 1</w:t>
                  </w:r>
                </w:p>
              </w:tc>
              <w:tc>
                <w:tcPr>
                  <w:tcW w:w="5000" w:type="pct"/>
                  <w:noWrap/>
                </w:tcPr>
                <w:p>
                  <w:pPr/>
                  <w:r>
                    <w:rPr/>
                    <w:t xml:space="preserve">column 2</w:t>
                  </w:r>
                </w:p>
              </w:tc>
            </w:tr>
          </w:tbl>
          <w:p/>
        </w:tc>
      </w:tr>
      <w:tr>
        <w:trPr/>
        <w:tc>
          <w:tcPr>
            <w:tcW w:w="4000" w:type="pct"/>
            <w:noWrap/>
          </w:tcPr>
          <w:p>
            <w:pPr>
              <w:jc w:val="center"/>
            </w:pPr>
            <w:r>
              <w:rPr/>
              <w:t xml:space="preserve">Cell in parent table</w:t>
            </w:r>
          </w:p>
        </w:tc>
      </w:tr>
    </w:tbl>
    <w:p>
      <w:pPr>
        <w:spacing w:before="4800"/>
      </w:pPr>
      <w:r>
        <w:rPr/>
        <w:t xml:space="preserve">The text below is not visible, click on show/hide to reveil it:</w:t>
      </w:r>
    </w:p>
    <w:p>
      <w:pPr/>
      <w:r>
        <w:rPr>
          <w:vanish w:val="1"/>
        </w:rPr>
        <w:t xml:space="preserve">This is hidden text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D9CC6C0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174CB5E"/>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4">
    <w:nsid w:val="FDA21FCC"/>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5">
    <w:nsid w:val="D0B479C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 w:numId="4">
    <w:abstractNumId w:val="4"/>
  </w: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Browallia New" w:hAnsi="Browallia New" w:eastAsia="Browallia New" w:cs="Browallia New"/>
        <w:sz w:val="30"/>
        <w:szCs w:val="3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phpoffice.github.io/PHP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2024-02-27T18:37:16+07:00</dcterms:created>
  <dcterms:modified xsi:type="dcterms:W3CDTF">2024-02-27T18:37:16+07:00</dcterms:modified>
</cp:coreProperties>
</file>

<file path=docProps/custom.xml><?xml version="1.0" encoding="utf-8"?>
<Properties xmlns="http://schemas.openxmlformats.org/officeDocument/2006/custom-properties" xmlns:vt="http://schemas.openxmlformats.org/officeDocument/2006/docPropsVTypes"/>
</file>