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The Effect of Colored Light on Bean Sprout Growth</w:t>
      </w:r>
    </w:p>
    <w:p>
      <w:r>
        <w:rPr>
          <w:b/>
          <w:sz w:val="24"/>
        </w:rPr>
        <w:t>CID: 06043088 | ELEC70126 — Internet of Things and Applications</w:t>
      </w:r>
    </w:p>
    <w:p>
      <w:r>
        <w:rPr>
          <w:sz w:val="22"/>
        </w:rPr>
      </w:r>
    </w:p>
    <w:p>
      <w:pPr>
        <w:pStyle w:val="Heading1"/>
      </w:pPr>
      <w:r>
        <w:t>Part 1: Sensing</w:t>
      </w:r>
    </w:p>
    <w:p>
      <w:pPr>
        <w:pStyle w:val="Heading2"/>
      </w:pPr>
      <w:r>
        <w:t>1. Introduction and Objectives</w:t>
      </w:r>
    </w:p>
    <w:p>
      <w:r>
        <w:rPr>
          <w:sz w:val="22"/>
        </w:rPr>
        <w:t>Mung bean sprouts (Vigna radiata) are a widely cultivated crop known for their rapid germination and vigorous growth in dark conditions. This experiment investigates how exposure to different wavelengths of visible light — specifically blue (~450 nm) and green (~520 nm) — affects the rate of sprout growth compared to a dark control group.</w:t>
      </w:r>
    </w:p>
    <w:p>
      <w:r>
        <w:rPr>
          <w:sz w:val="22"/>
        </w:rPr>
      </w:r>
    </w:p>
    <w:p>
      <w:r>
        <w:rPr>
          <w:b/>
          <w:sz w:val="22"/>
        </w:rPr>
        <w:t>Objectives:</w:t>
      </w:r>
    </w:p>
    <w:p>
      <w:pPr>
        <w:pStyle w:val="ListBullet"/>
      </w:pPr>
      <w:r>
        <w:t>Quantify the growth deceleration (or acceleration) of mung bean sprouts under blue and green light relative to a dark control.</w:t>
      </w:r>
    </w:p>
    <w:p>
      <w:pPr>
        <w:pStyle w:val="ListBullet"/>
      </w:pPr>
      <w:r>
        <w:t>Design and deploy an end-to-end IoT sensing system using ESP32, photoresistors, and environmental sensors.</w:t>
      </w:r>
    </w:p>
    <w:p>
      <w:pPr>
        <w:pStyle w:val="ListBullet"/>
      </w:pPr>
      <w:r>
        <w:t>Collect continuous time-series data over a week-long experiment with automated cloud-based storage.</w:t>
      </w:r>
    </w:p>
    <w:p>
      <w:pPr>
        <w:pStyle w:val="ListBullet"/>
      </w:pPr>
      <w:r>
        <w:t>Identify any unexpected plant behaviors (e.g., phototropic movement) observable through the sensor data.</w:t>
      </w:r>
    </w:p>
    <w:p>
      <w:r>
        <w:rPr>
          <w:i/>
          <w:sz w:val="22"/>
        </w:rPr>
        <w:t>Hypothesis: Blue light, known to stimulate phototropin receptors and influence photomorphogenesis, is expected to induce a stronger growth response than green light, while the dark control should exhibit uninhibited etiolated growth.</w:t>
      </w:r>
    </w:p>
    <w:p>
      <w:pPr>
        <w:pStyle w:val="Heading2"/>
      </w:pPr>
      <w:r>
        <w:t>2. Data Sources and Sensing Set-Up</w:t>
      </w:r>
    </w:p>
    <w:p>
      <w:pPr>
        <w:pStyle w:val="Heading3"/>
      </w:pPr>
      <w:r>
        <w:t>2.1 Physical Setup</w:t>
      </w:r>
    </w:p>
    <w:p>
      <w:r>
        <w:rPr>
          <w:sz w:val="22"/>
        </w:rPr>
        <w:t>The experiment uses a divided cardboard enclosure partitioned into three isolated chambers: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Chamber</w:t>
            </w:r>
          </w:p>
        </w:tc>
        <w:tc>
          <w:tcPr>
            <w:tcW w:type="dxa" w:w="2880"/>
          </w:tcPr>
          <w:p>
            <w:r>
              <w:rPr>
                <w:b/>
                <w:sz w:val="18"/>
              </w:rPr>
              <w:t>Condition</w:t>
            </w:r>
          </w:p>
        </w:tc>
        <w:tc>
          <w:tcPr>
            <w:tcW w:type="dxa" w:w="2880"/>
          </w:tcPr>
          <w:p>
            <w:r>
              <w:rPr>
                <w:b/>
                <w:sz w:val="18"/>
              </w:rPr>
              <w:t>Light Source</w:t>
            </w:r>
          </w:p>
        </w:tc>
      </w:tr>
      <w:tr>
        <w:tc>
          <w:tcPr>
            <w:tcW w:type="dxa" w:w="2880"/>
          </w:tcPr>
          <w:p>
            <w:r>
              <w:rPr>
                <w:sz w:val="18"/>
              </w:rPr>
              <w:t>Left</w:t>
            </w:r>
          </w:p>
        </w:tc>
        <w:tc>
          <w:tcPr>
            <w:tcW w:type="dxa" w:w="2880"/>
          </w:tcPr>
          <w:p>
            <w:r>
              <w:rPr>
                <w:sz w:val="18"/>
              </w:rPr>
              <w:t>Blue light (continuous)</w:t>
            </w:r>
          </w:p>
        </w:tc>
        <w:tc>
          <w:tcPr>
            <w:tcW w:type="dxa" w:w="2880"/>
          </w:tcPr>
          <w:p>
            <w:r>
              <w:rPr>
                <w:sz w:val="18"/>
              </w:rPr>
              <w:t>Blue LED (GPIO 47, PWM 255)</w:t>
            </w:r>
          </w:p>
        </w:tc>
      </w:tr>
      <w:tr>
        <w:tc>
          <w:tcPr>
            <w:tcW w:type="dxa" w:w="2880"/>
          </w:tcPr>
          <w:p>
            <w:r>
              <w:rPr>
                <w:sz w:val="18"/>
              </w:rPr>
              <w:t>Centre</w:t>
            </w:r>
          </w:p>
        </w:tc>
        <w:tc>
          <w:tcPr>
            <w:tcW w:type="dxa" w:w="2880"/>
          </w:tcPr>
          <w:p>
            <w:r>
              <w:rPr>
                <w:sz w:val="18"/>
              </w:rPr>
              <w:t>Control / Dark</w:t>
            </w:r>
          </w:p>
        </w:tc>
        <w:tc>
          <w:tcPr>
            <w:tcW w:type="dxa" w:w="2880"/>
          </w:tcPr>
          <w:p>
            <w:r>
              <w:rPr>
                <w:sz w:val="18"/>
              </w:rPr>
              <w:t>No light (1s red pulse every 15 min for measurement)</w:t>
            </w:r>
          </w:p>
        </w:tc>
      </w:tr>
      <w:tr>
        <w:tc>
          <w:tcPr>
            <w:tcW w:type="dxa" w:w="2880"/>
          </w:tcPr>
          <w:p>
            <w:r>
              <w:rPr>
                <w:sz w:val="18"/>
              </w:rPr>
              <w:t>Right</w:t>
            </w:r>
          </w:p>
        </w:tc>
        <w:tc>
          <w:tcPr>
            <w:tcW w:type="dxa" w:w="2880"/>
          </w:tcPr>
          <w:p>
            <w:r>
              <w:rPr>
                <w:sz w:val="18"/>
              </w:rPr>
              <w:t>Green light (continuous)</w:t>
            </w:r>
          </w:p>
        </w:tc>
        <w:tc>
          <w:tcPr>
            <w:tcW w:type="dxa" w:w="2880"/>
          </w:tcPr>
          <w:p>
            <w:r>
              <w:rPr>
                <w:sz w:val="18"/>
              </w:rPr>
              <w:t>Green LED (GPIO 48, PWM 50)</w:t>
            </w:r>
          </w:p>
        </w:tc>
      </w:tr>
    </w:tbl>
    <w:p>
      <w:r>
        <w:rPr>
          <w:sz w:val="22"/>
        </w:rPr>
        <w:t>Each chamber contains a small plastic container with mung beans placed on wet cotton wool as the growth medium. Cardboard dividers prevent light contamination between chambers.</w:t>
      </w:r>
    </w:p>
    <w:p>
      <w:pPr>
        <w:pStyle w:val="Heading3"/>
      </w:pPr>
      <w:r>
        <w:t>2.2 Sensor Configuration</w:t>
      </w:r>
    </w:p>
    <w:p>
      <w:r>
        <w:rPr>
          <w:sz w:val="22"/>
        </w:rPr>
        <w:t>The system employs two types of time-series data sources of different nature:</w:t>
      </w:r>
    </w:p>
    <w:p>
      <w:r>
        <w:rPr>
          <w:b/>
          <w:sz w:val="22"/>
        </w:rPr>
        <w:t>1. Photoresistors (LDRs) — 3 units</w:t>
      </w:r>
    </w:p>
    <w:p>
      <w:r>
        <w:rPr>
          <w:sz w:val="22"/>
        </w:rPr>
        <w:t>Connected to ESP32 ADC pins (GPIO 1, 2, 4). Each LDR is paired with a red measurement LED. As sprouts grow and obstruct the optical path, the ADC reading increases. The red LED is activated for 5 seconds every 15 minutes, with ADC sampling 2 seconds into the pulse. Resolution: 12-bit (0–4095).</w:t>
      </w:r>
    </w:p>
    <w:p>
      <w:r>
        <w:rPr>
          <w:b/>
          <w:sz w:val="22"/>
        </w:rPr>
        <w:t>2. DHT11 Temperature and Humidity Sensor — 1 unit</w:t>
      </w:r>
    </w:p>
    <w:p>
      <w:r>
        <w:rPr>
          <w:sz w:val="22"/>
        </w:rPr>
        <w:t>Connected to GPIO 5, monitoring ambient temperature (°C) and relative humidity (%). Provides environmental context and enables future hydration-based actuation.</w:t>
      </w:r>
    </w:p>
    <w:p>
      <w:pPr>
        <w:pStyle w:val="Heading3"/>
      </w:pPr>
      <w:r>
        <w:t>2.3 Design Choices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Decision</w:t>
            </w:r>
          </w:p>
        </w:tc>
        <w:tc>
          <w:tcPr>
            <w:tcW w:type="dxa" w:w="2880"/>
          </w:tcPr>
          <w:p>
            <w:r>
              <w:rPr>
                <w:b/>
                <w:sz w:val="18"/>
              </w:rPr>
              <w:t>Choice</w:t>
            </w:r>
          </w:p>
        </w:tc>
        <w:tc>
          <w:tcPr>
            <w:tcW w:type="dxa" w:w="2880"/>
          </w:tcPr>
          <w:p>
            <w:r>
              <w:rPr>
                <w:b/>
                <w:sz w:val="18"/>
              </w:rPr>
              <w:t>Justification</w:t>
            </w:r>
          </w:p>
        </w:tc>
      </w:tr>
      <w:tr>
        <w:tc>
          <w:tcPr>
            <w:tcW w:type="dxa" w:w="2880"/>
          </w:tcPr>
          <w:p>
            <w:r>
              <w:rPr>
                <w:sz w:val="18"/>
              </w:rPr>
              <w:t>Measurement interval</w:t>
            </w:r>
          </w:p>
        </w:tc>
        <w:tc>
          <w:tcPr>
            <w:tcW w:type="dxa" w:w="2880"/>
          </w:tcPr>
          <w:p>
            <w:r>
              <w:rPr>
                <w:sz w:val="18"/>
              </w:rPr>
              <w:t>15 minutes</w:t>
            </w:r>
          </w:p>
        </w:tc>
        <w:tc>
          <w:tcPr>
            <w:tcW w:type="dxa" w:w="2880"/>
          </w:tcPr>
          <w:p>
            <w:r>
              <w:rPr>
                <w:sz w:val="18"/>
              </w:rPr>
              <w:t>Balances resolution (96 samples/day) with minimal light exposure</w:t>
            </w:r>
          </w:p>
        </w:tc>
      </w:tr>
      <w:tr>
        <w:tc>
          <w:tcPr>
            <w:tcW w:type="dxa" w:w="2880"/>
          </w:tcPr>
          <w:p>
            <w:r>
              <w:rPr>
                <w:sz w:val="18"/>
              </w:rPr>
              <w:t>Measurement LED</w:t>
            </w:r>
          </w:p>
        </w:tc>
        <w:tc>
          <w:tcPr>
            <w:tcW w:type="dxa" w:w="2880"/>
          </w:tcPr>
          <w:p>
            <w:r>
              <w:rPr>
                <w:sz w:val="18"/>
              </w:rPr>
              <w:t>Red, 5s pulse</w:t>
            </w:r>
          </w:p>
        </w:tc>
        <w:tc>
          <w:tcPr>
            <w:tcW w:type="dxa" w:w="2880"/>
          </w:tcPr>
          <w:p>
            <w:r>
              <w:rPr>
                <w:sz w:val="18"/>
              </w:rPr>
              <w:t>Red has minimal effect on growth; short pulse limits exposure</w:t>
            </w:r>
          </w:p>
        </w:tc>
      </w:tr>
      <w:tr>
        <w:tc>
          <w:tcPr>
            <w:tcW w:type="dxa" w:w="2880"/>
          </w:tcPr>
          <w:p>
            <w:r>
              <w:rPr>
                <w:sz w:val="18"/>
              </w:rPr>
              <w:t>ADC read timing</w:t>
            </w:r>
          </w:p>
        </w:tc>
        <w:tc>
          <w:tcPr>
            <w:tcW w:type="dxa" w:w="2880"/>
          </w:tcPr>
          <w:p>
            <w:r>
              <w:rPr>
                <w:sz w:val="18"/>
              </w:rPr>
              <w:t>2s into pulse</w:t>
            </w:r>
          </w:p>
        </w:tc>
        <w:tc>
          <w:tcPr>
            <w:tcW w:type="dxa" w:w="2880"/>
          </w:tcPr>
          <w:p>
            <w:r>
              <w:rPr>
                <w:sz w:val="18"/>
              </w:rPr>
              <w:t>Allows photoresistor to stabilise</w:t>
            </w:r>
          </w:p>
        </w:tc>
      </w:tr>
      <w:tr>
        <w:tc>
          <w:tcPr>
            <w:tcW w:type="dxa" w:w="2880"/>
          </w:tcPr>
          <w:p>
            <w:r>
              <w:rPr>
                <w:sz w:val="18"/>
              </w:rPr>
              <w:t>Environmental sensor</w:t>
            </w:r>
          </w:p>
        </w:tc>
        <w:tc>
          <w:tcPr>
            <w:tcW w:type="dxa" w:w="2880"/>
          </w:tcPr>
          <w:p>
            <w:r>
              <w:rPr>
                <w:sz w:val="18"/>
              </w:rPr>
              <w:t>DHT11</w:t>
            </w:r>
          </w:p>
        </w:tc>
        <w:tc>
          <w:tcPr>
            <w:tcW w:type="dxa" w:w="2880"/>
          </w:tcPr>
          <w:p>
            <w:r>
              <w:rPr>
                <w:sz w:val="18"/>
              </w:rPr>
              <w:t>Adequate for trend detection (±2°C, ±5% RH); low cost</w:t>
            </w:r>
          </w:p>
        </w:tc>
      </w:tr>
      <w:tr>
        <w:tc>
          <w:tcPr>
            <w:tcW w:type="dxa" w:w="2880"/>
          </w:tcPr>
          <w:p>
            <w:r>
              <w:rPr>
                <w:sz w:val="18"/>
              </w:rPr>
              <w:t>Microcontroller</w:t>
            </w:r>
          </w:p>
        </w:tc>
        <w:tc>
          <w:tcPr>
            <w:tcW w:type="dxa" w:w="2880"/>
          </w:tcPr>
          <w:p>
            <w:r>
              <w:rPr>
                <w:sz w:val="18"/>
              </w:rPr>
              <w:t>ESP32</w:t>
            </w:r>
          </w:p>
        </w:tc>
        <w:tc>
          <w:tcPr>
            <w:tcW w:type="dxa" w:w="2880"/>
          </w:tcPr>
          <w:p>
            <w:r>
              <w:rPr>
                <w:sz w:val="18"/>
              </w:rPr>
              <w:t>Integrated Wi-Fi, sufficient ADC channels, low cost (~£5)</w:t>
            </w:r>
          </w:p>
        </w:tc>
      </w:tr>
    </w:tbl>
    <w:p>
      <w:pPr>
        <w:pStyle w:val="Heading2"/>
      </w:pPr>
      <w:r>
        <w:t>3. Data Collection and Storage/Communications Process</w:t>
      </w:r>
    </w:p>
    <w:p>
      <w:r>
        <w:rPr>
          <w:b/>
          <w:sz w:val="22"/>
        </w:rPr>
        <w:t>Data Pipeline Architecture:</w:t>
      </w:r>
    </w:p>
    <w:p>
      <w:r>
        <w:rPr>
          <w:sz w:val="22"/>
        </w:rPr>
        <w:t>ESP32 Sensors → Wi-Fi (HTTP GET) → Google Apps Script → Google Sheets → CSV Export</w:t>
      </w:r>
    </w:p>
    <w:p>
      <w:r>
        <w:rPr>
          <w:sz w:val="22"/>
        </w:rPr>
      </w:r>
    </w:p>
    <w:p>
      <w:r>
        <w:rPr>
          <w:sz w:val="22"/>
        </w:rPr>
        <w:t>Every 15 minutes, the ESP32 activates the red measurement LED, waits 2 seconds, reads all 3 photoresistors and the DHT11, then sends the data via HTTP GET to a Google Apps Script endpoint. The script appends each data point as a new row in Google Sheets, providing cloud-based persistent storage with real-time accessibility.</w:t>
      </w:r>
    </w:p>
    <w:p>
      <w:r>
        <w:rPr>
          <w:b/>
          <w:sz w:val="22"/>
        </w:rPr>
        <w:t>Data Cleaning:</w:t>
      </w:r>
    </w:p>
    <w:p>
      <w:r>
        <w:rPr>
          <w:sz w:val="22"/>
        </w:rPr>
        <w:t>Two types of anomalies were addressed: (1) Physical disturbance artefacts — sudden simultaneous drops in all three channels caused by opening the enclosure for watering. These were detected when |Δ| &gt; 200 occurred in all three channels simultaneously, and replaced via linear interpolation. (2) Sensor saturation — the blue channel reached ADC max (4095) ~3 days in.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Sampling interval</w:t>
            </w:r>
          </w:p>
        </w:tc>
        <w:tc>
          <w:tcPr>
            <w:tcW w:type="dxa" w:w="4320"/>
          </w:tcPr>
          <w:p>
            <w:r>
              <w:rPr>
                <w:sz w:val="18"/>
              </w:rPr>
              <w:t>15 minutes</w:t>
            </w:r>
          </w:p>
        </w:tc>
      </w:tr>
      <w:tr>
        <w:tc>
          <w:tcPr>
            <w:tcW w:type="dxa" w:w="4320"/>
          </w:tcPr>
          <w:p>
            <w:r>
              <w:rPr>
                <w:sz w:val="18"/>
              </w:rPr>
              <w:t>Total data points</w:t>
            </w:r>
          </w:p>
        </w:tc>
        <w:tc>
          <w:tcPr>
            <w:tcW w:type="dxa" w:w="4320"/>
          </w:tcPr>
          <w:p>
            <w:r>
              <w:rPr>
                <w:sz w:val="18"/>
              </w:rPr>
              <w:t>558</w:t>
            </w:r>
          </w:p>
        </w:tc>
      </w:tr>
      <w:tr>
        <w:tc>
          <w:tcPr>
            <w:tcW w:type="dxa" w:w="4320"/>
          </w:tcPr>
          <w:p>
            <w:r>
              <w:rPr>
                <w:sz w:val="18"/>
              </w:rPr>
              <w:t>Duration</w:t>
            </w:r>
          </w:p>
        </w:tc>
        <w:tc>
          <w:tcPr>
            <w:tcW w:type="dxa" w:w="4320"/>
          </w:tcPr>
          <w:p>
            <w:r>
              <w:rPr>
                <w:sz w:val="18"/>
              </w:rPr>
              <w:t>5 days 20 hours (5–10 Mar 2026)</w:t>
            </w:r>
          </w:p>
        </w:tc>
      </w:tr>
      <w:tr>
        <w:tc>
          <w:tcPr>
            <w:tcW w:type="dxa" w:w="4320"/>
          </w:tcPr>
          <w:p>
            <w:r>
              <w:rPr>
                <w:sz w:val="18"/>
              </w:rPr>
              <w:t>Channels</w:t>
            </w:r>
          </w:p>
        </w:tc>
        <w:tc>
          <w:tcPr>
            <w:tcW w:type="dxa" w:w="4320"/>
          </w:tcPr>
          <w:p>
            <w:r>
              <w:rPr>
                <w:sz w:val="18"/>
              </w:rPr>
              <w:t>5 (Green, Blue, Control ADC + Temp + Humidity)</w:t>
            </w:r>
          </w:p>
        </w:tc>
      </w:tr>
      <w:tr>
        <w:tc>
          <w:tcPr>
            <w:tcW w:type="dxa" w:w="4320"/>
          </w:tcPr>
          <w:p>
            <w:r>
              <w:rPr>
                <w:sz w:val="18"/>
              </w:rPr>
              <w:t>Data size</w:t>
            </w:r>
          </w:p>
        </w:tc>
        <w:tc>
          <w:tcPr>
            <w:tcW w:type="dxa" w:w="4320"/>
          </w:tcPr>
          <w:p>
            <w:r>
              <w:rPr>
                <w:sz w:val="18"/>
              </w:rPr>
              <w:t>~30 KB (CSV)</w:t>
            </w:r>
          </w:p>
        </w:tc>
      </w:tr>
    </w:tbl>
    <w:p>
      <w:pPr>
        <w:pStyle w:val="Heading2"/>
      </w:pPr>
      <w:r>
        <w:t>4. Basic Characteristics of the End-to-End Setup</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Sampling rate</w:t>
            </w:r>
          </w:p>
        </w:tc>
        <w:tc>
          <w:tcPr>
            <w:tcW w:type="dxa" w:w="4320"/>
          </w:tcPr>
          <w:p>
            <w:r>
              <w:rPr>
                <w:sz w:val="18"/>
              </w:rPr>
              <w:t>1 sample / 15 min (96/day)</w:t>
            </w:r>
          </w:p>
        </w:tc>
      </w:tr>
      <w:tr>
        <w:tc>
          <w:tcPr>
            <w:tcW w:type="dxa" w:w="4320"/>
          </w:tcPr>
          <w:p>
            <w:r>
              <w:rPr>
                <w:sz w:val="18"/>
              </w:rPr>
              <w:t>Throughput</w:t>
            </w:r>
          </w:p>
        </w:tc>
        <w:tc>
          <w:tcPr>
            <w:tcW w:type="dxa" w:w="4320"/>
          </w:tcPr>
          <w:p>
            <w:r>
              <w:rPr>
                <w:sz w:val="18"/>
              </w:rPr>
              <w:t>~4.8 KB/day</w:t>
            </w:r>
          </w:p>
        </w:tc>
      </w:tr>
      <w:tr>
        <w:tc>
          <w:tcPr>
            <w:tcW w:type="dxa" w:w="4320"/>
          </w:tcPr>
          <w:p>
            <w:r>
              <w:rPr>
                <w:sz w:val="18"/>
              </w:rPr>
              <w:t>Latency (sensor → cloud)</w:t>
            </w:r>
          </w:p>
        </w:tc>
        <w:tc>
          <w:tcPr>
            <w:tcW w:type="dxa" w:w="4320"/>
          </w:tcPr>
          <w:p>
            <w:r>
              <w:rPr>
                <w:sz w:val="18"/>
              </w:rPr>
              <w:t>2–5 seconds</w:t>
            </w:r>
          </w:p>
        </w:tc>
      </w:tr>
      <w:tr>
        <w:tc>
          <w:tcPr>
            <w:tcW w:type="dxa" w:w="4320"/>
          </w:tcPr>
          <w:p>
            <w:r>
              <w:rPr>
                <w:sz w:val="18"/>
              </w:rPr>
              <w:t>Power</w:t>
            </w:r>
          </w:p>
        </w:tc>
        <w:tc>
          <w:tcPr>
            <w:tcW w:type="dxa" w:w="4320"/>
          </w:tcPr>
          <w:p>
            <w:r>
              <w:rPr>
                <w:sz w:val="18"/>
              </w:rPr>
              <w:t>~150 mA (USB-powered)</w:t>
            </w:r>
          </w:p>
        </w:tc>
      </w:tr>
      <w:tr>
        <w:tc>
          <w:tcPr>
            <w:tcW w:type="dxa" w:w="4320"/>
          </w:tcPr>
          <w:p>
            <w:r>
              <w:rPr>
                <w:sz w:val="18"/>
              </w:rPr>
              <w:t>Uptime</w:t>
            </w:r>
          </w:p>
        </w:tc>
        <w:tc>
          <w:tcPr>
            <w:tcW w:type="dxa" w:w="4320"/>
          </w:tcPr>
          <w:p>
            <w:r>
              <w:rPr>
                <w:sz w:val="18"/>
              </w:rPr>
              <w:t>&gt;99%</w:t>
            </w:r>
          </w:p>
        </w:tc>
      </w:tr>
      <w:tr>
        <w:tc>
          <w:tcPr>
            <w:tcW w:type="dxa" w:w="4320"/>
          </w:tcPr>
          <w:p>
            <w:r>
              <w:rPr>
                <w:sz w:val="18"/>
              </w:rPr>
              <w:t>ADC resolution</w:t>
            </w:r>
          </w:p>
        </w:tc>
        <w:tc>
          <w:tcPr>
            <w:tcW w:type="dxa" w:w="4320"/>
          </w:tcPr>
          <w:p>
            <w:r>
              <w:rPr>
                <w:sz w:val="18"/>
              </w:rPr>
              <w:t>12-bit (0–4095)</w:t>
            </w:r>
          </w:p>
        </w:tc>
      </w:tr>
    </w:tbl>
    <w:p>
      <w:r>
        <w:rPr>
          <w:b/>
          <w:sz w:val="22"/>
        </w:rPr>
        <w:t>Trade-Off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Trade-Off</w:t>
            </w:r>
          </w:p>
        </w:tc>
        <w:tc>
          <w:tcPr>
            <w:tcW w:type="dxa" w:w="2880"/>
          </w:tcPr>
          <w:p>
            <w:r>
              <w:rPr>
                <w:b/>
                <w:sz w:val="18"/>
              </w:rPr>
              <w:t>Decision</w:t>
            </w:r>
          </w:p>
        </w:tc>
        <w:tc>
          <w:tcPr>
            <w:tcW w:type="dxa" w:w="2880"/>
          </w:tcPr>
          <w:p>
            <w:r>
              <w:rPr>
                <w:b/>
                <w:sz w:val="18"/>
              </w:rPr>
              <w:t>Rationale</w:t>
            </w:r>
          </w:p>
        </w:tc>
      </w:tr>
      <w:tr>
        <w:tc>
          <w:tcPr>
            <w:tcW w:type="dxa" w:w="2880"/>
          </w:tcPr>
          <w:p>
            <w:r>
              <w:rPr>
                <w:sz w:val="18"/>
              </w:rPr>
              <w:t>Local vs Cloud</w:t>
            </w:r>
          </w:p>
        </w:tc>
        <w:tc>
          <w:tcPr>
            <w:tcW w:type="dxa" w:w="2880"/>
          </w:tcPr>
          <w:p>
            <w:r>
              <w:rPr>
                <w:sz w:val="18"/>
              </w:rPr>
              <w:t>Cloud (Google Sheets)</w:t>
            </w:r>
          </w:p>
        </w:tc>
        <w:tc>
          <w:tcPr>
            <w:tcW w:type="dxa" w:w="2880"/>
          </w:tcPr>
          <w:p>
            <w:r>
              <w:rPr>
                <w:sz w:val="18"/>
              </w:rPr>
              <w:t>Simplifies firmware; remote monitoring; ~5 KB/day</w:t>
            </w:r>
          </w:p>
        </w:tc>
      </w:tr>
      <w:tr>
        <w:tc>
          <w:tcPr>
            <w:tcW w:type="dxa" w:w="2880"/>
          </w:tcPr>
          <w:p>
            <w:r>
              <w:rPr>
                <w:sz w:val="18"/>
              </w:rPr>
              <w:t>Sampling vs Exposure</w:t>
            </w:r>
          </w:p>
        </w:tc>
        <w:tc>
          <w:tcPr>
            <w:tcW w:type="dxa" w:w="2880"/>
          </w:tcPr>
          <w:p>
            <w:r>
              <w:rPr>
                <w:sz w:val="18"/>
              </w:rPr>
              <w:t>15-min interval</w:t>
            </w:r>
          </w:p>
        </w:tc>
        <w:tc>
          <w:tcPr>
            <w:tcW w:type="dxa" w:w="2880"/>
          </w:tcPr>
          <w:p>
            <w:r>
              <w:rPr>
                <w:sz w:val="18"/>
              </w:rPr>
              <w:t>Higher rates increase red LED exposure to control</w:t>
            </w:r>
          </w:p>
        </w:tc>
      </w:tr>
      <w:tr>
        <w:tc>
          <w:tcPr>
            <w:tcW w:type="dxa" w:w="2880"/>
          </w:tcPr>
          <w:p>
            <w:r>
              <w:rPr>
                <w:sz w:val="18"/>
              </w:rPr>
              <w:t>Accuracy vs Cost</w:t>
            </w:r>
          </w:p>
        </w:tc>
        <w:tc>
          <w:tcPr>
            <w:tcW w:type="dxa" w:w="2880"/>
          </w:tcPr>
          <w:p>
            <w:r>
              <w:rPr>
                <w:sz w:val="18"/>
              </w:rPr>
              <w:t>DHT11 over BME280</w:t>
            </w:r>
          </w:p>
        </w:tc>
        <w:tc>
          <w:tcPr>
            <w:tcW w:type="dxa" w:w="2880"/>
          </w:tcPr>
          <w:p>
            <w:r>
              <w:rPr>
                <w:sz w:val="18"/>
              </w:rPr>
              <w:t>Trend detection sufficient; £1 vs £8</w:t>
            </w:r>
          </w:p>
        </w:tc>
      </w:tr>
      <w:tr>
        <w:tc>
          <w:tcPr>
            <w:tcW w:type="dxa" w:w="2880"/>
          </w:tcPr>
          <w:p>
            <w:r>
              <w:rPr>
                <w:sz w:val="18"/>
              </w:rPr>
              <w:t>Reliability vs Simplicity</w:t>
            </w:r>
          </w:p>
        </w:tc>
        <w:tc>
          <w:tcPr>
            <w:tcW w:type="dxa" w:w="2880"/>
          </w:tcPr>
          <w:p>
            <w:r>
              <w:rPr>
                <w:sz w:val="18"/>
              </w:rPr>
              <w:t>No local buffer</w:t>
            </w:r>
          </w:p>
        </w:tc>
        <w:tc>
          <w:tcPr>
            <w:tcW w:type="dxa" w:w="2880"/>
          </w:tcPr>
          <w:p>
            <w:r>
              <w:rPr>
                <w:sz w:val="18"/>
              </w:rPr>
              <w:t>Acceptable for stable Wi-Fi environment</w:t>
            </w:r>
          </w:p>
        </w:tc>
      </w:tr>
      <w:tr>
        <w:tc>
          <w:tcPr>
            <w:tcW w:type="dxa" w:w="2880"/>
          </w:tcPr>
          <w:p>
            <w:r>
              <w:rPr>
                <w:sz w:val="18"/>
              </w:rPr>
              <w:t>Total cost</w:t>
            </w:r>
          </w:p>
        </w:tc>
        <w:tc>
          <w:tcPr>
            <w:tcW w:type="dxa" w:w="2880"/>
          </w:tcPr>
          <w:p>
            <w:r>
              <w:rPr>
                <w:sz w:val="18"/>
              </w:rPr>
              <w:t>~£15</w:t>
            </w:r>
          </w:p>
        </w:tc>
        <w:tc>
          <w:tcPr>
            <w:tcW w:type="dxa" w:w="2880"/>
          </w:tcPr>
          <w:p>
            <w:r>
              <w:rPr>
                <w:sz w:val="18"/>
              </w:rPr>
              <w:t>ESP32+sensors+LEDs+breadboard+RTC</w:t>
            </w:r>
          </w:p>
        </w:tc>
      </w:tr>
    </w:tbl>
    <w:p>
      <w:r>
        <w:rPr>
          <w:b/>
          <w:sz w:val="22"/>
        </w:rPr>
        <w:t>Limitations:</w:t>
      </w:r>
    </w:p>
    <w:p>
      <w:pPr>
        <w:pStyle w:val="ListBullet"/>
      </w:pPr>
      <w:r>
        <w:t>Blue channel ADC saturation prevents full growth quantification.</w:t>
      </w:r>
    </w:p>
    <w:p>
      <w:pPr>
        <w:pStyle w:val="ListBullet"/>
      </w:pPr>
      <w:r>
        <w:t>Ambient green light interference: the continuously-on green LED can reach the photoresistor even when sprouts partially obstruct the red measurement path, underrepresenting green group growth.</w:t>
      </w:r>
    </w:p>
    <w:p>
      <w:pPr>
        <w:pStyle w:val="ListBullet"/>
      </w:pPr>
      <w:r>
        <w:t>Phototropic bending in the control group confounds growth readings — sprouts move out of the sensor path, causing apparent decreases that reflect movement, not reduced growth.</w:t>
      </w:r>
    </w:p>
    <w:p>
      <w:pPr>
        <w:pStyle w:val="ListBullet"/>
      </w:pPr>
      <w:r>
        <w:t>Single environmental sensor; micro-climate may vary between chambers.</w:t>
      </w:r>
    </w:p>
    <w:p>
      <w:pPr>
        <w:pStyle w:val="ListBullet"/>
      </w:pPr>
      <w:r>
        <w:t>No local buffering; Wi-Fi dropouts cause data loss.</w:t>
      </w:r>
    </w:p>
    <w:p>
      <w:pPr>
        <w:pStyle w:val="ListBullet"/>
      </w:pPr>
      <w:r>
        <w:t>Breadboard connections are fragile; disturbances during watering cause anomalies.</w:t>
      </w:r>
    </w:p>
    <w:p>
      <w:r>
        <w:br w:type="page"/>
      </w:r>
    </w:p>
    <w:p>
      <w:pPr>
        <w:pStyle w:val="Heading1"/>
      </w:pPr>
      <w:r>
        <w:t>Part 2: Internet of Things</w:t>
      </w:r>
    </w:p>
    <w:p>
      <w:pPr>
        <w:pStyle w:val="Heading2"/>
      </w:pPr>
      <w:r>
        <w:t>1. Data Interaction/Visualisation/Actuation Platform</w:t>
      </w:r>
    </w:p>
    <w:p>
      <w:r>
        <w:rPr>
          <w:sz w:val="22"/>
        </w:rPr>
        <w:t>An interactive web dashboard was built using Streamlit (Python) with Plotly for visualisation, providing five view modes:</w:t>
      </w:r>
    </w:p>
    <w:p>
      <w:pPr>
        <w:pStyle w:val="ListBullet"/>
      </w:pPr>
      <w:r>
        <w:t>Dashboard: Overview of all growth curves with raw/cleaned toggle and baseline normalisation.</w:t>
      </w:r>
    </w:p>
    <w:p>
      <w:pPr>
        <w:pStyle w:val="ListBullet"/>
      </w:pPr>
      <w:r>
        <w:t>Growth Explorer: Configurable growth rate with adjustable window and smoothing; daily bar charts.</w:t>
      </w:r>
    </w:p>
    <w:p>
      <w:pPr>
        <w:pStyle w:val="ListBullet"/>
      </w:pPr>
      <w:r>
        <w:t>Movement Analysis: Detrending tool for plant oscillation with FFT frequency spectrum.</w:t>
      </w:r>
    </w:p>
    <w:p>
      <w:pPr>
        <w:pStyle w:val="ListBullet"/>
      </w:pPr>
      <w:r>
        <w:t>Environmental: Temperature/humidity time series and scatter plots vs growth rate.</w:t>
      </w:r>
    </w:p>
    <w:p>
      <w:pPr>
        <w:pStyle w:val="ListBullet"/>
      </w:pPr>
      <w:r>
        <w:t>Compare &amp; Stats: Welch's t-test, box plots, and cross-correlation heatmaps.</w:t>
      </w:r>
    </w:p>
    <w:p>
      <w:r>
        <w:rPr>
          <w:i/>
          <w:sz w:val="22"/>
        </w:rPr>
        <w:t>To run: streamlit run app/bean_sprout_dashboard.py</w:t>
      </w:r>
    </w:p>
    <w:p>
      <w:pPr>
        <w:pStyle w:val="Heading2"/>
      </w:pPr>
      <w:r>
        <w:t>2. Data Analytics, Inferences and Insights</w:t>
      </w:r>
    </w:p>
    <w:p>
      <w:r>
        <w:rPr>
          <w:b/>
          <w:sz w:val="22"/>
        </w:rPr>
        <w:t>Growth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Group</w:t>
            </w:r>
          </w:p>
        </w:tc>
        <w:tc>
          <w:tcPr>
            <w:tcW w:type="dxa" w:w="1728"/>
          </w:tcPr>
          <w:p>
            <w:r>
              <w:rPr>
                <w:b/>
                <w:sz w:val="18"/>
              </w:rPr>
              <w:t>Baseline</w:t>
            </w:r>
          </w:p>
        </w:tc>
        <w:tc>
          <w:tcPr>
            <w:tcW w:type="dxa" w:w="1728"/>
          </w:tcPr>
          <w:p>
            <w:r>
              <w:rPr>
                <w:b/>
                <w:sz w:val="18"/>
              </w:rPr>
              <w:t>Final</w:t>
            </w:r>
          </w:p>
        </w:tc>
        <w:tc>
          <w:tcPr>
            <w:tcW w:type="dxa" w:w="1728"/>
          </w:tcPr>
          <w:p>
            <w:r>
              <w:rPr>
                <w:b/>
                <w:sz w:val="18"/>
              </w:rPr>
              <w:t>Total Change</w:t>
            </w:r>
          </w:p>
        </w:tc>
        <w:tc>
          <w:tcPr>
            <w:tcW w:type="dxa" w:w="1728"/>
          </w:tcPr>
          <w:p>
            <w:r>
              <w:rPr>
                <w:b/>
                <w:sz w:val="18"/>
              </w:rPr>
              <w:t>Notes</w:t>
            </w:r>
          </w:p>
        </w:tc>
      </w:tr>
      <w:tr>
        <w:tc>
          <w:tcPr>
            <w:tcW w:type="dxa" w:w="1728"/>
          </w:tcPr>
          <w:p>
            <w:r>
              <w:rPr>
                <w:sz w:val="18"/>
              </w:rPr>
              <w:t>Green</w:t>
            </w:r>
          </w:p>
        </w:tc>
        <w:tc>
          <w:tcPr>
            <w:tcW w:type="dxa" w:w="1728"/>
          </w:tcPr>
          <w:p>
            <w:r>
              <w:rPr>
                <w:sz w:val="18"/>
              </w:rPr>
              <w:t>3479</w:t>
            </w:r>
          </w:p>
        </w:tc>
        <w:tc>
          <w:tcPr>
            <w:tcW w:type="dxa" w:w="1728"/>
          </w:tcPr>
          <w:p>
            <w:r>
              <w:rPr>
                <w:sz w:val="18"/>
              </w:rPr>
              <w:t>~3528</w:t>
            </w:r>
          </w:p>
        </w:tc>
        <w:tc>
          <w:tcPr>
            <w:tcW w:type="dxa" w:w="1728"/>
          </w:tcPr>
          <w:p>
            <w:r>
              <w:rPr>
                <w:sz w:val="18"/>
              </w:rPr>
              <w:t>+49</w:t>
            </w:r>
          </w:p>
        </w:tc>
        <w:tc>
          <w:tcPr>
            <w:tcW w:type="dxa" w:w="1728"/>
          </w:tcPr>
          <w:p>
            <w:r>
              <w:rPr>
                <w:sz w:val="18"/>
              </w:rPr>
              <w:t>Moderate growth, underrepresented by sensor</w:t>
            </w:r>
          </w:p>
        </w:tc>
      </w:tr>
      <w:tr>
        <w:tc>
          <w:tcPr>
            <w:tcW w:type="dxa" w:w="1728"/>
          </w:tcPr>
          <w:p>
            <w:r>
              <w:rPr>
                <w:sz w:val="18"/>
              </w:rPr>
              <w:t>Blue</w:t>
            </w:r>
          </w:p>
        </w:tc>
        <w:tc>
          <w:tcPr>
            <w:tcW w:type="dxa" w:w="1728"/>
          </w:tcPr>
          <w:p>
            <w:r>
              <w:rPr>
                <w:sz w:val="18"/>
              </w:rPr>
              <w:t>3491</w:t>
            </w:r>
          </w:p>
        </w:tc>
        <w:tc>
          <w:tcPr>
            <w:tcW w:type="dxa" w:w="1728"/>
          </w:tcPr>
          <w:p>
            <w:r>
              <w:rPr>
                <w:sz w:val="18"/>
              </w:rPr>
              <w:t>4095</w:t>
            </w:r>
          </w:p>
        </w:tc>
        <w:tc>
          <w:tcPr>
            <w:tcW w:type="dxa" w:w="1728"/>
          </w:tcPr>
          <w:p>
            <w:r>
              <w:rPr>
                <w:sz w:val="18"/>
              </w:rPr>
              <w:t>+604*</w:t>
            </w:r>
          </w:p>
        </w:tc>
        <w:tc>
          <w:tcPr>
            <w:tcW w:type="dxa" w:w="1728"/>
          </w:tcPr>
          <w:p>
            <w:r>
              <w:rPr>
                <w:sz w:val="18"/>
              </w:rPr>
              <w:t>Saturated — true growth exceeds this</w:t>
            </w:r>
          </w:p>
        </w:tc>
      </w:tr>
      <w:tr>
        <w:tc>
          <w:tcPr>
            <w:tcW w:type="dxa" w:w="1728"/>
          </w:tcPr>
          <w:p>
            <w:r>
              <w:rPr>
                <w:sz w:val="18"/>
              </w:rPr>
              <w:t>Control</w:t>
            </w:r>
          </w:p>
        </w:tc>
        <w:tc>
          <w:tcPr>
            <w:tcW w:type="dxa" w:w="1728"/>
          </w:tcPr>
          <w:p>
            <w:r>
              <w:rPr>
                <w:sz w:val="18"/>
              </w:rPr>
              <w:t>3595</w:t>
            </w:r>
          </w:p>
        </w:tc>
        <w:tc>
          <w:tcPr>
            <w:tcW w:type="dxa" w:w="1728"/>
          </w:tcPr>
          <w:p>
            <w:r>
              <w:rPr>
                <w:sz w:val="18"/>
              </w:rPr>
              <w:t>~3045</w:t>
            </w:r>
          </w:p>
        </w:tc>
        <w:tc>
          <w:tcPr>
            <w:tcW w:type="dxa" w:w="1728"/>
          </w:tcPr>
          <w:p>
            <w:r>
              <w:rPr>
                <w:sz w:val="18"/>
              </w:rPr>
              <w:t>-550</w:t>
            </w:r>
          </w:p>
        </w:tc>
        <w:tc>
          <w:tcPr>
            <w:tcW w:type="dxa" w:w="1728"/>
          </w:tcPr>
          <w:p>
            <w:r>
              <w:rPr>
                <w:sz w:val="18"/>
              </w:rPr>
              <w:t>Growing normally, but bending away from sensor</w:t>
            </w:r>
          </w:p>
        </w:tc>
      </w:tr>
    </w:tbl>
    <w:p>
      <w:r>
        <w:rPr>
          <w:b/>
          <w:sz w:val="22"/>
        </w:rPr>
        <w:t>Key Findings:</w:t>
      </w:r>
    </w:p>
    <w:p>
      <w:pPr>
        <w:pStyle w:val="ListBullet"/>
      </w:pPr>
      <w:r>
        <w:t>Blue light dramatically accelerated growth, saturating the sensor in ~3 days. This is consistent with blue light activating phototropin and cryptochrome receptors. Manual observation confirmed tallest sprouts with green, chlorophyll-rich leaves.</w:t>
      </w:r>
    </w:p>
    <w:p>
      <w:pPr>
        <w:pStyle w:val="ListBullet"/>
      </w:pPr>
      <w:r>
        <w:t>Green light produced decent but sensor-underrepresented growth (+49 ADC). The ambient green photons can leak through to the photoresistor even when sprouts obstruct the red measurement path, keeping readings artificially low. Visual inspection confirmed reasonable growth with slightly green leaves.</w:t>
      </w:r>
    </w:p>
    <w:p>
      <w:pPr>
        <w:pStyle w:val="ListBullet"/>
      </w:pPr>
      <w:r>
        <w:t>The control group grew normally but bent sideways (phototropism toward blue light leaks), moving sprouts out of the sensor path and causing apparent ADC decreases. The ±500 ADC oscillations reflect the sprouts swaying as they search for light.</w:t>
      </w:r>
    </w:p>
    <w:p>
      <w:r>
        <w:rPr>
          <w:b/>
          <w:sz w:val="22"/>
        </w:rPr>
        <w:t>Leaf Coloration (Manual Observation):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Group</w:t>
            </w:r>
          </w:p>
        </w:tc>
        <w:tc>
          <w:tcPr>
            <w:tcW w:type="dxa" w:w="2880"/>
          </w:tcPr>
          <w:p>
            <w:r>
              <w:rPr>
                <w:b/>
                <w:sz w:val="18"/>
              </w:rPr>
              <w:t>Leaf Appearance</w:t>
            </w:r>
          </w:p>
        </w:tc>
        <w:tc>
          <w:tcPr>
            <w:tcW w:type="dxa" w:w="2880"/>
          </w:tcPr>
          <w:p>
            <w:r>
              <w:rPr>
                <w:b/>
                <w:sz w:val="18"/>
              </w:rPr>
              <w:t>Interpretation</w:t>
            </w:r>
          </w:p>
        </w:tc>
      </w:tr>
      <w:tr>
        <w:tc>
          <w:tcPr>
            <w:tcW w:type="dxa" w:w="2880"/>
          </w:tcPr>
          <w:p>
            <w:r>
              <w:rPr>
                <w:sz w:val="18"/>
              </w:rPr>
              <w:t>Blue</w:t>
            </w:r>
          </w:p>
        </w:tc>
        <w:tc>
          <w:tcPr>
            <w:tcW w:type="dxa" w:w="2880"/>
          </w:tcPr>
          <w:p>
            <w:r>
              <w:rPr>
                <w:sz w:val="18"/>
              </w:rPr>
              <w:t>Green, healthy leaves</w:t>
            </w:r>
          </w:p>
        </w:tc>
        <w:tc>
          <w:tcPr>
            <w:tcW w:type="dxa" w:w="2880"/>
          </w:tcPr>
          <w:p>
            <w:r>
              <w:rPr>
                <w:sz w:val="18"/>
              </w:rPr>
              <w:t>Blue light activates chlorophyll biosynthesis</w:t>
            </w:r>
          </w:p>
        </w:tc>
      </w:tr>
      <w:tr>
        <w:tc>
          <w:tcPr>
            <w:tcW w:type="dxa" w:w="2880"/>
          </w:tcPr>
          <w:p>
            <w:r>
              <w:rPr>
                <w:sz w:val="18"/>
              </w:rPr>
              <w:t>Green</w:t>
            </w:r>
          </w:p>
        </w:tc>
        <w:tc>
          <w:tcPr>
            <w:tcW w:type="dxa" w:w="2880"/>
          </w:tcPr>
          <w:p>
            <w:r>
              <w:rPr>
                <w:sz w:val="18"/>
              </w:rPr>
              <w:t>Slight hint of green</w:t>
            </w:r>
          </w:p>
        </w:tc>
        <w:tc>
          <w:tcPr>
            <w:tcW w:type="dxa" w:w="2880"/>
          </w:tcPr>
          <w:p>
            <w:r>
              <w:rPr>
                <w:sz w:val="18"/>
              </w:rPr>
              <w:t>Partial photomorphogenic response</w:t>
            </w:r>
          </w:p>
        </w:tc>
      </w:tr>
      <w:tr>
        <w:tc>
          <w:tcPr>
            <w:tcW w:type="dxa" w:w="2880"/>
          </w:tcPr>
          <w:p>
            <w:r>
              <w:rPr>
                <w:sz w:val="18"/>
              </w:rPr>
              <w:t>Control</w:t>
            </w:r>
          </w:p>
        </w:tc>
        <w:tc>
          <w:tcPr>
            <w:tcW w:type="dxa" w:w="2880"/>
          </w:tcPr>
          <w:p>
            <w:r>
              <w:rPr>
                <w:sz w:val="18"/>
              </w:rPr>
              <w:t>Yellowish, etiolated</w:t>
            </w:r>
          </w:p>
        </w:tc>
        <w:tc>
          <w:tcPr>
            <w:tcW w:type="dxa" w:w="2880"/>
          </w:tcPr>
          <w:p>
            <w:r>
              <w:rPr>
                <w:sz w:val="18"/>
              </w:rPr>
              <w:t>No light stimulus for chlorophyll production</w:t>
            </w:r>
          </w:p>
        </w:tc>
      </w:tr>
    </w:tbl>
    <w:p>
      <w:r>
        <w:rPr>
          <w:b/>
          <w:sz w:val="22"/>
        </w:rPr>
        <w:t>Geometric Height Estimation:</w:t>
      </w:r>
    </w:p>
    <w:p>
      <w:r>
        <w:rPr>
          <w:sz w:val="22"/>
        </w:rPr>
        <w:t>Since no direct height sensor was available, we estimated plant height from ADC readings using the chamber geometry. The LED sits at ~11 cm height, the photosensor at ~4 cm. Using trigonometry, we calculate that full light-path blockage (ADC = 4095) corresponds to a plant height of ~5.2 cm above the container rim. The obstruction ratio maps linearly to estimated height.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Group</w:t>
            </w:r>
          </w:p>
        </w:tc>
        <w:tc>
          <w:tcPr>
            <w:tcW w:type="dxa" w:w="2160"/>
          </w:tcPr>
          <w:p>
            <w:r>
              <w:rPr>
                <w:b/>
                <w:sz w:val="18"/>
              </w:rPr>
              <w:t>Est. Final Height</w:t>
            </w:r>
          </w:p>
        </w:tc>
        <w:tc>
          <w:tcPr>
            <w:tcW w:type="dxa" w:w="2160"/>
          </w:tcPr>
          <w:p>
            <w:r>
              <w:rPr>
                <w:b/>
                <w:sz w:val="18"/>
              </w:rPr>
              <w:t>Peak Height</w:t>
            </w:r>
          </w:p>
        </w:tc>
        <w:tc>
          <w:tcPr>
            <w:tcW w:type="dxa" w:w="2160"/>
          </w:tcPr>
          <w:p>
            <w:r>
              <w:rPr>
                <w:b/>
                <w:sz w:val="18"/>
              </w:rPr>
              <w:t>Notes</w:t>
            </w:r>
          </w:p>
        </w:tc>
      </w:tr>
      <w:tr>
        <w:tc>
          <w:tcPr>
            <w:tcW w:type="dxa" w:w="2160"/>
          </w:tcPr>
          <w:p>
            <w:r>
              <w:rPr>
                <w:sz w:val="18"/>
              </w:rPr>
              <w:t>Blue</w:t>
            </w:r>
          </w:p>
        </w:tc>
        <w:tc>
          <w:tcPr>
            <w:tcW w:type="dxa" w:w="2160"/>
          </w:tcPr>
          <w:p>
            <w:r>
              <w:rPr>
                <w:sz w:val="18"/>
              </w:rPr>
              <w:t>5.2 cm (saturated)</w:t>
            </w:r>
          </w:p>
        </w:tc>
        <w:tc>
          <w:tcPr>
            <w:tcW w:type="dxa" w:w="2160"/>
          </w:tcPr>
          <w:p>
            <w:r>
              <w:rPr>
                <w:sz w:val="18"/>
              </w:rPr>
              <w:t>&gt;=5.2 cm</w:t>
            </w:r>
          </w:p>
        </w:tc>
        <w:tc>
          <w:tcPr>
            <w:tcW w:type="dxa" w:w="2160"/>
          </w:tcPr>
          <w:p>
            <w:r>
              <w:rPr>
                <w:sz w:val="18"/>
              </w:rPr>
              <w:t>Reached sensor limit in ~3 days</w:t>
            </w:r>
          </w:p>
        </w:tc>
      </w:tr>
      <w:tr>
        <w:tc>
          <w:tcPr>
            <w:tcW w:type="dxa" w:w="2160"/>
          </w:tcPr>
          <w:p>
            <w:r>
              <w:rPr>
                <w:sz w:val="18"/>
              </w:rPr>
              <w:t>Green</w:t>
            </w:r>
          </w:p>
        </w:tc>
        <w:tc>
          <w:tcPr>
            <w:tcW w:type="dxa" w:w="2160"/>
          </w:tcPr>
          <w:p>
            <w:r>
              <w:rPr>
                <w:sz w:val="18"/>
              </w:rPr>
              <w:t>~0.4 cm</w:t>
            </w:r>
          </w:p>
        </w:tc>
        <w:tc>
          <w:tcPr>
            <w:tcW w:type="dxa" w:w="2160"/>
          </w:tcPr>
          <w:p>
            <w:r>
              <w:rPr>
                <w:sz w:val="18"/>
              </w:rPr>
              <w:t>~0.6 cm</w:t>
            </w:r>
          </w:p>
        </w:tc>
        <w:tc>
          <w:tcPr>
            <w:tcW w:type="dxa" w:w="2160"/>
          </w:tcPr>
          <w:p>
            <w:r>
              <w:rPr>
                <w:sz w:val="18"/>
              </w:rPr>
              <w:t>Underestimated due to green light leak</w:t>
            </w:r>
          </w:p>
        </w:tc>
      </w:tr>
      <w:tr>
        <w:tc>
          <w:tcPr>
            <w:tcW w:type="dxa" w:w="2160"/>
          </w:tcPr>
          <w:p>
            <w:r>
              <w:rPr>
                <w:sz w:val="18"/>
              </w:rPr>
              <w:t>Control</w:t>
            </w:r>
          </w:p>
        </w:tc>
        <w:tc>
          <w:tcPr>
            <w:tcW w:type="dxa" w:w="2160"/>
          </w:tcPr>
          <w:p>
            <w:r>
              <w:rPr>
                <w:sz w:val="18"/>
              </w:rPr>
              <w:t>~0 cm (oscillating)</w:t>
            </w:r>
          </w:p>
        </w:tc>
        <w:tc>
          <w:tcPr>
            <w:tcW w:type="dxa" w:w="2160"/>
          </w:tcPr>
          <w:p>
            <w:r>
              <w:rPr>
                <w:sz w:val="18"/>
              </w:rPr>
              <w:t>~2.5 cm</w:t>
            </w:r>
          </w:p>
        </w:tc>
        <w:tc>
          <w:tcPr>
            <w:tcW w:type="dxa" w:w="2160"/>
          </w:tcPr>
          <w:p>
            <w:r>
              <w:rPr>
                <w:sz w:val="18"/>
              </w:rPr>
              <w:t>Movement dominates reading</w:t>
            </w:r>
          </w:p>
        </w:tc>
      </w:tr>
    </w:tbl>
    <w:p>
      <w:r>
        <w:rPr>
          <w:b/>
          <w:sz w:val="22"/>
        </w:rPr>
        <w:t>Statistical Significance:</w:t>
      </w:r>
    </w:p>
    <w:p>
      <w:r>
        <w:rPr>
          <w:sz w:val="22"/>
        </w:rPr>
        <w:t>Welch's t-tests on hourly growth rates confirm statistically significant differences between all group pairs (p &lt; 0.001), validating that observed differences are not due to random variation.</w:t>
      </w:r>
    </w:p>
    <w:p>
      <w:r>
        <w:rPr>
          <w:b/>
          <w:sz w:val="22"/>
        </w:rPr>
        <w:t>Note on Cross-Correlation:</w:t>
      </w:r>
    </w:p>
    <w:p>
      <w:r>
        <w:rPr>
          <w:sz w:val="22"/>
        </w:rPr>
        <w:t>Cross-correlation between isolated chambers has limited causal meaning — any observed correlation is driven by shared environmental factors (temperature, time of day), not direct interaction. The more meaningful analysis is each channel vs environmental factors and temporal auto-correlation within each channel to identify periodicity.</w:t>
      </w:r>
    </w:p>
    <w:p>
      <w:pPr>
        <w:pStyle w:val="Heading2"/>
      </w:pPr>
      <w:r>
        <w:t>3. Discussions on Important Aspects</w:t>
      </w:r>
    </w:p>
    <w:p>
      <w:r>
        <w:rPr>
          <w:b/>
          <w:sz w:val="22"/>
        </w:rPr>
        <w:t>Innovation and Creativity:</w:t>
      </w:r>
    </w:p>
    <w:p>
      <w:pPr>
        <w:pStyle w:val="ListBullet"/>
      </w:pPr>
      <w:r>
        <w:t>Indirect growth measurement using photoresistors as a low-cost, continuous, non-contact growth proxy.</w:t>
      </w:r>
    </w:p>
    <w:p>
      <w:pPr>
        <w:pStyle w:val="ListBullet"/>
      </w:pPr>
      <w:r>
        <w:t>Serendipitous discovery of plant movement patterns from always-on IoT monitoring — phenomena that periodic manual observation would miss.</w:t>
      </w:r>
    </w:p>
    <w:p>
      <w:pPr>
        <w:pStyle w:val="ListBullet"/>
      </w:pPr>
      <w:r>
        <w:t>Multi-insight from a single sensor: growth trends (long-term) and movement dynamics (short-term).</w:t>
      </w:r>
    </w:p>
    <w:p>
      <w:r>
        <w:rPr>
          <w:b/>
          <w:sz w:val="22"/>
        </w:rPr>
        <w:t>Scalability:</w:t>
      </w:r>
    </w:p>
    <w:p>
      <w:r>
        <w:rPr>
          <w:sz w:val="22"/>
        </w:rPr>
        <w:t>The system scales horizontally (more ADC channels), across devices (multiple ESP32s to one Sheet), and to production cloud services (Firebase, InfluxDB, AWS IoT Core) given the HTTP architecture.</w:t>
      </w:r>
    </w:p>
    <w:p>
      <w:r>
        <w:rPr>
          <w:b/>
          <w:sz w:val="22"/>
        </w:rPr>
        <w:t>Complexity:</w:t>
      </w:r>
    </w:p>
    <w:p>
      <w:r>
        <w:rPr>
          <w:sz w:val="22"/>
        </w:rPr>
        <w:t>The system integrates hardware (ESP32, 3×LDR, DHT11, RTC, LEDs), firmware (Arduino C++), cloud services (Google Apps Script + Sheets), analytics (Python/Pandas/SciPy in Jupyter), and a web dashboard (Streamlit/Plotly) — covering the full IoT pipeline.</w:t>
      </w:r>
    </w:p>
    <w:p>
      <w:pPr>
        <w:pStyle w:val="Heading2"/>
      </w:pPr>
      <w:r>
        <w:t>4. Avenues for Future Work and Potential Impact</w:t>
      </w:r>
    </w:p>
    <w:p>
      <w:r>
        <w:rPr>
          <w:b/>
          <w:sz w:val="22"/>
        </w:rPr>
        <w:t>Technical Improvements:</w:t>
      </w:r>
    </w:p>
    <w:p>
      <w:pPr>
        <w:pStyle w:val="ListBullet"/>
      </w:pPr>
      <w:r>
        <w:t>Higher-resolution ADC or attenuated LEDs to prevent sensor saturation.</w:t>
      </w:r>
    </w:p>
    <w:p>
      <w:pPr>
        <w:pStyle w:val="ListBullet"/>
      </w:pPr>
      <w:r>
        <w:t>SD card buffering for data resilience during Wi-Fi outages.</w:t>
      </w:r>
    </w:p>
    <w:p>
      <w:pPr>
        <w:pStyle w:val="ListBullet"/>
      </w:pPr>
      <w:r>
        <w:t>Automated watering actuation triggered by humidity thresholds — completing the IoT feedback loop.</w:t>
      </w:r>
    </w:p>
    <w:p>
      <w:pPr>
        <w:pStyle w:val="ListBullet"/>
      </w:pPr>
      <w:r>
        <w:t>Camera integration for time-lapse visual verification.</w:t>
      </w:r>
    </w:p>
    <w:p>
      <w:r>
        <w:rPr>
          <w:b/>
          <w:sz w:val="22"/>
        </w:rPr>
        <w:t>Scientific Extensions:</w:t>
      </w:r>
    </w:p>
    <w:p>
      <w:pPr>
        <w:pStyle w:val="ListBullet"/>
      </w:pPr>
      <w:r>
        <w:t>Longer experiments (2–4 weeks) covering full growth cycle.</w:t>
      </w:r>
    </w:p>
    <w:p>
      <w:pPr>
        <w:pStyle w:val="ListBullet"/>
      </w:pPr>
      <w:r>
        <w:t>Additional wavelengths (red, UV, white) for complete action spectrum.</w:t>
      </w:r>
    </w:p>
    <w:p>
      <w:pPr>
        <w:pStyle w:val="ListBullet"/>
      </w:pPr>
      <w:r>
        <w:t>Dedicated multi-angle photoresistors for 2D/3D plant movement tracking.</w:t>
      </w:r>
    </w:p>
    <w:p>
      <w:pPr>
        <w:pStyle w:val="ListBullet"/>
      </w:pPr>
      <w:r>
        <w:t>Colour sensor (e.g., TCS34725) to quantify leaf chlorophyll content over time — linking light wavelength to photosynthetic development, not just stem elongation.</w:t>
      </w:r>
    </w:p>
    <w:p>
      <w:r>
        <w:rPr>
          <w:b/>
          <w:sz w:val="22"/>
        </w:rPr>
        <w:t>Potential Impact:</w:t>
      </w:r>
    </w:p>
    <w:p>
      <w:pPr>
        <w:pStyle w:val="ListBullet"/>
      </w:pPr>
      <w:r>
        <w:t>Urban/vertical farming: IoT light recipes to optimise indoor crop growth.</w:t>
      </w:r>
    </w:p>
    <w:p>
      <w:pPr>
        <w:pStyle w:val="ListBullet"/>
      </w:pPr>
      <w:r>
        <w:t>Education: Low-cost STEM teaching tool for plant biology, electronics, and data science.</w:t>
      </w:r>
    </w:p>
    <w:p>
      <w:pPr>
        <w:pStyle w:val="ListBullet"/>
      </w:pPr>
      <w:r>
        <w:t>Plant phenotyping: Continuous movement monitoring for agricultural research.</w:t>
      </w:r>
    </w:p>
    <w:p>
      <w:r>
        <w:rPr>
          <w:sz w:val="22"/>
        </w:rPr>
      </w:r>
    </w:p>
    <w:p>
      <w:r>
        <w:rPr>
          <w:b/>
          <w:sz w:val="20"/>
        </w:rPr>
        <w:t>Code Repository: https://github.com/hajidnaufalatthousi/internet-of-things-project</w:t>
      </w:r>
    </w:p>
    <w:p>
      <w:r>
        <w:rPr>
          <w:sz w:val="20"/>
        </w:rPr>
        <w:t>Data: https://docs.google.com/spreadsheets/d/1Vkc24L-VDzpiR6GrKL9sg7BJ5h5271bmTEASLvmzD9M/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