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240"/>
        <w:jc w:val="center"/>
      </w:pPr>
      <w:r>
        <w:rPr>
          <w:rFonts w:ascii="Prompt" w:hAnsi="Prompt"/>
          <w:b/>
          <w:color w:val="0D9488"/>
          <w:sz w:val="28"/>
        </w:rPr>
        <w:t>คณะพยาบาลศาสตร์ มหาวิทยาลัย</w:t>
        <w:br/>
        <w:t>SMART NURSING LAB MANAGEMENT SYSTEM</w:t>
        <w:br/>
      </w:r>
      <w:r>
        <w:rPr>
          <w:rFonts w:ascii="Prompt" w:hAnsi="Prompt"/>
          <w:b/>
          <w:color w:val="0F766E"/>
          <w:sz w:val="52"/>
        </w:rPr>
        <w:t>คู่มือการใช้งานระบบ</w:t>
        <w:br/>
        <w:t>ห้องปฏิบัติการพยาบาลศาสตร์</w:t>
        <w:br/>
      </w:r>
      <w:r>
        <w:rPr>
          <w:rFonts w:ascii="Prompt" w:hAnsi="Prompt"/>
          <w:color w:val="0284C7"/>
          <w:sz w:val="36"/>
        </w:rPr>
        <w:t>สำหรับนิสิตพยาบาล (Student User Manual)</w:t>
        <w:br/>
      </w:r>
    </w:p>
    <w:p>
      <w:pPr>
        <w:spacing w:after="2400"/>
        <w:jc w:val="center"/>
      </w:pPr>
      <w:r>
        <w:rPr>
          <w:color w:val="CCFBF1"/>
        </w:rPr>
        <w:t>____________________________________________________</w:t>
      </w:r>
    </w:p>
    <w:p>
      <w:pPr>
        <w:jc w:val="center"/>
      </w:pPr>
      <w:r>
        <w:rPr>
          <w:color w:val="64748B"/>
          <w:sz w:val="22"/>
        </w:rPr>
        <w:t>งานห้องปฏิบัติการและเทคโนโลยีการศึกษา คณะพยาบาลศาสตร์</w:t>
        <w:br/>
        <w:t>ระบบ One-Stop Requisition • Patient Safety Lock • QR Check-in</w:t>
        <w:br/>
        <w:t>ฉบับปรับปรุง กันยายน 2569</w:t>
      </w:r>
    </w:p>
    <w:p>
      <w:r>
        <w:br w:type="page"/>
      </w:r>
    </w:p>
    <w:p>
      <w:pPr>
        <w:pStyle w:val="Heading1"/>
      </w:pPr>
      <w:r>
        <w:rPr>
          <w:rFonts w:ascii="Prompt" w:hAnsi="Prompt"/>
          <w:color w:val="0F766E"/>
        </w:rPr>
        <w:t>สารบัญ (Table of Contents)</w:t>
      </w:r>
    </w:p>
    <w:p>
      <w:pPr>
        <w:spacing w:after="120"/>
      </w:pPr>
      <w:r>
        <w:rPr>
          <w:sz w:val="22"/>
        </w:rPr>
        <w:t>บทนำและวัตถุประสงค์ของระบบ ......................................</w:t>
      </w:r>
      <w:r>
        <w:rPr>
          <w:b/>
          <w:sz w:val="22"/>
        </w:rPr>
        <w:t xml:space="preserve"> หน้า 3</w:t>
      </w:r>
    </w:p>
    <w:p>
      <w:pPr>
        <w:spacing w:after="120"/>
      </w:pPr>
      <w:r>
        <w:rPr>
          <w:sz w:val="22"/>
        </w:rPr>
        <w:t>บทที่ 1: การเข้าสู่ระบบและการเตรียมความพร้อม ....................</w:t>
      </w:r>
      <w:r>
        <w:rPr>
          <w:b/>
          <w:sz w:val="22"/>
        </w:rPr>
        <w:t xml:space="preserve"> หน้า 4</w:t>
      </w:r>
    </w:p>
    <w:p>
      <w:pPr>
        <w:spacing w:after="120"/>
      </w:pPr>
      <w:r>
        <w:rPr>
          <w:sz w:val="22"/>
        </w:rPr>
        <w:t>บทที่ 2: ผังงานขั้นตอนการทำงานมาตรฐาน (Standard Flowcharts) .....</w:t>
      </w:r>
      <w:r>
        <w:rPr>
          <w:b/>
          <w:sz w:val="22"/>
        </w:rPr>
        <w:t xml:space="preserve"> หน้า 5</w:t>
      </w:r>
    </w:p>
    <w:p>
      <w:pPr>
        <w:spacing w:after="120"/>
      </w:pPr>
      <w:r>
        <w:rPr>
          <w:sz w:val="22"/>
        </w:rPr>
        <w:t xml:space="preserve">   - 2.1 ผังงานภาพรวมการใช้งานของนิสิต (Overall Student Lifecycle) </w:t>
      </w:r>
      <w:r>
        <w:rPr>
          <w:b/>
          <w:sz w:val="22"/>
        </w:rPr>
        <w:t xml:space="preserve"> หน้า 6</w:t>
      </w:r>
    </w:p>
    <w:p>
      <w:pPr>
        <w:spacing w:after="120"/>
      </w:pPr>
      <w:r>
        <w:rPr>
          <w:sz w:val="22"/>
        </w:rPr>
        <w:t xml:space="preserve">   - 2.2 ผังงานการยืม-เบิก One-Stop และระบบ Patient Safety Lock .</w:t>
      </w:r>
      <w:r>
        <w:rPr>
          <w:b/>
          <w:sz w:val="22"/>
        </w:rPr>
        <w:t xml:space="preserve"> หน้า 7</w:t>
      </w:r>
    </w:p>
    <w:p>
      <w:pPr>
        <w:spacing w:after="120"/>
      </w:pPr>
      <w:r>
        <w:rPr>
          <w:sz w:val="22"/>
        </w:rPr>
        <w:t xml:space="preserve">   - 2.3 ผังงานการจองห้องแล็บและระบบสแกน QR Code Check-in .......</w:t>
      </w:r>
      <w:r>
        <w:rPr>
          <w:b/>
          <w:sz w:val="22"/>
        </w:rPr>
        <w:t xml:space="preserve"> หน้า 8</w:t>
      </w:r>
    </w:p>
    <w:p>
      <w:pPr>
        <w:spacing w:after="120"/>
      </w:pPr>
      <w:r>
        <w:rPr>
          <w:sz w:val="22"/>
        </w:rPr>
        <w:t xml:space="preserve">บทที่ 3: ขั้นตอนการยืม-คืนครุภัณฑ์ และเบิกพัสดุสิ้นเปลือง (One-Stop Requisition) </w:t>
      </w:r>
      <w:r>
        <w:rPr>
          <w:b/>
          <w:sz w:val="22"/>
        </w:rPr>
        <w:t xml:space="preserve"> หน้า 9</w:t>
      </w:r>
    </w:p>
    <w:p>
      <w:pPr>
        <w:spacing w:after="120"/>
      </w:pPr>
      <w:r>
        <w:rPr>
          <w:sz w:val="22"/>
        </w:rPr>
        <w:t xml:space="preserve">บทที่ 4: การขอเบิกชุดฝึกปฏิบัติการสำเร็จรูป (Nursing Practice Kits) </w:t>
      </w:r>
      <w:r>
        <w:rPr>
          <w:b/>
          <w:sz w:val="22"/>
        </w:rPr>
        <w:t xml:space="preserve"> หน้า 11</w:t>
      </w:r>
    </w:p>
    <w:p>
      <w:pPr>
        <w:spacing w:after="120"/>
      </w:pPr>
      <w:r>
        <w:rPr>
          <w:sz w:val="22"/>
        </w:rPr>
        <w:t>บทที่ 5: การขอเข้าฝึกปฏิบัติการด้วยตนเองและสแกน QR Code .........</w:t>
      </w:r>
      <w:r>
        <w:rPr>
          <w:b/>
          <w:sz w:val="22"/>
        </w:rPr>
        <w:t xml:space="preserve"> หน้า 12</w:t>
      </w:r>
    </w:p>
    <w:p>
      <w:pPr>
        <w:spacing w:after="120"/>
      </w:pPr>
      <w:r>
        <w:rPr>
          <w:sz w:val="22"/>
        </w:rPr>
        <w:t xml:space="preserve">บทที่ 6: การส่งคืนอุปกรณ์และข้อปฏิบัติความปลอดภัย (Return Guidelines) </w:t>
      </w:r>
      <w:r>
        <w:rPr>
          <w:b/>
          <w:sz w:val="22"/>
        </w:rPr>
        <w:t xml:space="preserve"> หน้า 14</w:t>
      </w:r>
    </w:p>
    <w:p>
      <w:r>
        <w:br w:type="page"/>
      </w:r>
    </w:p>
    <w:p>
      <w:pPr>
        <w:pStyle w:val="Heading1"/>
      </w:pPr>
      <w:r>
        <w:rPr>
          <w:rFonts w:ascii="Prompt" w:hAnsi="Prompt"/>
          <w:color w:val="0F766E"/>
        </w:rPr>
        <w:t>บทนำและวัตถุประสงค์ของระบบ</w:t>
      </w:r>
    </w:p>
    <w:p>
      <w:pPr>
        <w:spacing w:after="200"/>
      </w:pPr>
      <w:r>
        <w:t>ระบบบริหารจัดการห้องปฏิบัติการพยาบาลศาสตร์ (Smart Nursing Lab Management System) ได้รับการออกแบบและพัฒนาขึ้นเพื่อรองรับกระบวนการฝึกทักษะทางการพยาบาลของนิสิต โดยเน้นความสะดวก รวดเร็ว ถูกต้องตามหลักวิชาชีพ และมีระบบป้องกันความปลอดภัยทางการแพทย์อย่างเข้มงวด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rFonts w:ascii="Prompt" w:hAnsi="Prompt"/>
                <w:b/>
                <w:color w:val="0F766E"/>
              </w:rPr>
              <w:t>💡 3 นวัตกรรมสำคัญสำหรับนิสิตในระบบนี้:</w:t>
              <w:br/>
            </w:r>
            <w:r>
              <w:rPr>
                <w:sz w:val="21"/>
              </w:rPr>
              <w:t>1. One-Stop Requisition: รวมการขอยืมครุภัณฑ์และการเบิกเวชภัณฑ์ไว้ในฟอร์มเดียว สะดวก รวดเร็ว</w:t>
              <w:br/>
              <w:t>2. Patient Safety Lock: แยกวัตถุประสงค์การใช้งานระหว่างหุ่นจำลองกับคนจริงอย่างเด็ดขาด บล็อกล็อตหมดอายุ 100%</w:t>
              <w:br/>
              <w:t>3. Digital Practice Ticket: จองห้องแล็บฝึกซ้อมนอกเวลา พร้อมออกบัตรคิวเสมือนและ QR Code สแกนเข้าห้อง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Prompt" w:hAnsi="Prompt"/>
          <w:color w:val="0F766E"/>
        </w:rPr>
        <w:t>บทที่ 1: การเข้าสู่ระบบและการเตรียมความพร้อม</w:t>
      </w:r>
    </w:p>
    <w:p>
      <w:r>
        <w:t>นิสิตสามารถเข้าใช้งานระบบได้จากอุปกรณ์คอมพิวเตอร์ แท็บเล็ต หรือสมาร์ทโฟน โดยเข้าใช้งานผ่านเว็บเบราว์เซอร์ของมหาวิทยาลัยและล็อกอินด้วยรหัสนิสิต</w:t>
      </w:r>
    </w:p>
    <w:p>
      <w:r>
        <w:drawing>
          <wp:inline xmlns:a="http://schemas.openxmlformats.org/drawingml/2006/main" xmlns:pic="http://schemas.openxmlformats.org/drawingml/2006/picture">
            <wp:extent cx="5120640" cy="3698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mockup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98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รูปที่ 1.1: หน้าจอเข้าสู่ระบบสำหรับนิสิตพยาบาล (Student Login)</w:t>
      </w:r>
    </w:p>
    <w:p>
      <w:r>
        <w:t>ข้อมูลจำลองนิสิตสำหรับคู่มือฉบับนี้ (Student Persona):</w:t>
        <w:br/>
        <w:t>• ชื่อ-สกุล: น.ส. นภัสสร ใจดี</w:t>
        <w:br/>
        <w:t>• รหัสนิสิต: 66010023 (ชั้นปีที่ 2 หลักสูตรพยาบาลศาสตรบัณฑิต)</w:t>
        <w:br/>
        <w:t>• รายวิชาที่ศึกษา: NS201 การพยาบาลพื้นฐาน (อาจารย์ผู้รับผิดชอบ: ผศ.ดร.พิมพา สุขเกษม)</w:t>
      </w:r>
    </w:p>
    <w:p>
      <w:r>
        <w:br w:type="page"/>
      </w:r>
    </w:p>
    <w:p>
      <w:pPr>
        <w:pStyle w:val="Heading1"/>
      </w:pPr>
      <w:r>
        <w:rPr>
          <w:rFonts w:ascii="Prompt" w:hAnsi="Prompt"/>
          <w:color w:val="0F766E"/>
        </w:rPr>
        <w:t>บทที่ 2: ผังงานขั้นตอนการทำงานมาตรฐาน (Standard Flowcharts)</w:t>
      </w:r>
    </w:p>
    <w:p>
      <w:r>
        <w:t>ผังงานในคู่มือฉบับนี้จัดทำขึ้นตามมาตรฐานสากล ISO 5807 / ANSI Information Processing โดยมีสัญลักษณ์และข้อกำหนดการใช้งานดังนี้: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2E8F0"/>
          </w:tcPr>
          <w:p>
            <w:r>
              <w:rPr>
                <w:b/>
                <w:sz w:val="21"/>
              </w:rPr>
              <w:t>สัญลักษณ์</w:t>
            </w:r>
          </w:p>
        </w:tc>
        <w:tc>
          <w:tcPr>
            <w:tcW w:type="dxa" w:w="3120"/>
            <w:shd w:fill="E2E8F0"/>
          </w:tcPr>
          <w:p>
            <w:r>
              <w:rPr>
                <w:b/>
                <w:sz w:val="21"/>
              </w:rPr>
              <w:t>ชื่อมาตรฐาน</w:t>
            </w:r>
          </w:p>
        </w:tc>
        <w:tc>
          <w:tcPr>
            <w:tcW w:type="dxa" w:w="3120"/>
            <w:shd w:fill="E2E8F0"/>
          </w:tcPr>
          <w:p>
            <w:r>
              <w:rPr>
                <w:b/>
                <w:sz w:val="21"/>
              </w:rPr>
              <w:t>ความหมายและการใช้งานในระบบ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Terminator (วงรี/แคปซูล)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จุดเริ่มต้น / จุดสิ้นสุด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ระบุจุดเริ่มต้นกระบวนการ หรือจุดเสร็จสิ้นขั้นตอนทั้งหมด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Process (สี่เหลี่ยมผืนผ้า)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ขั้นตอนการปฏิบัติงาน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การกระทำ เช่น กรอกข้อมูล, คำนวณสต็อก, จ่ายพัสดุ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Decision (ข้าวหลามตัด)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จุดตัดสินใจเงื่อนไข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การตรวจสอบเงื่อนไข เช่น อนุมัติหรือไม่, วันหมดอายุผ่านหรือไม่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Data / I/O (ด้านขนาน)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การรับ-แสดงข้อมูล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การเลือกรายวิชา, การระบุจำนวนยืม-เบิก, การแสดงผลตาราง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Document (เอกสาร)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เอกสารและแจ้งเตือน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การออกบัตร E-Ticket, QR Code, หรือใบสรุปรายงาน</w:t>
            </w:r>
          </w:p>
        </w:tc>
      </w:tr>
    </w:tbl>
    <w:p>
      <w:pPr>
        <w:spacing w:before="200"/>
      </w:pPr>
    </w:p>
    <w:p>
      <w:pPr>
        <w:pStyle w:val="Heading2"/>
      </w:pPr>
      <w:r>
        <w:t>2.1 ผังงานภาพรวมการใช้งานของนิสิต (Overall Student Lifecycle)</w:t>
      </w:r>
    </w:p>
    <w:p>
      <w:r>
        <w:drawing>
          <wp:inline xmlns:a="http://schemas.openxmlformats.org/drawingml/2006/main" xmlns:pic="http://schemas.openxmlformats.org/drawingml/2006/picture">
            <wp:extent cx="5303520" cy="5811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1_student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81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ผังงานที่ 1: ภาพรวมกระบวนการใช้งานระบบของนิสิตพยาบาล (Student Lifecycle)</w:t>
      </w:r>
    </w:p>
    <w:p>
      <w:r>
        <w:br w:type="page"/>
      </w:r>
    </w:p>
    <w:p>
      <w:pPr>
        <w:pStyle w:val="Heading2"/>
      </w:pPr>
      <w:r>
        <w:t>2.2 ผังงานการยืม-เบิก One-Stop และระบบ Patient Safety Lock</w:t>
      </w:r>
    </w:p>
    <w:p>
      <w:r>
        <w:drawing>
          <wp:inline xmlns:a="http://schemas.openxmlformats.org/drawingml/2006/main" xmlns:pic="http://schemas.openxmlformats.org/drawingml/2006/picture">
            <wp:extent cx="5303520" cy="11478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2_unified_borrow_requis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4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ผังงานที่ 2: ขั้นตอนการยืม-เบิกแบบ One-Stop พร้อมเงื่อนไขตรวจสอบความปลอดภัย</w:t>
      </w:r>
    </w:p>
    <w:p>
      <w:r>
        <w:br w:type="page"/>
      </w:r>
    </w:p>
    <w:p>
      <w:pPr>
        <w:pStyle w:val="Heading2"/>
      </w:pPr>
      <w:r>
        <w:t>2.3 ผังงานการจองห้องปฏิบัติการและ Check-in สแกนเข้าห้อง</w:t>
      </w:r>
    </w:p>
    <w:p>
      <w:r>
        <w:drawing>
          <wp:inline xmlns:a="http://schemas.openxmlformats.org/drawingml/2006/main" xmlns:pic="http://schemas.openxmlformats.org/drawingml/2006/picture">
            <wp:extent cx="5303520" cy="90993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3_practice_book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099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ผังงานที่ 3: ขั้นตอนการจองห้องปฏิบัติการและ Check-in สแกนเข้าห้อง</w:t>
      </w:r>
    </w:p>
    <w:p>
      <w:r>
        <w:br w:type="page"/>
      </w:r>
    </w:p>
    <w:p>
      <w:pPr>
        <w:pStyle w:val="Heading1"/>
      </w:pPr>
      <w:r>
        <w:rPr>
          <w:rFonts w:ascii="Prompt" w:hAnsi="Prompt"/>
          <w:color w:val="0F766E"/>
        </w:rPr>
        <w:t>บทที่ 3: ขั้นตอนการยืม-คืนครุภัณฑ์ และเบิกพัสดุสิ้นเปลือง</w:t>
      </w:r>
    </w:p>
    <w:p>
      <w:r>
        <w:t>ระบบ One-Stop Requisition รวมการขออุปกรณ์ 2 รูปแบบไว้ในฟอร์มเดียวกัน:</w:t>
        <w:br/>
        <w:t>1. ครุภัณฑ์ (Equipment): อุปกรณ์ทางการแพทย์ที่ต้องส่งคืนหลังเสร็จสิ้นการใช้งาน</w:t>
        <w:br/>
        <w:t>2. วัสดุเวชภัณฑ์สิ้นเปลือง (Consumables): พัสดุใช้หมดไป เช่น ถุงมือ, ผ้ากอซ, สำลี</w:t>
      </w:r>
    </w:p>
    <w:p>
      <w:r>
        <w:drawing>
          <wp:inline xmlns:a="http://schemas.openxmlformats.org/drawingml/2006/main" xmlns:pic="http://schemas.openxmlformats.org/drawingml/2006/picture">
            <wp:extent cx="5303520" cy="46405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mockup_unified_reque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40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รูปที่ 3.1: หน้าต่างสร้างคำขอยืม-เบิกแบบ One-Stop (Unified Requisition)</w:t>
      </w:r>
    </w:p>
    <w:p>
      <w:pPr>
        <w:pStyle w:val="Heading2"/>
      </w:pPr>
      <w:r>
        <w:t>ขั้นตอนการทำรายการ:</w:t>
      </w:r>
    </w:p>
    <w:p>
      <w:r>
        <w:t>1. กดปุ่ม '+ ขอยืม-เบิกอุปกรณ์ (One-Stop)' บนเมนูหลัก</w:t>
        <w:br/>
        <w:t>2. เลือกวัตถุประสงค์การใช้งาน (Use Target):</w:t>
        <w:br/>
        <w:t xml:space="preserve">    • 🧪 ฝึกกับหุ่นจำลอง (Sim-Lab): อนุญาตให้เบิกเวชภัณฑ์หมดอายุได้เพื่อประหยัดทรัพยากร</w:t>
        <w:br/>
        <w:t xml:space="preserve">    • 🧑‍⚕️ ใช้งานกับคนจริง (Clinical Patient): ระบบเปิด Patient Safety Lock บล็อกล็อตหมดอายุ 100%</w:t>
        <w:br/>
        <w:t>3. เลือกรหัสวิชาทางการพยาบาล: ระบบจะค้นหาและระบุอาจารย์ผู้รับผิดชอบรายวิชาให้อัตโนมัติ</w:t>
        <w:br/>
        <w:t>4. ระบุวัน-เวลานัดหมายรับของ และกำหนดวันส่งคืน</w:t>
        <w:br/>
        <w:t>5. เลือกรายการอุปกรณ์และจำนวนที่ต้องการ จากนั้นกดยืนยันส่งคำขอ</w:t>
      </w:r>
    </w:p>
    <w:p>
      <w:r>
        <w:br w:type="page"/>
      </w:r>
    </w:p>
    <w:p>
      <w:pPr>
        <w:pStyle w:val="Heading1"/>
      </w:pPr>
      <w:r>
        <w:rPr>
          <w:rFonts w:ascii="Prompt" w:hAnsi="Prompt"/>
          <w:color w:val="0F766E"/>
        </w:rPr>
        <w:t>บทที่ 4: การขอเบิกชุดฝึกปฏิบัติการสำเร็จรูป (Nursing Practice Kits)</w:t>
      </w:r>
    </w:p>
    <w:p>
      <w:r>
        <w:t>เพื่อความสะดวกรวดเร็วในการฝึกหัตถการทางการพยาบาล คณะได้จัดเตรียมชุดอุปกรณ์สำเร็จรูป (Box Sets) ซึ่งรวบรวมอุปกรณ์และเวชภัณฑ์ที่จำเป็นสำหรับแต่ละหัตถการไว้ครบถ้วนในกล่องเดียว</w:t>
      </w:r>
    </w:p>
    <w:p>
      <w:r>
        <w:drawing>
          <wp:inline xmlns:a="http://schemas.openxmlformats.org/drawingml/2006/main" xmlns:pic="http://schemas.openxmlformats.org/drawingml/2006/picture">
            <wp:extent cx="5303520" cy="35356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mockup_k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รูปที่ 4.1: หน้ารายการชุดฝึกปฏิบัติการสำเร็จรูป (Nursing Practice Kits)</w:t>
      </w:r>
    </w:p>
    <w:p>
      <w:r>
        <w:t>วิธีการขอเบิกแบบ One-Click:</w:t>
        <w:br/>
        <w:t>1. เข้าเมนู 'ชุดฝึกปฏิบัติการ (Practice Kits)'</w:t>
        <w:br/>
        <w:t>2. ค้นหาชุดฝึกตามหัตถการ เช่น ชุดฝึกทำแผลปลอดเชื้อ (KIT-01) หรือ ชุดฝึกสวนปัสสาวะ (KIT-02)</w:t>
        <w:br/>
        <w:t>3. กดปุ่ม '⚡ ขอเบิกชุดนี้ทันที (One-Click)'</w:t>
        <w:br/>
        <w:t>4. ตรวจสอบรายการและกดยืนยัน คำขอจะถูกส่งเพื่อจัดเตรียมทันที</w:t>
      </w:r>
    </w:p>
    <w:p>
      <w:r>
        <w:br w:type="page"/>
      </w:r>
    </w:p>
    <w:p>
      <w:pPr>
        <w:pStyle w:val="Heading1"/>
      </w:pPr>
      <w:r>
        <w:rPr>
          <w:rFonts w:ascii="Prompt" w:hAnsi="Prompt"/>
          <w:color w:val="0F766E"/>
        </w:rPr>
        <w:t>บทที่ 5: การขอเข้าฝึกปฏิบัติการด้วยตนเองและสแกน QR Code</w:t>
      </w:r>
    </w:p>
    <w:p>
      <w:r>
        <w:t>นิสิตสามารถจองห้องปฏิบัติการและเตียงฝึกซ้อมนอกเวลาเรียนเพื่อทบทวนทักษะ หรือเตรียมสอบ OSCE ผ่านระบบจองรอบเวลา (Time Slots Booking) และรับ Digital E-Ticket พร้อม QR Code สำหรับ Check-in</w:t>
      </w:r>
    </w:p>
    <w:p>
      <w:r>
        <w:drawing>
          <wp:inline xmlns:a="http://schemas.openxmlformats.org/drawingml/2006/main" xmlns:pic="http://schemas.openxmlformats.org/drawingml/2006/picture">
            <wp:extent cx="5303520" cy="38671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mockup_practice_book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6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รูปที่ 5.1: หน้าจอเลือกรอบเวลาและจองห้องปฏิบัติการฝึกซ้อม</w:t>
      </w:r>
    </w:p>
    <w:p>
      <w:r>
        <w:drawing>
          <wp:inline xmlns:a="http://schemas.openxmlformats.org/drawingml/2006/main" xmlns:pic="http://schemas.openxmlformats.org/drawingml/2006/picture">
            <wp:extent cx="3474720" cy="41696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mockup_practice_tick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รูปที่ 5.2: บัตร Digital E-Ticket พร้อม QR Code Check-in</w:t>
      </w:r>
    </w:p>
    <w:p>
      <w:pPr>
        <w:pStyle w:val="Heading2"/>
      </w:pPr>
      <w:r>
        <w:t>ขั้นตอนการ Check-in หน้าห้องแล็บ:</w:t>
      </w:r>
    </w:p>
    <w:p>
      <w:r>
        <w:t>1. เดินทางมาถึงหน้าห้องปฏิบัติการก่อนเวลานัดหมายอย่างน้อย 5 นาที</w:t>
        <w:br/>
        <w:t>2. เปิดบัตร Digital E-Ticket บนสมาร์ทโฟนของนิสิต</w:t>
        <w:br/>
        <w:t>3. นำ QR Code สแกนที่เครื่องสแกนหน้าห้องปฏิบัติการ</w:t>
        <w:br/>
        <w:t>4. เมื่อระบบตรวจสอบผ่าน สถานะจะเปลี่ยนเป็น IN_PRACTICE และเริ่มบันทึกชั่วโมงฝึกซ้อมสะสม</w:t>
      </w:r>
    </w:p>
    <w:p>
      <w:r>
        <w:br w:type="page"/>
      </w:r>
    </w:p>
    <w:p>
      <w:pPr>
        <w:pStyle w:val="Heading1"/>
      </w:pPr>
      <w:r>
        <w:rPr>
          <w:rFonts w:ascii="Prompt" w:hAnsi="Prompt"/>
          <w:color w:val="0F766E"/>
        </w:rPr>
        <w:t>บทที่ 6: การส่งคืนอุปกรณ์และข้อปฏิบัติความปลอดภัย</w:t>
      </w:r>
    </w:p>
    <w:p>
      <w:r>
        <w:t>เพื่อรักษามาตรฐานความปลอดภัยและความพร้อมใช้ของอุปกรณ์ นิสิตต้องปฏิบัติตามกฎระเบียบอย่างเคร่งครัด: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1F2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rFonts w:ascii="Prompt" w:hAnsi="Prompt"/>
                <w:b/>
                <w:color w:val="BE123C"/>
              </w:rPr>
              <w:t>⚠️ ข้อพึงระวังด้านความปลอดภัยสูงสุด:</w:t>
              <w:br/>
            </w:r>
            <w:r>
              <w:rPr>
                <w:sz w:val="21"/>
              </w:rPr>
              <w:t>ห้ามนำเวชภัณฑ์หรือพัสดุที่มีป้ายเตือน 'สำหรับฝึกกับหุ่นจำลองเท่านั้น (For Simulation Only)' ไปใช้กับผู้ป่วยจริงบนหอผู้ป่วยหรือในคลินิกโดยเด็ดขาด การฝ่าฝืนถือเป็นความผิดทางวินัยร้ายแรง</w:t>
            </w:r>
          </w:p>
        </w:tc>
      </w:tr>
    </w:tbl>
    <w:p>
      <w:r>
        <w:br/>
        <w:t>ขั้นตอนการส่งคืนครุภัณฑ์:</w:t>
        <w:br/>
        <w:t>1. ตรวจสอบความสะอาดและจัดเก็บอุปกรณ์เข้าชุดให้เรียบร้อย</w:t>
        <w:br/>
        <w:t>2. นำส่งคืน ณ เคาน์เตอร์ห้องปฏิบัติการตามวัน-เวลาที่กำหนด</w:t>
        <w:br/>
        <w:t>3. เจ้าหน้าที่ตรวจสอบสภาพอุปกรณ์และกดยืนยันการรับคืนในระบบ สถานะเปลี่ยนเป็น RETURNED</w:t>
        <w:br/>
        <w:t>4. กรณีพบการชำรุดหรือสูญหาย ให้แจ้งเจ้าหน้าที่ทันทีเพื่อบันทึกในระบบและดำเนินการตามระเบียบคณะ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/>
      <w:color w:val="0F17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