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CMPDI Exploration &amp; Geological Survey Report</w:t>
      </w:r>
    </w:p>
    <w:p>
      <w:r>
        <w:t>This formal technical document covers the stratigraphic seam correlation and proved coal reserves for the Rajmahal expansion block operated by Eastern Coalfields Limited (ECL).</w:t>
      </w:r>
    </w:p>
    <w:p>
      <w:pPr>
        <w:pStyle w:val="Heading2"/>
      </w:pPr>
      <w:r>
        <w:t>Reserve Stratigraphy and Grade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Coalfield Area</w:t>
            </w:r>
          </w:p>
        </w:tc>
        <w:tc>
          <w:tcPr>
            <w:tcW w:type="dxa" w:w="2160"/>
          </w:tcPr>
          <w:p>
            <w:r>
              <w:t>Target Seam</w:t>
            </w:r>
          </w:p>
        </w:tc>
        <w:tc>
          <w:tcPr>
            <w:tcW w:type="dxa" w:w="2160"/>
          </w:tcPr>
          <w:p>
            <w:r>
              <w:t>Grade Category</w:t>
            </w:r>
          </w:p>
        </w:tc>
        <w:tc>
          <w:tcPr>
            <w:tcW w:type="dxa" w:w="2160"/>
          </w:tcPr>
          <w:p>
            <w:r>
              <w:t>Proved MT</w:t>
            </w:r>
          </w:p>
        </w:tc>
      </w:tr>
      <w:tr>
        <w:tc>
          <w:tcPr>
            <w:tcW w:type="dxa" w:w="2160"/>
          </w:tcPr>
          <w:p>
            <w:r>
              <w:t>North Block Quarry</w:t>
            </w:r>
          </w:p>
        </w:tc>
        <w:tc>
          <w:tcPr>
            <w:tcW w:type="dxa" w:w="2160"/>
          </w:tcPr>
          <w:p>
            <w:r>
              <w:t>Seam II/III</w:t>
            </w:r>
          </w:p>
        </w:tc>
        <w:tc>
          <w:tcPr>
            <w:tcW w:type="dxa" w:w="2160"/>
          </w:tcPr>
          <w:p>
            <w:r>
              <w:t>Grade G10</w:t>
            </w:r>
          </w:p>
        </w:tc>
        <w:tc>
          <w:tcPr>
            <w:tcW w:type="dxa" w:w="2160"/>
          </w:tcPr>
          <w:p>
            <w:r>
              <w:t>85.40</w:t>
            </w:r>
          </w:p>
        </w:tc>
      </w:tr>
      <w:tr>
        <w:tc>
          <w:tcPr>
            <w:tcW w:type="dxa" w:w="2160"/>
          </w:tcPr>
          <w:p>
            <w:r>
              <w:t>Central Sector</w:t>
            </w:r>
          </w:p>
        </w:tc>
        <w:tc>
          <w:tcPr>
            <w:tcW w:type="dxa" w:w="2160"/>
          </w:tcPr>
          <w:p>
            <w:r>
              <w:t>Seam IV Top</w:t>
            </w:r>
          </w:p>
        </w:tc>
        <w:tc>
          <w:tcPr>
            <w:tcW w:type="dxa" w:w="2160"/>
          </w:tcPr>
          <w:p>
            <w:r>
              <w:t>Grade G11</w:t>
            </w:r>
          </w:p>
        </w:tc>
        <w:tc>
          <w:tcPr>
            <w:tcW w:type="dxa" w:w="2160"/>
          </w:tcPr>
          <w:p>
            <w:r>
              <w:t>120.60</w:t>
            </w:r>
          </w:p>
        </w:tc>
      </w:tr>
      <w:tr>
        <w:tc>
          <w:tcPr>
            <w:tcW w:type="dxa" w:w="2160"/>
          </w:tcPr>
          <w:p>
            <w:r>
              <w:t>South Dip Extension</w:t>
            </w:r>
          </w:p>
        </w:tc>
        <w:tc>
          <w:tcPr>
            <w:tcW w:type="dxa" w:w="2160"/>
          </w:tcPr>
          <w:p>
            <w:r>
              <w:t>Seam V Main</w:t>
            </w:r>
          </w:p>
        </w:tc>
        <w:tc>
          <w:tcPr>
            <w:tcW w:type="dxa" w:w="2160"/>
          </w:tcPr>
          <w:p>
            <w:r>
              <w:t>Grade G12</w:t>
            </w:r>
          </w:p>
        </w:tc>
        <w:tc>
          <w:tcPr>
            <w:tcW w:type="dxa" w:w="2160"/>
          </w:tcPr>
          <w:p>
            <w:r>
              <w:t>94.20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