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【待替换】论文题目</w:t>
      </w:r>
    </w:p>
    <w:p>
      <w:r>
        <w:t>【待替换】模板使用说明：把本文件复制到竞赛工作区 paper/paper.md 后起笔，按当届官方规则和赛区补充要求调整。</w:t>
      </w:r>
    </w:p>
    <w:p>
      <w:r>
        <w:t>【待替换】逐节替换全部提示；完稿时按“结论←结果←模型←小问”反查，确认模型已有验证、代码与附件能够复现，断链时先补证据；交稿前全局搜索 【待替换】，确认标题、正文、表题、表格和图示槽位均无残留。</w:t>
      </w:r>
    </w:p>
    <w:p>
      <w:pPr>
        <w:pStyle w:val="Heading1"/>
        <w:jc w:val="center"/>
      </w:pPr>
      <w:r>
        <w:t>摘要</w:t>
      </w:r>
    </w:p>
    <w:p>
      <w:pPr/>
      <w:r>
        <w:t>【待替换】问题：用最短篇幅界定总任务、各子问题和最终交付物。</w:t>
      </w:r>
    </w:p>
    <w:p>
      <w:pPr/>
      <w:r>
        <w:t>【待替换】方法：逐问说明核心模型、关键机制、算法和必要的路线选择依据。</w:t>
      </w:r>
    </w:p>
    <w:p>
      <w:pPr/>
      <w:r>
        <w:t>【待替换】关键结果：填入来自 frozen 证据的量化结果，注明单位、场景、精度和对应子问题。</w:t>
      </w:r>
    </w:p>
    <w:p>
      <w:pPr/>
      <w:r>
        <w:t>【待替换】结论：直接回答题目，给出决策含义、最重要的验证结论和适用边界。</w:t>
      </w:r>
    </w:p>
    <w:p>
      <w:pPr/>
      <w:r>
        <w:t>关键词：【待替换】问题对象；核心模型；求解算法；评价指标</w:t>
      </w:r>
    </w:p>
    <w:p>
      <w:r>
        <w:br w:type="page"/>
      </w:r>
    </w:p>
    <w:p>
      <w:pPr>
        <w:pStyle w:val="Heading1"/>
      </w:pPr>
      <w:r>
        <w:t>1. 问题重述</w:t>
      </w:r>
    </w:p>
    <w:p>
      <w:r>
        <w:t>【待替换】用自己的语言把题面转换为输入、约束、目标和逐问交付物，不复制长段原题；本章必须改写，篇幅半页到一页。</w:t>
      </w:r>
    </w:p>
    <w:p>
      <w:r>
        <w:t>【待替换】说明各子问题的依赖关系，只保留影响建模的背景事实。</w:t>
      </w:r>
    </w:p>
    <w:p>
      <w:pPr>
        <w:pStyle w:val="Heading1"/>
      </w:pPr>
      <w:r>
        <w:t>2. 问题分析</w:t>
      </w:r>
    </w:p>
    <w:p>
      <w:r>
        <w:t>【待替换】先概括全题的数学结构和信息流，再逐问交代难点、路线选择、预期输出与验证方式，每问 10 行左右。</w:t>
      </w:r>
    </w:p>
    <w:p>
      <w:r>
        <w:t>【待替换】下方为车道 B 的可编辑结构图初稿槽位；图件完成并在 figure_registry.md 登记后，用真实图替换。</w:t>
      </w:r>
    </w:p>
    <w:tbl>
      <w:tblPr>
        <w:tblW w:type="dxa" w:w="8504"/>
        <w:jc w:val="center"/>
        <w:tblLayout w:type="fixed"/>
        <w:tblLook w:firstColumn="1" w:firstRow="1" w:lastColumn="0" w:lastRow="0" w:noHBand="0" w:noVBand="1" w:val="04A0"/>
      </w:tblPr>
      <w:tblGrid>
        <w:gridCol w:w="9070"/>
      </w:tblGrid>
      <w:tr>
        <w:trPr>
          <w:trHeight w:val="3118" w:hRule="atLeast"/>
        </w:trPr>
        <w:tc>
          <w:tcPr>
            <w:tcW w:type="dxa" w:w="8504"/>
            <w:shd w:val="clear" w:color="auto" w:fill="F2F2F2"/>
            <w:vAlign w:val="center"/>
          </w:tcPr>
          <w:p>
            <w:pPr>
              <w:jc w:val="center"/>
            </w:pPr>
            <w:r>
              <w:t>图示占位槽</w:t>
              <w:br/>
              <w:t>figure_id：FIG-G-01</w:t>
              <w:br/>
              <w:t>车道：B</w:t>
              <w:br/>
              <w:t>所在章节：2</w:t>
              <w:br/>
              <w:t>期望内容：各子问题依赖与技术路线图初稿</w:t>
            </w:r>
          </w:p>
        </w:tc>
      </w:tr>
    </w:tbl>
    <w:p>
      <w:pPr>
        <w:pStyle w:val="Caption"/>
        <w:jc w:val="center"/>
      </w:pPr>
      <w:r>
        <w:t>图 1（占位）　各子问题依赖与技术路线图初稿</w:t>
      </w:r>
    </w:p>
    <w:p>
      <w:pPr>
        <w:pStyle w:val="Heading1"/>
      </w:pPr>
      <w:r>
        <w:t>3. 模型假设</w:t>
      </w:r>
    </w:p>
    <w:p>
      <w:r>
        <w:t>【待替换】只保留会改变模型结构、可行性或结论边界的假设；逐条写明依据与适用范围。</w:t>
      </w:r>
    </w:p>
    <w:p>
      <w:pPr>
        <w:pStyle w:val="Caption"/>
        <w:jc w:val="center"/>
      </w:pPr>
      <w:r>
        <w:t>表 1　【待替换】模型假设及其依据</w:t>
      </w:r>
    </w:p>
    <w:tbl>
      <w:tblPr>
        <w:tblW w:type="auto" w:w="0"/>
        <w:jc w:val="center"/>
        <w:tblBorders>
          <w:top w:val="single" w:sz="8" w:space="0" w:color="000000"/>
          <w:left w:val="nil" w:sz="0" w:space="0" w:color="000000"/>
          <w:bottom w:val="single" w:sz="8" w:space="0" w:color="000000"/>
          <w:right w:val="nil" w:sz="0" w:space="0" w:color="000000"/>
          <w:insideH w:val="nil" w:sz="0" w:space="0" w:color="000000"/>
          <w:insideV w:val="nil" w:sz="0" w:space="0" w:color="000000"/>
        </w:tblBorders>
        <w:tblLook w:firstColumn="1" w:firstRow="1" w:lastColumn="0" w:lastRow="0" w:noHBand="0" w:noVBand="1" w:val="04A0"/>
      </w:tblPr>
      <w:tblGrid>
        <w:gridCol w:w="3023"/>
        <w:gridCol w:w="3023"/>
        <w:gridCol w:w="3023"/>
      </w:tblGrid>
      <w:tr>
        <w:tc>
          <w:tcPr>
            <w:tcW w:type="dxa" w:w="3023"/>
            <w:tcBorders>
              <w:bottom w:val="single" w:sz="4" w:space="0" w:color="000000"/>
            </w:tcBorders>
            <w:vAlign w:val="center"/>
          </w:tcPr>
          <w:p>
            <w:pPr>
              <w:jc w:val="center"/>
            </w:pPr>
            <w:r>
              <w:rPr>
                <w:b/>
              </w:rPr>
              <w:t>编号</w:t>
            </w:r>
          </w:p>
        </w:tc>
        <w:tc>
          <w:tcPr>
            <w:tcW w:type="dxa" w:w="3023"/>
            <w:tcBorders>
              <w:bottom w:val="single" w:sz="4" w:space="0" w:color="000000"/>
            </w:tcBorders>
            <w:vAlign w:val="center"/>
          </w:tcPr>
          <w:p>
            <w:pPr>
              <w:jc w:val="center"/>
            </w:pPr>
            <w:r>
              <w:rPr>
                <w:b/>
              </w:rPr>
              <w:t>假设</w:t>
            </w:r>
          </w:p>
        </w:tc>
        <w:tc>
          <w:tcPr>
            <w:tcW w:type="dxa" w:w="3023"/>
            <w:tcBorders>
              <w:bottom w:val="single" w:sz="4" w:space="0" w:color="000000"/>
            </w:tcBorders>
            <w:vAlign w:val="center"/>
          </w:tcPr>
          <w:p>
            <w:pPr>
              <w:jc w:val="center"/>
            </w:pPr>
            <w:r>
              <w:rPr>
                <w:b/>
              </w:rPr>
              <w:t>依据与适用范围</w:t>
            </w:r>
          </w:p>
        </w:tc>
      </w:tr>
      <w:tr>
        <w:tc>
          <w:tcPr>
            <w:tcW w:type="dxa" w:w="3023"/>
            <w:vAlign w:val="center"/>
          </w:tcPr>
          <w:p>
            <w:pPr>
              <w:jc w:val="center"/>
            </w:pPr>
            <w:r>
              <w:t>H1</w:t>
            </w:r>
          </w:p>
        </w:tc>
        <w:tc>
          <w:tcPr>
            <w:tcW w:type="dxa" w:w="3023"/>
            <w:vAlign w:val="center"/>
          </w:tcPr>
          <w:p>
            <w:pPr>
              <w:jc w:val="center"/>
            </w:pPr>
            <w:r>
              <w:t>【待替换】影响模型结构的假设</w:t>
            </w:r>
          </w:p>
        </w:tc>
        <w:tc>
          <w:tcPr>
            <w:tcW w:type="dxa" w:w="3023"/>
            <w:vAlign w:val="center"/>
          </w:tcPr>
          <w:p>
            <w:pPr>
              <w:jc w:val="center"/>
            </w:pPr>
            <w:r>
              <w:t>【待替换】证据、简化理由与失效条件</w:t>
            </w:r>
          </w:p>
        </w:tc>
      </w:tr>
    </w:tbl>
    <w:p>
      <w:pPr>
        <w:pStyle w:val="Heading1"/>
      </w:pPr>
      <w:r>
        <w:t>4. 符号说明</w:t>
      </w:r>
    </w:p>
    <w:p>
      <w:r>
        <w:t>【待替换】只列正文实际使用的核心变量和参数；同一符号保持单义，临时量在首次出现处解释。</w:t>
      </w:r>
    </w:p>
    <w:p>
      <w:pPr>
        <w:pStyle w:val="Caption"/>
        <w:jc w:val="center"/>
      </w:pPr>
      <w:r>
        <w:t>表 2　【待替换】核心符号说明</w:t>
      </w:r>
    </w:p>
    <w:tbl>
      <w:tblPr>
        <w:tblW w:type="auto" w:w="0"/>
        <w:jc w:val="center"/>
        <w:tblBorders>
          <w:top w:val="single" w:sz="8" w:space="0" w:color="000000"/>
          <w:left w:val="nil" w:sz="0" w:space="0" w:color="000000"/>
          <w:bottom w:val="single" w:sz="8" w:space="0" w:color="000000"/>
          <w:right w:val="nil" w:sz="0" w:space="0" w:color="000000"/>
          <w:insideH w:val="nil" w:sz="0" w:space="0" w:color="000000"/>
          <w:insideV w:val="nil" w:sz="0" w:space="0" w:color="000000"/>
        </w:tblBorders>
        <w:tblLook w:firstColumn="1" w:firstRow="1" w:lastColumn="0" w:lastRow="0" w:noHBand="0" w:noVBand="1" w:val="04A0"/>
      </w:tblPr>
      <w:tblGrid>
        <w:gridCol w:w="2267"/>
        <w:gridCol w:w="2267"/>
        <w:gridCol w:w="2267"/>
        <w:gridCol w:w="2267"/>
      </w:tblGrid>
      <w:tr>
        <w:tc>
          <w:tcPr>
            <w:tcW w:type="dxa" w:w="2267"/>
            <w:tcBorders>
              <w:bottom w:val="single" w:sz="4" w:space="0" w:color="000000"/>
            </w:tcBorders>
            <w:vAlign w:val="center"/>
          </w:tcPr>
          <w:p>
            <w:pPr>
              <w:jc w:val="center"/>
            </w:pPr>
            <w:r>
              <w:rPr>
                <w:b/>
              </w:rPr>
              <w:t>符号</w:t>
            </w:r>
          </w:p>
        </w:tc>
        <w:tc>
          <w:tcPr>
            <w:tcW w:type="dxa" w:w="2267"/>
            <w:tcBorders>
              <w:bottom w:val="single" w:sz="4" w:space="0" w:color="000000"/>
            </w:tcBorders>
            <w:vAlign w:val="center"/>
          </w:tcPr>
          <w:p>
            <w:pPr>
              <w:jc w:val="center"/>
            </w:pPr>
            <w:r>
              <w:rPr>
                <w:b/>
              </w:rPr>
              <w:t>含义</w:t>
            </w:r>
          </w:p>
        </w:tc>
        <w:tc>
          <w:tcPr>
            <w:tcW w:type="dxa" w:w="2267"/>
            <w:tcBorders>
              <w:bottom w:val="single" w:sz="4" w:space="0" w:color="000000"/>
            </w:tcBorders>
            <w:vAlign w:val="center"/>
          </w:tcPr>
          <w:p>
            <w:pPr>
              <w:jc w:val="center"/>
            </w:pPr>
            <w:r>
              <w:rPr>
                <w:b/>
              </w:rPr>
              <w:t>单位</w:t>
            </w:r>
          </w:p>
        </w:tc>
        <w:tc>
          <w:tcPr>
            <w:tcW w:type="dxa" w:w="2267"/>
            <w:tcBorders>
              <w:bottom w:val="single" w:sz="4" w:space="0" w:color="000000"/>
            </w:tcBorders>
            <w:vAlign w:val="center"/>
          </w:tcPr>
          <w:p>
            <w:pPr>
              <w:jc w:val="center"/>
            </w:pPr>
            <w:r>
              <w:rPr>
                <w:b/>
              </w:rPr>
              <w:t>取值域</w:t>
            </w:r>
          </w:p>
        </w:tc>
      </w:tr>
      <w:tr>
        <w:tc>
          <w:tcPr>
            <w:tcW w:type="dxa" w:w="2267"/>
            <w:vAlign w:val="center"/>
          </w:tcPr>
          <w:p>
            <w:pPr>
              <w:jc w:val="center"/>
            </w:pPr>
            <w:r>
              <w:t>x_i</w:t>
            </w:r>
          </w:p>
        </w:tc>
        <w:tc>
          <w:tcPr>
            <w:tcW w:type="dxa" w:w="2267"/>
            <w:vAlign w:val="center"/>
          </w:tcPr>
          <w:p>
            <w:pPr>
              <w:jc w:val="center"/>
            </w:pPr>
            <w:r>
              <w:t>【待替换】变量或参数含义</w:t>
            </w:r>
          </w:p>
        </w:tc>
        <w:tc>
          <w:tcPr>
            <w:tcW w:type="dxa" w:w="2267"/>
            <w:vAlign w:val="center"/>
          </w:tcPr>
          <w:p>
            <w:pPr>
              <w:jc w:val="center"/>
            </w:pPr>
            <w:r>
              <w:t>【待替换】单位</w:t>
            </w:r>
          </w:p>
        </w:tc>
        <w:tc>
          <w:tcPr>
            <w:tcW w:type="dxa" w:w="2267"/>
            <w:vAlign w:val="center"/>
          </w:tcPr>
          <w:p>
            <w:pPr>
              <w:jc w:val="center"/>
            </w:pPr>
            <w:r>
              <w:t>【待替换】合法范围</w:t>
            </w:r>
          </w:p>
        </w:tc>
      </w:tr>
    </w:tbl>
    <w:p>
      <w:pPr>
        <w:pStyle w:val="Heading1"/>
      </w:pPr>
      <w:r>
        <w:t>5. 数据处理与特征分析</w:t>
      </w:r>
    </w:p>
    <w:p>
      <w:r>
        <w:t>【待替换】仅当多个子问题共用数据或处理流程时保留本章，否则并入对应问题小节；说明数据来源、字段、单位、缺失与异常处理，官方附件保持只读，派生数据注明输出路径和变换。</w:t>
      </w:r>
    </w:p>
    <w:p>
      <w:r>
        <w:t>【待替换】只报告会影响模型选择或结果解释的数据特征，不把探索性观察写成因果结论；每张图表只支持一个核心判断，正文按编号引用并说明它影响了哪个模型或决策。</w:t>
      </w:r>
    </w:p>
    <w:p>
      <w:pPr>
        <w:pStyle w:val="Heading1"/>
      </w:pPr>
      <w:r>
        <w:t>6. 模型建立与求解</w:t>
      </w:r>
    </w:p>
    <w:p>
      <w:r>
        <w:t>【待替换】每个子问题一节，按“模型建立—模型求解—结果分析与检验”组织，节尾以关键结果、单位、现实解释和一项验证直接回答本问；按赛题问题数量增删小节，并说明与前一问的传递关系。</w:t>
      </w:r>
    </w:p>
    <w:p>
      <w:pPr>
        <w:pStyle w:val="Heading2"/>
      </w:pPr>
      <w:r>
        <w:t>6.1 问题一的模型建立与求解</w:t>
      </w:r>
    </w:p>
    <w:p>
      <w:r>
        <w:t>【待替换】按“目标与机制—模型与公式—算法与参数—结果—验证—解释—边界”的完整证据链展开；下方为车道 C 的概念图槽位，只表达待制作需求，不得作为定量结果或已定稿证据。</w:t>
      </w:r>
    </w:p>
    <w:tbl>
      <w:tblPr>
        <w:tblW w:type="dxa" w:w="8504"/>
        <w:jc w:val="center"/>
        <w:tblLayout w:type="fixed"/>
        <w:tblLook w:firstColumn="1" w:firstRow="1" w:lastColumn="0" w:lastRow="0" w:noHBand="0" w:noVBand="1" w:val="04A0"/>
      </w:tblPr>
      <w:tblGrid>
        <w:gridCol w:w="9070"/>
      </w:tblGrid>
      <w:tr>
        <w:trPr>
          <w:trHeight w:val="3118" w:hRule="atLeast"/>
        </w:trPr>
        <w:tc>
          <w:tcPr>
            <w:tcW w:type="dxa" w:w="8504"/>
            <w:shd w:val="clear" w:color="auto" w:fill="F2F2F2"/>
            <w:vAlign w:val="center"/>
          </w:tcPr>
          <w:p>
            <w:pPr>
              <w:jc w:val="center"/>
            </w:pPr>
            <w:r>
              <w:t>图示占位槽</w:t>
              <w:br/>
              <w:t>figure_id：FIG-G-02</w:t>
              <w:br/>
              <w:t>车道：C</w:t>
              <w:br/>
              <w:t>所在章节：6.1</w:t>
              <w:br/>
              <w:t>期望内容：关键机制概念图占位</w:t>
            </w:r>
          </w:p>
        </w:tc>
      </w:tr>
    </w:tbl>
    <w:p>
      <w:pPr>
        <w:pStyle w:val="Caption"/>
        <w:jc w:val="center"/>
      </w:pPr>
      <w:r>
        <w:t>图 2（占位）　关键机制概念图占位</w:t>
      </w:r>
    </w:p>
    <w:p>
      <w:r>
        <w:t>【待替换】真实图片就绪后，将行内示例 [[FIGURE id="FIG-A-01" path="figures/result.png" caption="关键结果"]] 改成独占一行的真指令；当前模板没有图片，不能直接启用。</w:t>
      </w:r>
    </w:p>
    <w:p>
      <w:pPr>
        <w:pStyle w:val="Heading1"/>
      </w:pPr>
      <w:r>
        <w:t>7. 模型检验</w:t>
      </w:r>
    </w:p>
    <w:p>
      <w:r>
        <w:t>【待替换】仅当存在跨问题、跨模型或整体性的检验时保留本章，单个模型的常规检验放对应问题小节；没有实际检验结果时删除本章，不得声称模型稳定、鲁棒或普适。</w:t>
      </w:r>
    </w:p>
    <w:p>
      <w:pPr>
        <w:pStyle w:val="Heading1"/>
      </w:pPr>
      <w:r>
        <w:t>8. 模型评价与改进</w:t>
      </w:r>
    </w:p>
    <w:p>
      <w:r>
        <w:t>【待替换】优点须对应真实设计并挂接公式、表、图或 frozen 证据；缺点说明忽略因素及其影响。</w:t>
      </w:r>
    </w:p>
    <w:p>
      <w:r>
        <w:t>【待替换】改进与推广写清目标场景、新增数据或约束，以及必须重做的验证。</w:t>
      </w:r>
    </w:p>
    <w:p>
      <w:pPr>
        <w:pStyle w:val="Heading1"/>
      </w:pPr>
      <w:r>
        <w:t>9. 参考文献</w:t>
      </w:r>
    </w:p>
    <w:p>
      <w:r>
        <w:t>【待替换】仅列逐字段核实且正文实际引用的来源；正文编号与文末条目一一对应，AI 工具条目按当届规则处理。</w:t>
      </w:r>
    </w:p>
    <w:p>
      <w:pPr>
        <w:pStyle w:val="Heading1"/>
        <w:pageBreakBefore/>
      </w:pPr>
      <w:r>
        <w:t>10. 附录</w:t>
      </w:r>
    </w:p>
    <w:p>
      <w:r>
        <w:t>【待替换】列出支撑材料、补充推导和必要中间结果；导出器会在本标题下追加文件清单与 code/ 中的完整源程序。</w:t>
      </w:r>
    </w:p>
    <w:p>
      <w:pPr>
        <w:pStyle w:val="Heading2"/>
      </w:pPr>
      <w:r>
        <w:t>支撑材料文件清单</w:t>
      </w:r>
    </w:p>
    <w:p>
      <w:r>
        <w:t>未扫描到 input/、data/ 或 code/ 文件。</w:t>
      </w:r>
    </w:p>
    <w:p>
      <w:pPr>
        <w:pStyle w:val="Heading2"/>
      </w:pPr>
      <w:r>
        <w:t>完整源程序</w:t>
      </w:r>
    </w:p>
    <w:p>
      <w:r>
        <w:t>本论文没有用到程序。</w:t>
      </w:r>
    </w:p>
    <w:sectPr w:rsidR="00FC693F" w:rsidRPr="0006063C" w:rsidSect="00034616">
      <w:footerReference w:type="default" r:id="rId9"/>
      <w:pgSz w:w="11906" w:h="16838"/>
      <w:pgMar w:top="1418" w:right="1418" w:bottom="1418" w:left="141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sz w:val="18"/>
      </w:rPr>
      <w:fldChar w:fldCharType="begin"/>
    </w:r>
    <w:r>
      <w:rPr>
        <w:rFonts w:ascii="Times New Roman" w:hAnsi="Times New Roman" w:eastAsia="宋体"/>
        <w:sz w:val="18"/>
      </w:rPr>
      <w:instrText xml:space="preserve"> PAGE </w:instrText>
    </w:r>
    <w:r>
      <w:rPr>
        <w:rFonts w:ascii="Times New Roman" w:hAnsi="Times New Roman" w:eastAsia="宋体"/>
        <w:sz w:val="18"/>
      </w:rPr>
      <w:fldChar w:fldCharType="separate"/>
    </w:r>
    <w:r>
      <w:rPr>
        <w:rFonts w:ascii="Times New Roman" w:hAnsi="Times New Roman" w:eastAsia="宋体"/>
        <w:sz w:val="18"/>
      </w:rPr>
      <w:t>1</w:t>
    </w:r>
    <w:r>
      <w:rPr>
        <w:rFonts w:ascii="Times New Roman" w:hAnsi="Times New Roman" w:eastAsia="宋体"/>
        <w:sz w:val="18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updateFields w:val="true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12" w:lineRule="auto" w:after="0"/>
      <w:ind w:firstLine="482"/>
    </w:pPr>
    <w:rPr>
      <w:rFonts w:ascii="Times New Roman" w:hAnsi="Times New Roman" w:eastAsia="宋体"/>
      <w:b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20"/>
      <w:jc w:val="center"/>
      <w:outlineLvl w:val="0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20"/>
      <w:outlineLvl w:val="1"/>
    </w:pPr>
    <w:rPr>
      <w:rFonts w:asciiTheme="majorHAnsi" w:eastAsiaTheme="majorEastAsia" w:hAnsiTheme="majorHAnsi" w:cstheme="majorBidi" w:ascii="Times New Roman" w:hAnsi="Times New Roman" w:eastAsia="宋体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20"/>
      <w:outlineLvl w:val="2"/>
    </w:pPr>
    <w:rPr>
      <w:rFonts w:asciiTheme="majorHAnsi" w:eastAsiaTheme="majorEastAsia" w:hAnsiTheme="majorHAnsi" w:cstheme="majorBidi" w:ascii="Times New Roman" w:hAnsi="Times New Roman" w:eastAsia="宋体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  <w:jc w:val="center"/>
    </w:pPr>
    <w:rPr>
      <w:rFonts w:asciiTheme="majorHAnsi" w:eastAsiaTheme="majorEastAsia" w:hAnsiTheme="majorHAnsi" w:cstheme="majorBidi" w:ascii="Times New Roman" w:hAnsi="Times New Roman" w:eastAsia="黑体"/>
      <w:b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 w:eastAsia="宋体"/>
      <w:b w:val="0"/>
      <w:bCs/>
      <w:color w:val="000000"/>
      <w:sz w:val="2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>generated by python-docx</dc:description>
  <cp:lastModifiedBy/>
  <cp:revision>1</cp:revision>
  <dcterms:created xsi:type="dcterms:W3CDTF">2000-01-01T00:00:00Z</dcterms:created>
  <dcterms:modified xsi:type="dcterms:W3CDTF">2000-01-01T00:00:00Z</dcterms:modified>
  <cp:category/>
</cp:coreProperties>
</file>