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The Firmenpass – how it works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What it 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Firmenpass is a short company profile. A contractor fills it in once, in about five minutes. After that, every search uses it automatically.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Why it's useful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**For the company:** It never has to read hundreds of tender notices again. The agent only shows tenders the company can realistically win, and explains why each one fits or doesn't.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**For the agent:** It knows exactly what the company does, where it works and what it can prove. That's what makes a clear go/no-go possible.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**No account needed:** The pass is simply sent along with every search job.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The 6 steps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Industry (required)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does your company do? Pick one or more areas, e.g. construction, roofing, cleaning, security or consulting.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2. Services (required)</w:t>
        <w:br w:type="textWrapping"/>
      </w:r>
      <w:r w:rsidDel="00000000" w:rsidR="00000000" w:rsidRPr="00000000">
        <w:rPr>
          <w:rtl w:val="0"/>
        </w:rPr>
        <w:t xml:space="preserve">Which services exactly? Pick from a list, or type your own if it's missing. Then describe your work in 1–3 sentences. The agent compares this text with every tender.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Region and size (required)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Which federal states do you work in? What's the smallest and largest contract you'd take? When can you start?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4. Proofs (optional)</w:t>
        <w:br w:type="textWrapping"/>
      </w:r>
      <w:r w:rsidDel="00000000" w:rsidR="00000000" w:rsidRPr="00000000">
        <w:rPr>
          <w:rtl w:val="0"/>
        </w:rPr>
        <w:t xml:space="preserve">Licences (e.g. master craftsman), certificates (e.g. ISO 9001), annual revenue, insurance and past comparable projects. The more you fill in, the sharper the result.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Conditions (optional)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risks will you accept? For example: maximum contract penalty, upfront financing, effort for writing the bid, and anything you never want to do.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6. Done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Your Firmenpass is ready. Copy it or save it as a file, and send it with your search.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Layout w:type="fixed"/>
        <w:tblLook w:val="0600"/>
      </w:tblPr>
      <w:tblGrid>
        <w:gridCol w:w="7095"/>
        <w:gridCol w:w="240"/>
        <w:gridCol w:w="1695"/>
        <w:tblGridChange w:id="0">
          <w:tblGrid>
            <w:gridCol w:w="7095"/>
            <w:gridCol w:w="240"/>
            <w:gridCol w:w="1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7.Einsatzradius in km</w:t>
            </w:r>
            <w:r w:rsidDel="00000000" w:rsidR="00000000" w:rsidRPr="00000000">
              <w:rPr>
                <w:rtl w:val="0"/>
              </w:rPr>
              <w:t xml:space="preserve">(Schritt 3)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8.Freie Kapazität</w:t>
            </w:r>
            <w:r w:rsidDel="00000000" w:rsidR="00000000" w:rsidRPr="00000000">
              <w:rPr>
                <w:rtl w:val="0"/>
              </w:rPr>
              <w:t xml:space="preserve"> (Schritt 3, neben „Ab wann?“)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9.Größter vergleichbarer Auftrag der letzten 3–5 Jahre in €</w:t>
            </w:r>
            <w:r w:rsidDel="00000000" w:rsidR="00000000" w:rsidRPr="00000000">
              <w:rPr>
                <w:rtl w:val="0"/>
              </w:rPr>
              <w:t xml:space="preserve"> (Schritt 4)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10.Zusätzliche Wünsche/Präferenzen(Freie Eingaben)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## Three simple rules</w:t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Steps 1–3 are required.  Without them, the search can't run.</w:t>
        <w:br w:type="textWrapping"/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Steps 4–5 are optional.  If something is missing, the agent marks that point as "unclear". It never throws out a tender because of a missing answer.</w:t>
        <w:br w:type="textWrapping"/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Everything is self-declared. The company states its own data, just like public authorities now expect in their procurement process. What the agent does verify is every tender fact, against the official public source.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happens next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The company (or its assistant agent) starts a search and sends the Firmenpass.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The agent loads the newest public tenders and keeps only those that match the services, region and deadline.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It checks each remaining tender against the pass and decides: go or no-go, with reasons.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It verifies every match against the official source and delivers a short, ranked list.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